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1A2E"/>
          <w:sz w:val="26"/>
        </w:rPr>
        <w:t>Harwick Capital Markets Ltd</w:t>
      </w:r>
    </w:p>
    <w:p>
      <w:pPr>
        <w:spacing w:after="200"/>
      </w:pPr>
      <w:r>
        <w:rPr>
          <w:color w:val="888888"/>
          <w:sz w:val="18"/>
        </w:rPr>
        <w:t>25 Canary Wharf, London E14 5AB    |    confirmations@harwickcm.com    |    +44 20 7946 0123</w:t>
      </w:r>
    </w:p>
    <w:p>
      <w:pPr>
        <w:spacing w:after="16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80"/>
      </w:pPr>
      <w:r>
        <w:rPr>
          <w:b/>
          <w:color w:val="1A1A2E"/>
          <w:sz w:val="28"/>
        </w:rPr>
        <w:t>TRADE CONFIRMATION</w:t>
      </w:r>
    </w:p>
    <w:p>
      <w:pPr>
        <w:spacing w:after="280"/>
      </w:pPr>
      <w:r>
        <w:rPr>
          <w:b/>
          <w:sz w:val="21"/>
        </w:rPr>
        <w:t xml:space="preserve">Confirmation ID: </w:t>
      </w:r>
      <w:r>
        <w:rPr>
          <w:sz w:val="21"/>
        </w:rPr>
        <w:t xml:space="preserve">HCM-EQ-2026-004418    </w:t>
      </w:r>
      <w:r>
        <w:rPr>
          <w:b/>
          <w:sz w:val="21"/>
        </w:rPr>
        <w:t xml:space="preserve">Trade Date: </w:t>
      </w:r>
      <w:r>
        <w:rPr>
          <w:sz w:val="21"/>
        </w:rPr>
        <w:t xml:space="preserve">27 May 2026    </w:t>
      </w:r>
      <w:r>
        <w:rPr>
          <w:b/>
          <w:sz w:val="21"/>
        </w:rPr>
        <w:t xml:space="preserve">Settlement Date: </w:t>
      </w:r>
      <w:r>
        <w:rPr>
          <w:sz w:val="21"/>
        </w:rPr>
        <w:t>29 May 2026 (T+2)</w:t>
      </w:r>
    </w:p>
    <w:p>
      <w:pPr>
        <w:spacing w:before="200" w:after="80"/>
      </w:pPr>
      <w:r>
        <w:rPr>
          <w:b/>
          <w:color w:val="1A1A2E"/>
          <w:sz w:val="21"/>
        </w:rPr>
        <w:t>COUNTERPARTY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Counterparty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Meridian Asset Management LP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Counterparty LEI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254900ABCD1234567890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Broker / Desk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Harwick Prime Brokerage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Execution Venue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London Stock Exchange (XLON)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A1A2E"/>
          <w:sz w:val="21"/>
        </w:rPr>
        <w:t>INSTRUMENT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Security / Instrument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Rolls-Royce Holdings plc — Ordinary Shares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Ticker / Symbol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RR. LN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Asset Class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Equity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ISIN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GB00B63H8491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A1A2E"/>
          <w:sz w:val="21"/>
        </w:rPr>
        <w:t>TRADE ECONOMICS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Side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BUY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500,000 shares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Unit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Shares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Price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GBP 4.82 per share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Notional Value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GBP 2,410,000.00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Currency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British Pound Sterling (GBP)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Commission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GBP 1,205.00 (0.05%)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Net Settlement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GBP 2,411,205.00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A1A2E"/>
          <w:sz w:val="21"/>
        </w:rPr>
        <w:t>ADDITIONAL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Settlement Instructions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CREST — Meridian Asset Mgmt Participant ID 98765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Custodian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State Street Bank &amp; Trust, London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Fund / Account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Meridian European Opportunities Fund</w:t>
            </w:r>
          </w:p>
        </w:tc>
      </w:tr>
    </w:tbl>
    <w:p>
      <w:pPr>
        <w:spacing w:after="80"/>
      </w:pPr>
    </w:p>
    <w:p>
      <w:pPr>
        <w:spacing w:before="28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sz w:val="18"/>
        </w:rPr>
        <w:t xml:space="preserve">Please review these details and confirm by return no later than </w:t>
      </w:r>
      <w:r>
        <w:rPr>
          <w:b/>
          <w:sz w:val="18"/>
        </w:rPr>
        <w:t>28 May 2026 17:00 BST</w:t>
      </w:r>
      <w:r>
        <w:rPr>
          <w:sz w:val="18"/>
        </w:rPr>
        <w:t>. Any discrepancies must be reported to your designated relationship manager immediately.</w:t>
      </w:r>
    </w:p>
    <w:p>
      <w:pPr>
        <w:spacing w:after="0"/>
      </w:pPr>
      <w:r>
        <w:rPr>
          <w:color w:val="AAAAAA"/>
          <w:sz w:val="17"/>
        </w:rPr>
        <w:t>This confirmation is issued by Harwick Capital Markets Ltd and is subject to the terms of the Master Trading Agreement in place between the parties. Ref: MTA-MAM-HCM-2024-001.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