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7.png" ContentType="image/png"/>
  <Override PartName="/word/media/rId61.png" ContentType="image/png"/>
  <Override PartName="/word/media/rId24.png" ContentType="image/png"/>
  <Override PartName="/word/media/rId52.png" ContentType="image/png"/>
  <Override PartName="/word/media/rId70.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Model for the Distribution of SAT Total Scores</w:t>
      </w:r>
    </w:p>
    <w:bookmarkStart w:id="20" w:name="abstract"/>
    <w:p>
      <w:pPr>
        <w:pStyle w:val="Heading1"/>
      </w:pPr>
      <w:r>
        <w:t xml:space="preserve">Abstract</w:t>
      </w:r>
    </w:p>
    <w:p>
      <w:pPr>
        <w:pStyle w:val="FirstParagraph"/>
      </w:pPr>
      <w:r>
        <w:t xml:space="preserve">The College Board’s SAT is the most widely used standardized test for</w:t>
      </w:r>
      <w:r>
        <w:t xml:space="preserve"> </w:t>
      </w:r>
      <w:r>
        <w:t xml:space="preserve">college and university admissions in the United States, with</w:t>
      </w:r>
      <w:r>
        <w:t xml:space="preserve"> </w:t>
      </w:r>
      <w:r>
        <w:t xml:space="preserve">approximately two million test-takers in each graduating class. The College Board does not release anonymized</w:t>
      </w:r>
      <w:r>
        <w:t xml:space="preserve"> </w:t>
      </w:r>
      <w:r>
        <w:t xml:space="preserve">individual-level scores, so a question like</w:t>
      </w:r>
      <w:r>
        <w:t xml:space="preserve"> </w:t>
      </w:r>
      <w:r>
        <w:t xml:space="preserve">“what share of students</w:t>
      </w:r>
      <w:r>
        <w:t xml:space="preserve"> </w:t>
      </w:r>
      <w:r>
        <w:t xml:space="preserve">scoring at least 1500 are Black?”</w:t>
      </w:r>
      <w:r>
        <w:t xml:space="preserve"> </w:t>
      </w:r>
      <w:r>
        <w:t xml:space="preserve">cannot be answered directly from the</w:t>
      </w:r>
      <w:r>
        <w:t xml:space="preserve"> </w:t>
      </w:r>
      <w:r>
        <w:t xml:space="preserve">published data. The College Board’s</w:t>
      </w:r>
      <w:r>
        <w:t xml:space="preserve"> </w:t>
      </w:r>
      <w:r>
        <w:rPr>
          <w:i/>
          <w:iCs/>
        </w:rPr>
        <w:t xml:space="preserve">SAT Suite of Assessments Annual</w:t>
      </w:r>
      <w:r>
        <w:rPr>
          <w:i/>
          <w:iCs/>
        </w:rPr>
        <w:t xml:space="preserve"> </w:t>
      </w:r>
      <w:r>
        <w:rPr>
          <w:i/>
          <w:iCs/>
        </w:rPr>
        <w:t xml:space="preserve">Report</w:t>
      </w:r>
      <w:r>
        <w:t xml:space="preserve"> </w:t>
      </w:r>
      <w:r>
        <w:t xml:space="preserve">does include, for seven racial/ethnic groups across high</w:t>
      </w:r>
      <w:r>
        <w:t xml:space="preserve"> </w:t>
      </w:r>
      <w:r>
        <w:t xml:space="preserve">school graduating classes from 2018 through 2025, the percentage of</w:t>
      </w:r>
      <w:r>
        <w:t xml:space="preserve"> </w:t>
      </w:r>
      <w:r>
        <w:t xml:space="preserve">test-takers in each of six wide score bands. An eighth category (</w:t>
      </w:r>
      <w:r>
        <w:t xml:space="preserve">“No</w:t>
      </w:r>
      <w:r>
        <w:t xml:space="preserve"> </w:t>
      </w:r>
      <w:r>
        <w:t xml:space="preserve">response”</w:t>
      </w:r>
      <w:r>
        <w:t xml:space="preserve">) is derived by subtraction from the published cohort band</w:t>
      </w:r>
      <w:r>
        <w:t xml:space="preserve"> </w:t>
      </w:r>
      <w:r>
        <w:t xml:space="preserve">counts. We fit a Bayesian hierarchical model to the score band</w:t>
      </w:r>
      <w:r>
        <w:t xml:space="preserve"> </w:t>
      </w:r>
      <w:r>
        <w:t xml:space="preserve">percentages using per-group censored sinh-arcsinh curves (the seven</w:t>
      </w:r>
      <w:r>
        <w:t xml:space="preserve"> </w:t>
      </w:r>
      <w:r>
        <w:t xml:space="preserve">named groups under a shared log-linear scale-trend hierarchy; the</w:t>
      </w:r>
      <w:r>
        <w:t xml:space="preserve"> </w:t>
      </w:r>
      <w:r>
        <w:t xml:space="preserve">No response group with a free per-year scale). We</w:t>
      </w:r>
      <w:r>
        <w:t xml:space="preserve"> </w:t>
      </w:r>
      <w:r>
        <w:t xml:space="preserve">validate the fit by holding out five published cohort numbers per year</w:t>
      </w:r>
      <w:r>
        <w:t xml:space="preserve"> </w:t>
      </w:r>
      <w:r>
        <w:t xml:space="preserve">(the mean, standard deviation, and three quartile scores) and an</w:t>
      </w:r>
      <w:r>
        <w:t xml:space="preserve"> </w:t>
      </w:r>
      <w:r>
        <w:t xml:space="preserve">independent fine-grained percentile reference table, none of which</w:t>
      </w:r>
      <w:r>
        <w:t xml:space="preserve"> </w:t>
      </w:r>
      <w:r>
        <w:t xml:space="preserve">is used during model fitting, and then checking that the fitted</w:t>
      </w:r>
      <w:r>
        <w:t xml:space="preserve"> </w:t>
      </w:r>
      <w:r>
        <w:t xml:space="preserve">distribution approximates them. For the graduating class of 2025, we</w:t>
      </w:r>
      <w:r>
        <w:t xml:space="preserve"> </w:t>
      </w:r>
      <w:r>
        <w:t xml:space="preserve">estimate that approximately 1.0% of SAT-takers</w:t>
      </w:r>
      <w:r>
        <w:t xml:space="preserve"> </w:t>
      </w:r>
      <w:r>
        <w:t xml:space="preserve">scoring 1500 or higher are Black (95% credible interval</w:t>
      </w:r>
      <w:r>
        <w:t xml:space="preserve"> </w:t>
      </w:r>
      <w:r>
        <w:t xml:space="preserve">0.5%–1.7%).</w:t>
      </w:r>
    </w:p>
    <w:bookmarkEnd w:id="20"/>
    <w:bookmarkStart w:id="21" w:name="introduction"/>
    <w:p>
      <w:pPr>
        <w:pStyle w:val="Heading1"/>
      </w:pPr>
      <w:r>
        <w:t xml:space="preserve">Introduction</w:t>
      </w:r>
    </w:p>
    <w:p>
      <w:pPr>
        <w:pStyle w:val="FirstParagraph"/>
      </w:pPr>
      <w:r>
        <w:t xml:space="preserve">The College Board’s SAT</w:t>
      </w:r>
      <w:r>
        <w:t xml:space="preserve"> </w:t>
      </w:r>
      <w:r>
        <w:t xml:space="preserve">(</w:t>
      </w:r>
      <w:hyperlink w:anchor="ref-collegeboard_techmanual">
        <w:r>
          <w:rPr>
            <w:rStyle w:val="Hyperlink"/>
          </w:rPr>
          <w:t xml:space="preserve">College Board, 2024</w:t>
        </w:r>
      </w:hyperlink>
      <w:r>
        <w:t xml:space="preserve">;</w:t>
      </w:r>
      <w:r>
        <w:t xml:space="preserve"> </w:t>
      </w:r>
      <w:hyperlink w:anchor="ref-lemann1999bigtest">
        <w:r>
          <w:rPr>
            <w:rStyle w:val="Hyperlink"/>
          </w:rPr>
          <w:t xml:space="preserve">Lemann, 1999</w:t>
        </w:r>
      </w:hyperlink>
      <w:r>
        <w:t xml:space="preserve">)</w:t>
      </w:r>
      <w:r>
        <w:t xml:space="preserve"> </w:t>
      </w:r>
      <w:r>
        <w:t xml:space="preserve">is the most widely used standardized test for college and university</w:t>
      </w:r>
      <w:r>
        <w:t xml:space="preserve"> </w:t>
      </w:r>
      <w:r>
        <w:t xml:space="preserve">admissions in the United States, with approximately two million</w:t>
      </w:r>
      <w:r>
        <w:t xml:space="preserve"> </w:t>
      </w:r>
      <w:r>
        <w:t xml:space="preserve">test-takers in each graduating class. Total scores correlate around</w:t>
      </w:r>
      <w:r>
        <w:t xml:space="preserve"> </w:t>
      </w:r>
      <w:r>
        <w:t xml:space="preserve">0.8 with omnibus measures of general cognitive ability on the pre-2005</w:t>
      </w:r>
      <w:r>
        <w:t xml:space="preserve"> </w:t>
      </w:r>
      <w:r>
        <w:t xml:space="preserve">SAT</w:t>
      </w:r>
      <w:r>
        <w:t xml:space="preserve"> </w:t>
      </w:r>
      <w:r>
        <w:t xml:space="preserve">(</w:t>
      </w:r>
      <w:hyperlink w:anchor="ref-freydetterman2004">
        <w:r>
          <w:rPr>
            <w:rStyle w:val="Hyperlink"/>
          </w:rPr>
          <w:t xml:space="preserve">Frey &amp; Detterman, 2004</w:t>
        </w:r>
      </w:hyperlink>
      <w:r>
        <w:t xml:space="preserve">)</w:t>
      </w:r>
      <w:r>
        <w:t xml:space="preserve"> </w:t>
      </w:r>
      <w:r>
        <w:t xml:space="preserve">and predict post-secondary academic</w:t>
      </w:r>
      <w:r>
        <w:t xml:space="preserve"> </w:t>
      </w:r>
      <w:r>
        <w:t xml:space="preserve">performance</w:t>
      </w:r>
      <w:r>
        <w:t xml:space="preserve"> </w:t>
      </w:r>
      <w:r>
        <w:t xml:space="preserve">(</w:t>
      </w:r>
      <w:hyperlink w:anchor="ref-kobrinpatterson2011">
        <w:r>
          <w:rPr>
            <w:rStyle w:val="Hyperlink"/>
          </w:rPr>
          <w:t xml:space="preserve">Kobrin &amp; Patterson, 2011</w:t>
        </w:r>
      </w:hyperlink>
      <w:r>
        <w:t xml:space="preserve">;</w:t>
      </w:r>
      <w:r>
        <w:t xml:space="preserve"> </w:t>
      </w:r>
      <w:hyperlink w:anchor="ref-kuncelhezlett2010">
        <w:r>
          <w:rPr>
            <w:rStyle w:val="Hyperlink"/>
          </w:rPr>
          <w:t xml:space="preserve">Kuncel &amp; Hezlett, 2010</w:t>
        </w:r>
      </w:hyperlink>
      <w:r>
        <w:t xml:space="preserve">;</w:t>
      </w:r>
      <w:r>
        <w:t xml:space="preserve"> </w:t>
      </w:r>
      <w:hyperlink w:anchor="ref-sackettkuncelhezlett2009">
        <w:r>
          <w:rPr>
            <w:rStyle w:val="Hyperlink"/>
          </w:rPr>
          <w:t xml:space="preserve">Sackett et al., 2009</w:t>
        </w:r>
      </w:hyperlink>
      <w:r>
        <w:t xml:space="preserve">)</w:t>
      </w:r>
      <w:r>
        <w:t xml:space="preserve">. Selective colleges and merit-scholarship</w:t>
      </w:r>
      <w:r>
        <w:t xml:space="preserve"> </w:t>
      </w:r>
      <w:r>
        <w:t xml:space="preserve">programs impose explicit or de facto thresholds on it.</w:t>
      </w:r>
    </w:p>
    <w:p>
      <w:pPr>
        <w:pStyle w:val="BodyText"/>
      </w:pPr>
      <w:r>
        <w:t xml:space="preserve">The College Board does not release anonymized individual-level scores.</w:t>
      </w:r>
      <w:r>
        <w:t xml:space="preserve"> </w:t>
      </w:r>
      <w:r>
        <w:t xml:space="preserve">However, it does publish, for seven racial/ethnic groups, the</w:t>
      </w:r>
      <w:r>
        <w:t xml:space="preserve"> </w:t>
      </w:r>
      <w:r>
        <w:t xml:space="preserve">percentage of that group’s test-takers in each of six wide total-score</w:t>
      </w:r>
      <w:r>
        <w:t xml:space="preserve"> </w:t>
      </w:r>
      <w:r>
        <w:t xml:space="preserve">bands. A question like</w:t>
      </w:r>
      <w:r>
        <w:t xml:space="preserve"> </w:t>
      </w:r>
      <w:r>
        <w:rPr>
          <w:i/>
          <w:iCs/>
        </w:rPr>
        <w:t xml:space="preserve">what share of students scoring at least 1500</w:t>
      </w:r>
      <w:r>
        <w:rPr>
          <w:i/>
          <w:iCs/>
        </w:rPr>
        <w:t xml:space="preserve"> </w:t>
      </w:r>
      <w:r>
        <w:rPr>
          <w:i/>
          <w:iCs/>
        </w:rPr>
        <w:t xml:space="preserve">in a given graduating class are Black?</w:t>
      </w:r>
      <w:r>
        <w:t xml:space="preserve">, exactly the kind of</w:t>
      </w:r>
      <w:r>
        <w:t xml:space="preserve"> </w:t>
      </w:r>
      <w:r>
        <w:t xml:space="preserve">compositional question that selective-admissions and scholarship</w:t>
      </w:r>
      <w:r>
        <w:t xml:space="preserve"> </w:t>
      </w:r>
      <w:r>
        <w:t xml:space="preserve">policy depend on, cannot be answered directly from those bands. The</w:t>
      </w:r>
      <w:r>
        <w:t xml:space="preserve"> </w:t>
      </w:r>
      <w:r>
        <w:t xml:space="preserve">1500 threshold falls inside the top band (1400–1600).</w:t>
      </w:r>
      <w:r>
        <w:t xml:space="preserve"> </w:t>
      </w:r>
      <w:r>
        <w:t xml:space="preserve">Mean group differences on the SAT and on cognitive-ability</w:t>
      </w:r>
      <w:r>
        <w:t xml:space="preserve"> </w:t>
      </w:r>
      <w:r>
        <w:t xml:space="preserve">assessments more broadly have been documented for decades</w:t>
      </w:r>
      <w:r>
        <w:t xml:space="preserve"> </w:t>
      </w:r>
      <w:r>
        <w:t xml:space="preserve">(</w:t>
      </w:r>
      <w:hyperlink w:anchor="ref-hauser2002">
        <w:r>
          <w:rPr>
            <w:rStyle w:val="Hyperlink"/>
          </w:rPr>
          <w:t xml:space="preserve">Hauser, 2002</w:t>
        </w:r>
      </w:hyperlink>
      <w:r>
        <w:t xml:space="preserve">;</w:t>
      </w:r>
      <w:r>
        <w:t xml:space="preserve"> </w:t>
      </w:r>
      <w:hyperlink w:anchor="ref-reardon2011">
        <w:r>
          <w:rPr>
            <w:rStyle w:val="Hyperlink"/>
          </w:rPr>
          <w:t xml:space="preserve">Reardon, 2011</w:t>
        </w:r>
      </w:hyperlink>
      <w:r>
        <w:t xml:space="preserve">;</w:t>
      </w:r>
      <w:r>
        <w:t xml:space="preserve"> </w:t>
      </w:r>
      <w:hyperlink w:anchor="ref-reardonkalogridesshores2019">
        <w:r>
          <w:rPr>
            <w:rStyle w:val="Hyperlink"/>
          </w:rPr>
          <w:t xml:space="preserve">Reardon et al., 2019</w:t>
        </w:r>
      </w:hyperlink>
      <w:r>
        <w:t xml:space="preserve">;</w:t>
      </w:r>
      <w:r>
        <w:t xml:space="preserve"> </w:t>
      </w:r>
      <w:hyperlink w:anchor="ref-roth2001ethnic">
        <w:r>
          <w:rPr>
            <w:rStyle w:val="Hyperlink"/>
          </w:rPr>
          <w:t xml:space="preserve">Roth et al., 2001</w:t>
        </w:r>
      </w:hyperlink>
      <w:r>
        <w:t xml:space="preserve">)</w:t>
      </w:r>
      <w:r>
        <w:t xml:space="preserve">, but the</w:t>
      </w:r>
      <w:r>
        <w:t xml:space="preserve"> </w:t>
      </w:r>
      <w:r>
        <w:rPr>
          <w:i/>
          <w:iCs/>
        </w:rPr>
        <w:t xml:space="preserve">shape</w:t>
      </w:r>
      <w:r>
        <w:t xml:space="preserve"> </w:t>
      </w:r>
      <w:r>
        <w:t xml:space="preserve">of each group’s</w:t>
      </w:r>
      <w:r>
        <w:t xml:space="preserve"> </w:t>
      </w:r>
      <w:r>
        <w:t xml:space="preserve">upper tail, which determines who clusters above any selective cutoff,</w:t>
      </w:r>
      <w:r>
        <w:t xml:space="preserve"> </w:t>
      </w:r>
      <w:r>
        <w:t xml:space="preserve">is not visible from the published summaries alone.</w:t>
      </w:r>
    </w:p>
    <w:p>
      <w:pPr>
        <w:pStyle w:val="BodyText"/>
      </w:pPr>
      <w:r>
        <w:t xml:space="preserve">The curves estimated here describe SAT</w:t>
      </w:r>
      <w:r>
        <w:t xml:space="preserve"> </w:t>
      </w:r>
      <w:r>
        <w:rPr>
          <w:i/>
          <w:iCs/>
        </w:rPr>
        <w:t xml:space="preserve">test-takers</w:t>
      </w:r>
      <w:r>
        <w:t xml:space="preserve">, not the broader</w:t>
      </w:r>
      <w:r>
        <w:t xml:space="preserve"> </w:t>
      </w:r>
      <w:r>
        <w:t xml:space="preserve">U.S. 18-year-old population. The test-taker cohort is the</w:t>
      </w:r>
      <w:r>
        <w:t xml:space="preserve"> </w:t>
      </w:r>
      <w:r>
        <w:t xml:space="preserve">policy-relevant population for admissions and scholarship decisions</w:t>
      </w:r>
      <w:r>
        <w:t xml:space="preserve"> </w:t>
      </w:r>
      <w:r>
        <w:t xml:space="preserve">that condition on an SAT score. Mapping these quantities back to the</w:t>
      </w:r>
      <w:r>
        <w:t xml:space="preserve"> </w:t>
      </w:r>
      <w:r>
        <w:t xml:space="preserve">broader cohort would require a separate model of test participation</w:t>
      </w:r>
      <w:r>
        <w:t xml:space="preserve"> </w:t>
      </w:r>
      <w:r>
        <w:t xml:space="preserve">which we do not attempt here.</w:t>
      </w:r>
    </w:p>
    <w:p>
      <w:pPr>
        <w:pStyle w:val="BodyText"/>
      </w:pPr>
      <w:r>
        <w:t xml:space="preserve">The College Board’s annual</w:t>
      </w:r>
      <w:r>
        <w:t xml:space="preserve"> </w:t>
      </w:r>
      <w:r>
        <w:rPr>
          <w:i/>
          <w:iCs/>
        </w:rPr>
        <w:t xml:space="preserve">SAT Suite of Assessments Annual Report</w:t>
      </w:r>
      <w:r>
        <w:t xml:space="preserve"> </w:t>
      </w:r>
      <w:r>
        <w:t xml:space="preserve">(</w:t>
      </w:r>
      <w:hyperlink w:anchor="ref-collegeboard_annual">
        <w:r>
          <w:rPr>
            <w:rStyle w:val="Hyperlink"/>
          </w:rPr>
          <w:t xml:space="preserve">College Board, 2018–2025</w:t>
        </w:r>
      </w:hyperlink>
      <w:r>
        <w:t xml:space="preserve">)</w:t>
      </w:r>
      <w:r>
        <w:t xml:space="preserve"> </w:t>
      </w:r>
      <w:r>
        <w:t xml:space="preserve">gives, for each graduating class from 2018</w:t>
      </w:r>
      <w:r>
        <w:t xml:space="preserve"> </w:t>
      </w:r>
      <w:r>
        <w:t xml:space="preserve">through 2025, the number of test-takers and the mean total score on</w:t>
      </w:r>
      <w:r>
        <w:t xml:space="preserve"> </w:t>
      </w:r>
      <w:r>
        <w:t xml:space="preserve">the 400–1600 scale for each of eight racial/ethnic categories (the</w:t>
      </w:r>
      <w:r>
        <w:t xml:space="preserve"> </w:t>
      </w:r>
      <w:r>
        <w:t xml:space="preserve">seven named in the report, plus a</w:t>
      </w:r>
      <w:r>
        <w:t xml:space="preserve"> </w:t>
      </w:r>
      <w:r>
        <w:t xml:space="preserve">“No response”</w:t>
      </w:r>
      <w:r>
        <w:t xml:space="preserve"> </w:t>
      </w:r>
      <w:r>
        <w:t xml:space="preserve">residual we treat</w:t>
      </w:r>
      <w:r>
        <w:t xml:space="preserve"> </w:t>
      </w:r>
      <w:r>
        <w:t xml:space="preserve">as an eighth), and the percentage (integer-rounded) of the group’s</w:t>
      </w:r>
      <w:r>
        <w:t xml:space="preserve"> </w:t>
      </w:r>
      <w:r>
        <w:t xml:space="preserve">test-takers in each of six wide score bands for the seven named</w:t>
      </w:r>
      <w:r>
        <w:t xml:space="preserve"> </w:t>
      </w:r>
      <w:r>
        <w:t xml:space="preserve">groups only (the No response band counts are derived by subtraction</w:t>
      </w:r>
      <w:r>
        <w:t xml:space="preserve"> </w:t>
      </w:r>
      <w:r>
        <w:t xml:space="preserve">from the published cohort band totals). The published cohort</w:t>
      </w:r>
      <w:r>
        <w:t xml:space="preserve"> </w:t>
      </w:r>
      <w:r>
        <w:t xml:space="preserve">SD, quartiles, and fine-grained percentile reference table</w:t>
      </w:r>
      <w:r>
        <w:t xml:space="preserve"> </w:t>
      </w:r>
      <w:r>
        <w:t xml:space="preserve">(</w:t>
      </w:r>
      <w:hyperlink w:anchor="ref-collegeboard_percentiles">
        <w:r>
          <w:rPr>
            <w:rStyle w:val="Hyperlink"/>
          </w:rPr>
          <w:t xml:space="preserve">College Board, 2025</w:t>
        </w:r>
      </w:hyperlink>
      <w:r>
        <w:t xml:space="preserve">)</w:t>
      </w:r>
      <w:r>
        <w:t xml:space="preserve"> </w:t>
      </w:r>
      <w:r>
        <w:t xml:space="preserve">are held out as external checks.</w:t>
      </w:r>
    </w:p>
    <w:p>
      <w:pPr>
        <w:pStyle w:val="BodyText"/>
      </w:pPr>
      <w:r>
        <w:t xml:space="preserve">We model the latent total score for each (group, year) as a</w:t>
      </w:r>
      <w:r>
        <w:t xml:space="preserve"> </w:t>
      </w:r>
      <w:r>
        <w:t xml:space="preserve">censored sinh-arcsinh (</w:t>
      </w:r>
      <w:r>
        <w:t xml:space="preserve">“SHASH”</w:t>
      </w:r>
      <w:r>
        <w:t xml:space="preserve">) random variable, with the eight</w:t>
      </w:r>
      <w:r>
        <w:t xml:space="preserve"> </w:t>
      </w:r>
      <w:r>
        <w:t xml:space="preserve">per-group curves fit jointly via Bayesian hierarchical Hamiltonian</w:t>
      </w:r>
      <w:r>
        <w:t xml:space="preserve"> </w:t>
      </w:r>
      <w:r>
        <w:t xml:space="preserve">Monte Carlo and a Dirichlet likelihood on the band percentages whose</w:t>
      </w:r>
      <w:r>
        <w:t xml:space="preserve"> </w:t>
      </w:r>
      <w:r>
        <w:t xml:space="preserve">dispersion is decoupled from group size. Methods gives the full</w:t>
      </w:r>
      <w:r>
        <w:t xml:space="preserve"> </w:t>
      </w:r>
      <w:r>
        <w:t xml:space="preserve">specification.</w:t>
      </w:r>
    </w:p>
    <w:p>
      <w:pPr>
        <w:pStyle w:val="BodyText"/>
      </w:pPr>
      <w:r>
        <w:t xml:space="preserve">The fit is validated against the cohort quartiles (a test of the</w:t>
      </w:r>
      <w:r>
        <w:t xml:space="preserve"> </w:t>
      </w:r>
      <w:r>
        <w:t xml:space="preserve">model’s calibration at three interior points; the model is never</w:t>
      </w:r>
      <w:r>
        <w:t xml:space="preserve"> </w:t>
      </w:r>
      <w:r>
        <w:t xml:space="preserve">shown these quartiles) and an independent</w:t>
      </w:r>
      <w:r>
        <w:t xml:space="preserve"> </w:t>
      </w:r>
      <w:r>
        <w:t xml:space="preserve">fine-grained percentile reference table</w:t>
      </w:r>
      <w:r>
        <w:t xml:space="preserve"> </w:t>
      </w:r>
      <w:r>
        <w:t xml:space="preserve">(</w:t>
      </w:r>
      <w:hyperlink w:anchor="ref-collegeboard_percentiles">
        <w:r>
          <w:rPr>
            <w:rStyle w:val="Hyperlink"/>
          </w:rPr>
          <w:t xml:space="preserve">College Board, 2025</w:t>
        </w:r>
      </w:hyperlink>
      <w:r>
        <w:t xml:space="preserve">)</w:t>
      </w:r>
      <w:r>
        <w:t xml:space="preserve">.</w:t>
      </w:r>
      <w:r>
        <w:t xml:space="preserve"> </w:t>
      </w:r>
      <w:r>
        <w:t xml:space="preserve">Against the percentile reference, properly read against the integer</w:t>
      </w:r>
      <w:r>
        <w:t xml:space="preserve"> </w:t>
      </w:r>
      <w:r>
        <w:t xml:space="preserve">rounding of the published table, the model is consistent with the</w:t>
      </w:r>
      <w:r>
        <w:t xml:space="preserve"> </w:t>
      </w:r>
      <w:r>
        <w:t xml:space="preserve">published values throughout the body of the distribution and through</w:t>
      </w:r>
      <w:r>
        <w:t xml:space="preserve"> </w:t>
      </w:r>
      <w:r>
        <w:t xml:space="preserve">the headline threshold</w:t>
      </w:r>
      <w:r>
        <w:t xml:space="preserve"> </w:t>
      </w:r>
      <m:oMath>
        <m:r>
          <m:t>t</m:t>
        </m:r>
        <m:r>
          <m:rPr>
            <m:sty m:val="p"/>
          </m:rPr>
          <m:t>=</m:t>
        </m:r>
        <m:r>
          <m:t>1500</m:t>
        </m:r>
      </m:oMath>
      <w:r>
        <w:t xml:space="preserve">, with a mild residual at</w:t>
      </w:r>
      <w:r>
        <w:t xml:space="preserve"> </w:t>
      </w:r>
      <m:oMath>
        <m:r>
          <m:t>t</m:t>
        </m:r>
        <m:r>
          <m:rPr>
            <m:sty m:val="p"/>
          </m:rPr>
          <m:t>=</m:t>
        </m:r>
        <m:r>
          <m:t>1550</m:t>
        </m:r>
      </m:oMath>
      <w:r>
        <w:t xml:space="preserve"> </w:t>
      </w:r>
      <w:r>
        <w:t xml:space="preserve">(see Validation).</w:t>
      </w:r>
    </w:p>
    <w:p>
      <w:pPr>
        <w:pStyle w:val="BodyText"/>
      </w:pPr>
      <w:r>
        <w:t xml:space="preserve">For the graduating class of 2025, approximately 1.7%</w:t>
      </w:r>
      <w:r>
        <w:t xml:space="preserve"> </w:t>
      </w:r>
      <w:r>
        <w:t xml:space="preserve">of SAT-takers scoring 1400 or higher are Black, a share that involves</w:t>
      </w:r>
      <w:r>
        <w:t xml:space="preserve"> </w:t>
      </w:r>
      <w:r>
        <w:t xml:space="preserve">no model interpolation, since 1400 is a reported band boundary, and</w:t>
      </w:r>
      <w:r>
        <w:t xml:space="preserve"> </w:t>
      </w:r>
      <w:r>
        <w:t xml:space="preserve">follows directly from the College Board’s published numbers. The corresponding share at 1500 cannot be</w:t>
      </w:r>
      <w:r>
        <w:t xml:space="preserve"> </w:t>
      </w:r>
      <w:r>
        <w:t xml:space="preserve">read off the published numbers because 1500 sits inside the top</w:t>
      </w:r>
      <w:r>
        <w:t xml:space="preserve"> </w:t>
      </w:r>
      <w:r>
        <w:t xml:space="preserve">reported band. The Black share of the 1500 or higher pool is estimated at</w:t>
      </w:r>
      <w:r>
        <w:t xml:space="preserve"> </w:t>
      </w:r>
      <w:r>
        <w:t xml:space="preserve">approximately 1.0%, with a 95% credible interval running</w:t>
      </w:r>
      <w:r>
        <w:t xml:space="preserve"> </w:t>
      </w:r>
      <w:r>
        <w:t xml:space="preserve">from 0.5% to 1.7%. The 1500 figure</w:t>
      </w:r>
      <w:r>
        <w:t xml:space="preserve"> </w:t>
      </w:r>
      <w:r>
        <w:t xml:space="preserve">involves interpolation within the top reported band, and the</w:t>
      </w:r>
      <w:r>
        <w:t xml:space="preserve"> </w:t>
      </w:r>
      <w:r>
        <w:t xml:space="preserve">implied cohort share at</w:t>
      </w:r>
      <w:r>
        <w:t xml:space="preserve"> </w:t>
      </w:r>
      <m:oMath>
        <m:r>
          <m:t>t</m:t>
        </m:r>
        <m:r>
          <m:rPr>
            <m:sty m:val="p"/>
          </m:rPr>
          <m:t>=</m:t>
        </m:r>
        <m:r>
          <m:t>1500</m:t>
        </m:r>
      </m:oMath>
      <w:r>
        <w:t xml:space="preserve">, for the pooled 2023–2025</w:t>
      </w:r>
      <w:r>
        <w:t xml:space="preserve"> </w:t>
      </w:r>
      <w:r>
        <w:t xml:space="preserve">cohort, is consistent with the integer-rounded value in the College</w:t>
      </w:r>
      <w:r>
        <w:t xml:space="preserve"> </w:t>
      </w:r>
      <w:r>
        <w:t xml:space="preserve">Board’s SAT User Percentile reference table for that same pooled</w:t>
      </w:r>
      <w:r>
        <w:t xml:space="preserve"> </w:t>
      </w:r>
      <w:r>
        <w:t xml:space="preserve">window. The model estimates an Asian-to-Black ratio of about</w:t>
      </w:r>
      <w:r>
        <w:t xml:space="preserve"> </w:t>
      </w:r>
      <w:r>
        <w:t xml:space="preserve">43:1 among test-takers scoring 1500 or higher (95%</w:t>
      </w:r>
      <w:r>
        <w:t xml:space="preserve"> </w:t>
      </w:r>
      <w:r>
        <w:t xml:space="preserve">credible interval 25:1 to 79:1).</w:t>
      </w:r>
    </w:p>
    <w:bookmarkEnd w:id="21"/>
    <w:bookmarkStart w:id="32" w:name="data"/>
    <w:p>
      <w:pPr>
        <w:pStyle w:val="Heading1"/>
      </w:pPr>
      <w:r>
        <w:t xml:space="preserve">Data</w:t>
      </w:r>
    </w:p>
    <w:p>
      <w:pPr>
        <w:pStyle w:val="FirstParagraph"/>
      </w:pPr>
      <w:r>
        <w:t xml:space="preserve">The data are drawn from the</w:t>
      </w:r>
      <w:r>
        <w:t xml:space="preserve"> </w:t>
      </w:r>
      <w:r>
        <w:rPr>
          <w:i/>
          <w:iCs/>
        </w:rPr>
        <w:t xml:space="preserve">SAT Suite of Assessments Annual Report</w:t>
      </w:r>
      <w:r>
        <w:t xml:space="preserve"> </w:t>
      </w:r>
      <w:r>
        <w:t xml:space="preserve">(</w:t>
      </w:r>
      <w:hyperlink w:anchor="ref-collegeboard_annual">
        <w:r>
          <w:rPr>
            <w:rStyle w:val="Hyperlink"/>
          </w:rPr>
          <w:t xml:space="preserve">College Board, 2018–2025</w:t>
        </w:r>
      </w:hyperlink>
      <w:r>
        <w:t xml:space="preserve">)</w:t>
      </w:r>
      <w:r>
        <w:t xml:space="preserve"> </w:t>
      </w:r>
      <w:r>
        <w:t xml:space="preserve">for the graduating classes of 2018 through 2025.</w:t>
      </w:r>
      <w:r>
        <w:t xml:space="preserve"> </w:t>
      </w:r>
      <w:r>
        <w:t xml:space="preserve">Each report tabulates, by race/ethnicity, the number of test-takers, the</w:t>
      </w:r>
      <w:r>
        <w:t xml:space="preserve"> </w:t>
      </w:r>
      <w:r>
        <w:t xml:space="preserve">mean total score (on the 400–1600 scale), and the percentage of</w:t>
      </w:r>
      <w:r>
        <w:t xml:space="preserve"> </w:t>
      </w:r>
      <w:r>
        <w:t xml:space="preserve">test-takers whose total score falls in each of six bands: 400–590,</w:t>
      </w:r>
      <w:r>
        <w:t xml:space="preserve"> </w:t>
      </w:r>
      <w:r>
        <w:t xml:space="preserve">600–790, 800–990, 1000–1190, 1200–1390, and 1400–1600. The reports</w:t>
      </w:r>
      <w:r>
        <w:t xml:space="preserve"> </w:t>
      </w:r>
      <w:r>
        <w:t xml:space="preserve">identify seven racial/ethnic categories (White, Black/African American,</w:t>
      </w:r>
      <w:r>
        <w:t xml:space="preserve"> </w:t>
      </w:r>
      <w:r>
        <w:t xml:space="preserve">Hispanic/Latino, Asian, Two or More Races, American Indian/Alaska</w:t>
      </w:r>
      <w:r>
        <w:t xml:space="preserve"> </w:t>
      </w:r>
      <w:r>
        <w:t xml:space="preserve">Native, and Native Hawaiian/Other Pacific Islander) and also report</w:t>
      </w:r>
      <w:r>
        <w:t xml:space="preserve"> </w:t>
      </w:r>
      <w:r>
        <w:t xml:space="preserve">totals for the full cohort, which is larger than the sum of the seven</w:t>
      </w:r>
      <w:r>
        <w:t xml:space="preserve"> </w:t>
      </w:r>
      <w:r>
        <w:t xml:space="preserve">because some test-takers decline to report a category.</w:t>
      </w:r>
      <w:r>
        <w:rPr>
          <w:rStyle w:val="FootnoteReference"/>
        </w:rPr>
        <w:footnoteReference w:id="22"/>
      </w:r>
    </w:p>
    <w:p>
      <w:pPr>
        <w:pStyle w:val="BodyText"/>
      </w:pPr>
      <w:hyperlink w:anchor="tbl-pdf">
        <w:r>
          <w:rPr>
            <w:rStyle w:val="Hyperlink"/>
          </w:rPr>
          <w:t xml:space="preserve">Table 1</w:t>
        </w:r>
      </w:hyperlink>
      <w:r>
        <w:t xml:space="preserve"> </w:t>
      </w:r>
      <w:r>
        <w:t xml:space="preserve">reproduces the seven per-group rows the report prints for the</w:t>
      </w:r>
      <w:r>
        <w:t xml:space="preserve"> </w:t>
      </w:r>
      <w:r>
        <w:t xml:space="preserve">graduating class of 2025, with the numbers shown exactly as printed</w:t>
      </w:r>
      <w:r>
        <w:t xml:space="preserve"> </w:t>
      </w:r>
      <w:r>
        <w:t xml:space="preserve">(group order in the table does not follow the report’s print order).</w:t>
      </w:r>
      <w:r>
        <w:t xml:space="preserve"> </w:t>
      </w:r>
      <w:r>
        <w:t xml:space="preserve">Three features of</w:t>
      </w:r>
      <w:r>
        <w:t xml:space="preserve"> </w:t>
      </w:r>
      <w:r>
        <w:t xml:space="preserve">that raw table matter for what follows. First, the band percentages</w:t>
      </w:r>
      <w:r>
        <w:t xml:space="preserve"> </w:t>
      </w:r>
      <w:r>
        <w:t xml:space="preserve">are rounded to integers. Second, one of those rounded values is</w:t>
      </w:r>
      <w:r>
        <w:t xml:space="preserve"> </w:t>
      </w:r>
      <w:r>
        <w:t xml:space="preserve">zero (Asian in 400–590), meaning the true value is in</w:t>
      </w:r>
      <w:r>
        <w:t xml:space="preserve"> </w:t>
      </w:r>
      <m:oMath>
        <m:r>
          <m:rPr>
            <m:sty m:val="p"/>
          </m:rPr>
          <m:t>[</m:t>
        </m:r>
        <m:r>
          <m:t>0</m:t>
        </m:r>
        <m:r>
          <m:rPr>
            <m:sty m:val="p"/>
          </m:rPr>
          <m:t>,</m:t>
        </m:r>
        <m:r>
          <m:t>0.5</m:t>
        </m:r>
        <m:r>
          <m:rPr>
            <m:sty m:val="p"/>
          </m:rPr>
          <m:t>)</m:t>
        </m:r>
      </m:oMath>
      <w:r>
        <w:t xml:space="preserve"> </w:t>
      </w:r>
      <w:r>
        <w:t xml:space="preserve">rather than that no test-taker in that group scored in that band.</w:t>
      </w:r>
      <w:r>
        <w:t xml:space="preserve"> </w:t>
      </w:r>
      <w:r>
        <w:t xml:space="preserve">Third, because of integer rounding the six bands of a given group</w:t>
      </w:r>
      <w:r>
        <w:t xml:space="preserve"> </w:t>
      </w:r>
      <w:r>
        <w:t xml:space="preserve">need not sum to exactly 100. The report also publishes test-takers</w:t>
      </w:r>
      <w:r>
        <w:t xml:space="preserve"> </w:t>
      </w:r>
      <w:r>
        <w:t xml:space="preserve">and mean total score for an eighth row,</w:t>
      </w:r>
      <w:r>
        <w:t xml:space="preserve"> </w:t>
      </w:r>
      <w:r>
        <w:t xml:space="preserve">“No response”</w:t>
      </w:r>
      <w:r>
        <w:t xml:space="preserve">, which contains</w:t>
      </w:r>
      <w:r>
        <w:t xml:space="preserve"> </w:t>
      </w:r>
      <w:r>
        <w:t xml:space="preserve">test-takers who did not disclose a race or ethnicity, but the report</w:t>
      </w:r>
      <w:r>
        <w:t xml:space="preserve"> </w:t>
      </w:r>
      <w:r>
        <w:t xml:space="preserve">does not print band percentages for that row.</w:t>
      </w:r>
    </w:p>
    <w:tbl>
      <w:tblPr>
        <w:tblStyle w:val="Table"/>
        <w:tblW w:type="pct" w:w="5000"/>
        <w:tblLayout w:type="fixed"/>
        <w:tblLook w:firstRow="0" w:lastRow="0" w:firstColumn="0" w:lastColumn="0" w:noHBand="0" w:noVBand="0" w:val="0000"/>
      </w:tblPr>
      <w:tblGrid>
        <w:gridCol w:w="7920"/>
      </w:tblGrid>
      <w:tr>
        <w:tc>
          <w:tcPr/>
          <w:bookmarkStart w:id="23" w:name="tbl-pdf"/>
          <w:p>
            <w:pPr>
              <w:jc w:val="center"/>
            </w:pPr>
            <w:pPr>
              <w:jc w:val="left"/>
              <w:spacing w:before="200"/>
              <w:pStyle w:val="ImageCaption"/>
            </w:pPr>
            <w:r>
              <w:t xml:space="preserve">Table 1:</w:t>
            </w:r>
            <w:r>
              <w:t xml:space="preserve"> </w:t>
            </w:r>
            <w:r>
              <w:rPr>
                <w:b/>
                <w:bCs/>
              </w:rPr>
              <w:t xml:space="preserve">Per-Group Inputs from the 2025 SAT Suite Annual Report.</w:t>
            </w:r>
            <w:r>
              <w:t xml:space="preserve"> </w:t>
            </w:r>
            <w:r>
              <w:t xml:space="preserve">Test-takers (</w:t>
            </w:r>
            <m:oMath>
              <m:r>
                <m:t>N</m:t>
              </m:r>
            </m:oMath>
            <w:r>
              <w:t xml:space="preserve">), mean total score, and the percentage of each group’s test-takers in each of six total-score bands, as printed by the College Board. Band percentages are integers as printed and may not sum to 100 because of rounding.</w:t>
            </w:r>
          </w:p>
          <w:tbl>
            <w:tblPr>
              <w:tblStyle w:val="Table"/>
              <w:tblW w:type="pct" w:w="5000"/>
              <w:tblLayout w:type="fixed"/>
              <w:tblLook w:firstRow="1" w:lastRow="0" w:firstColumn="0" w:lastColumn="0" w:noHBand="0" w:noVBand="0" w:val="0020"/>
            </w:tblPr>
            <w:tblGrid>
              <w:gridCol w:w="1423"/>
              <w:gridCol w:w="711"/>
              <w:gridCol w:w="444"/>
              <w:gridCol w:w="800"/>
              <w:gridCol w:w="800"/>
              <w:gridCol w:w="800"/>
              <w:gridCol w:w="978"/>
              <w:gridCol w:w="978"/>
              <w:gridCol w:w="978"/>
            </w:tblGrid>
            <w:tr>
              <w:trPr>
                <w:tblHeader w:val="on"/>
              </w:trPr>
              <w:tc>
                <w:tcPr/>
                <w:p>
                  <w:pPr>
                    <w:pStyle w:val="Compact"/>
                    <w:jc w:val="left"/>
                    <w:jc w:val="center"/>
                  </w:pPr>
                  <w:r>
                    <w:t xml:space="preserve">Group</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400–590</w:t>
                  </w:r>
                </w:p>
              </w:tc>
              <w:tc>
                <w:tcPr/>
                <w:p>
                  <w:pPr>
                    <w:pStyle w:val="Compact"/>
                    <w:jc w:val="right"/>
                    <w:jc w:val="center"/>
                  </w:pPr>
                  <w:r>
                    <w:t xml:space="preserve">600–790</w:t>
                  </w:r>
                </w:p>
              </w:tc>
              <w:tc>
                <w:tcPr/>
                <w:p>
                  <w:pPr>
                    <w:pStyle w:val="Compact"/>
                    <w:jc w:val="right"/>
                    <w:jc w:val="center"/>
                  </w:pPr>
                  <w:r>
                    <w:t xml:space="preserve">800–990</w:t>
                  </w:r>
                </w:p>
              </w:tc>
              <w:tc>
                <w:tcPr/>
                <w:p>
                  <w:pPr>
                    <w:pStyle w:val="Compact"/>
                    <w:jc w:val="right"/>
                    <w:jc w:val="center"/>
                  </w:pPr>
                  <w:r>
                    <w:t xml:space="preserve">1000–1190</w:t>
                  </w:r>
                </w:p>
              </w:tc>
              <w:tc>
                <w:tcPr/>
                <w:p>
                  <w:pPr>
                    <w:pStyle w:val="Compact"/>
                    <w:jc w:val="right"/>
                    <w:jc w:val="center"/>
                  </w:pPr>
                  <w:r>
                    <w:t xml:space="preserve">1200–1390</w:t>
                  </w:r>
                </w:p>
              </w:tc>
              <w:tc>
                <w:tcPr/>
                <w:p>
                  <w:pPr>
                    <w:pStyle w:val="Compact"/>
                    <w:jc w:val="right"/>
                    <w:jc w:val="center"/>
                  </w:pPr>
                  <w:r>
                    <w:t xml:space="preserve">1400–1600</w:t>
                  </w:r>
                </w:p>
              </w:tc>
            </w:tr>
            <w:tr>
              <w:tc>
                <w:tcPr/>
                <w:p>
                  <w:pPr>
                    <w:pStyle w:val="Compact"/>
                    <w:jc w:val="left"/>
                    <w:jc w:val="center"/>
                  </w:pPr>
                  <w:r>
                    <w:t xml:space="preserve">White</w:t>
                  </w:r>
                </w:p>
              </w:tc>
              <w:tc>
                <w:tcPr/>
                <w:p>
                  <w:pPr>
                    <w:pStyle w:val="Compact"/>
                    <w:jc w:val="right"/>
                    <w:jc w:val="center"/>
                  </w:pPr>
                  <w:r>
                    <w:t xml:space="preserve">743,981</w:t>
                  </w:r>
                </w:p>
              </w:tc>
              <w:tc>
                <w:tcPr/>
                <w:p>
                  <w:pPr>
                    <w:pStyle w:val="Compact"/>
                    <w:jc w:val="right"/>
                    <w:jc w:val="center"/>
                  </w:pPr>
                  <w:r>
                    <w:t xml:space="preserve">1077</w:t>
                  </w:r>
                </w:p>
              </w:tc>
              <w:tc>
                <w:tcPr/>
                <w:p>
                  <w:pPr>
                    <w:pStyle w:val="Compact"/>
                    <w:jc w:val="right"/>
                    <w:jc w:val="center"/>
                  </w:pPr>
                  <w:r>
                    <w:t xml:space="preserve">1</w:t>
                  </w:r>
                </w:p>
              </w:tc>
              <w:tc>
                <w:tcPr/>
                <w:p>
                  <w:pPr>
                    <w:pStyle w:val="Compact"/>
                    <w:jc w:val="right"/>
                    <w:jc w:val="center"/>
                  </w:pPr>
                  <w:r>
                    <w:t xml:space="preserve">7</w:t>
                  </w:r>
                </w:p>
              </w:tc>
              <w:tc>
                <w:tcPr/>
                <w:p>
                  <w:pPr>
                    <w:pStyle w:val="Compact"/>
                    <w:jc w:val="right"/>
                    <w:jc w:val="center"/>
                  </w:pPr>
                  <w:r>
                    <w:t xml:space="preserve">27</w:t>
                  </w:r>
                </w:p>
              </w:tc>
              <w:tc>
                <w:tcPr/>
                <w:p>
                  <w:pPr>
                    <w:pStyle w:val="Compact"/>
                    <w:jc w:val="right"/>
                    <w:jc w:val="center"/>
                  </w:pPr>
                  <w:r>
                    <w:t xml:space="preserve">35</w:t>
                  </w:r>
                </w:p>
              </w:tc>
              <w:tc>
                <w:tcPr/>
                <w:p>
                  <w:pPr>
                    <w:pStyle w:val="Compact"/>
                    <w:jc w:val="right"/>
                    <w:jc w:val="center"/>
                  </w:pPr>
                  <w:r>
                    <w:t xml:space="preserve">23</w:t>
                  </w:r>
                </w:p>
              </w:tc>
              <w:tc>
                <w:tcPr/>
                <w:p>
                  <w:pPr>
                    <w:pStyle w:val="Compact"/>
                    <w:jc w:val="right"/>
                    <w:jc w:val="center"/>
                  </w:pPr>
                  <w:r>
                    <w:t xml:space="preserve">7</w:t>
                  </w:r>
                </w:p>
              </w:tc>
            </w:tr>
            <w:tr>
              <w:tc>
                <w:tcPr/>
                <w:p>
                  <w:pPr>
                    <w:pStyle w:val="Compact"/>
                    <w:jc w:val="left"/>
                    <w:jc w:val="center"/>
                  </w:pPr>
                  <w:r>
                    <w:t xml:space="preserve">Hispanic/Latino</w:t>
                  </w:r>
                </w:p>
              </w:tc>
              <w:tc>
                <w:tcPr/>
                <w:p>
                  <w:pPr>
                    <w:pStyle w:val="Compact"/>
                    <w:jc w:val="right"/>
                    <w:jc w:val="center"/>
                  </w:pPr>
                  <w:r>
                    <w:t xml:space="preserve">537,624</w:t>
                  </w:r>
                </w:p>
              </w:tc>
              <w:tc>
                <w:tcPr/>
                <w:p>
                  <w:pPr>
                    <w:pStyle w:val="Compact"/>
                    <w:jc w:val="right"/>
                    <w:jc w:val="center"/>
                  </w:pPr>
                  <w:r>
                    <w:t xml:space="preserve">928</w:t>
                  </w:r>
                </w:p>
              </w:tc>
              <w:tc>
                <w:tcPr/>
                <w:p>
                  <w:pPr>
                    <w:pStyle w:val="Compact"/>
                    <w:jc w:val="right"/>
                    <w:jc w:val="center"/>
                  </w:pPr>
                  <w:r>
                    <w:t xml:space="preserve">4</w:t>
                  </w:r>
                </w:p>
              </w:tc>
              <w:tc>
                <w:tcPr/>
                <w:p>
                  <w:pPr>
                    <w:pStyle w:val="Compact"/>
                    <w:jc w:val="right"/>
                    <w:jc w:val="center"/>
                  </w:pPr>
                  <w:r>
                    <w:t xml:space="preserve">22</w:t>
                  </w:r>
                </w:p>
              </w:tc>
              <w:tc>
                <w:tcPr/>
                <w:p>
                  <w:pPr>
                    <w:pStyle w:val="Compact"/>
                    <w:jc w:val="right"/>
                    <w:jc w:val="center"/>
                  </w:pPr>
                  <w:r>
                    <w:t xml:space="preserve">39</w:t>
                  </w:r>
                </w:p>
              </w:tc>
              <w:tc>
                <w:tcPr/>
                <w:p>
                  <w:pPr>
                    <w:pStyle w:val="Compact"/>
                    <w:jc w:val="right"/>
                    <w:jc w:val="center"/>
                  </w:pPr>
                  <w:r>
                    <w:t xml:space="preserve">24</w:t>
                  </w:r>
                </w:p>
              </w:tc>
              <w:tc>
                <w:tcPr/>
                <w:p>
                  <w:pPr>
                    <w:pStyle w:val="Compact"/>
                    <w:jc w:val="right"/>
                    <w:jc w:val="center"/>
                  </w:pPr>
                  <w:r>
                    <w:t xml:space="preserve">9</w:t>
                  </w:r>
                </w:p>
              </w:tc>
              <w:tc>
                <w:tcPr/>
                <w:p>
                  <w:pPr>
                    <w:pStyle w:val="Compact"/>
                    <w:jc w:val="right"/>
                    <w:jc w:val="center"/>
                  </w:pPr>
                  <w:r>
                    <w:t xml:space="preserve">2</w:t>
                  </w:r>
                </w:p>
              </w:tc>
            </w:tr>
            <w:tr>
              <w:tc>
                <w:tcPr/>
                <w:p>
                  <w:pPr>
                    <w:pStyle w:val="Compact"/>
                    <w:jc w:val="left"/>
                    <w:jc w:val="center"/>
                  </w:pPr>
                  <w:r>
                    <w:t xml:space="preserve">Black</w:t>
                  </w:r>
                </w:p>
              </w:tc>
              <w:tc>
                <w:tcPr/>
                <w:p>
                  <w:pPr>
                    <w:pStyle w:val="Compact"/>
                    <w:jc w:val="right"/>
                    <w:jc w:val="center"/>
                  </w:pPr>
                  <w:r>
                    <w:t xml:space="preserve">250,887</w:t>
                  </w:r>
                </w:p>
              </w:tc>
              <w:tc>
                <w:tcPr/>
                <w:p>
                  <w:pPr>
                    <w:pStyle w:val="Compact"/>
                    <w:jc w:val="right"/>
                    <w:jc w:val="center"/>
                  </w:pPr>
                  <w:r>
                    <w:t xml:space="preserve">904</w:t>
                  </w:r>
                </w:p>
              </w:tc>
              <w:tc>
                <w:tcPr/>
                <w:p>
                  <w:pPr>
                    <w:pStyle w:val="Compact"/>
                    <w:jc w:val="right"/>
                    <w:jc w:val="center"/>
                  </w:pPr>
                  <w:r>
                    <w:t xml:space="preserve">5</w:t>
                  </w:r>
                </w:p>
              </w:tc>
              <w:tc>
                <w:tcPr/>
                <w:p>
                  <w:pPr>
                    <w:pStyle w:val="Compact"/>
                    <w:jc w:val="right"/>
                    <w:jc w:val="center"/>
                  </w:pPr>
                  <w:r>
                    <w:t xml:space="preserve">26</w:t>
                  </w:r>
                </w:p>
              </w:tc>
              <w:tc>
                <w:tcPr/>
                <w:p>
                  <w:pPr>
                    <w:pStyle w:val="Compact"/>
                    <w:jc w:val="right"/>
                    <w:jc w:val="center"/>
                  </w:pPr>
                  <w:r>
                    <w:t xml:space="preserve">40</w:t>
                  </w:r>
                </w:p>
              </w:tc>
              <w:tc>
                <w:tcPr/>
                <w:p>
                  <w:pPr>
                    <w:pStyle w:val="Compact"/>
                    <w:jc w:val="right"/>
                    <w:jc w:val="center"/>
                  </w:pPr>
                  <w:r>
                    <w:t xml:space="preserve">21</w:t>
                  </w:r>
                </w:p>
              </w:tc>
              <w:tc>
                <w:tcPr/>
                <w:p>
                  <w:pPr>
                    <w:pStyle w:val="Compact"/>
                    <w:jc w:val="right"/>
                    <w:jc w:val="center"/>
                  </w:pPr>
                  <w:r>
                    <w:t xml:space="preserve">7</w:t>
                  </w:r>
                </w:p>
              </w:tc>
              <w:tc>
                <w:tcPr/>
                <w:p>
                  <w:pPr>
                    <w:pStyle w:val="Compact"/>
                    <w:jc w:val="right"/>
                    <w:jc w:val="center"/>
                  </w:pPr>
                  <w:r>
                    <w:t xml:space="preserve">1</w:t>
                  </w:r>
                </w:p>
              </w:tc>
            </w:tr>
            <w:tr>
              <w:tc>
                <w:tcPr/>
                <w:p>
                  <w:pPr>
                    <w:pStyle w:val="Compact"/>
                    <w:jc w:val="left"/>
                    <w:jc w:val="center"/>
                  </w:pPr>
                  <w:r>
                    <w:t xml:space="preserve">Asian</w:t>
                  </w:r>
                </w:p>
              </w:tc>
              <w:tc>
                <w:tcPr/>
                <w:p>
                  <w:pPr>
                    <w:pStyle w:val="Compact"/>
                    <w:jc w:val="right"/>
                    <w:jc w:val="center"/>
                  </w:pPr>
                  <w:r>
                    <w:t xml:space="preserve">217,459</w:t>
                  </w:r>
                </w:p>
              </w:tc>
              <w:tc>
                <w:tcPr/>
                <w:p>
                  <w:pPr>
                    <w:pStyle w:val="Compact"/>
                    <w:jc w:val="right"/>
                    <w:jc w:val="center"/>
                  </w:pPr>
                  <w:r>
                    <w:t xml:space="preserve">1229</w:t>
                  </w:r>
                </w:p>
              </w:tc>
              <w:tc>
                <w:tcPr/>
                <w:p>
                  <w:pPr>
                    <w:pStyle w:val="Compact"/>
                    <w:jc w:val="right"/>
                    <w:jc w:val="center"/>
                  </w:pPr>
                  <w:r>
                    <w:t xml:space="preserve">0</w:t>
                  </w:r>
                </w:p>
              </w:tc>
              <w:tc>
                <w:tcPr/>
                <w:p>
                  <w:pPr>
                    <w:pStyle w:val="Compact"/>
                    <w:jc w:val="right"/>
                    <w:jc w:val="center"/>
                  </w:pPr>
                  <w:r>
                    <w:t xml:space="preserve">3</w:t>
                  </w:r>
                </w:p>
              </w:tc>
              <w:tc>
                <w:tcPr/>
                <w:p>
                  <w:pPr>
                    <w:pStyle w:val="Compact"/>
                    <w:jc w:val="right"/>
                    <w:jc w:val="center"/>
                  </w:pPr>
                  <w:r>
                    <w:t xml:space="preserve">13</w:t>
                  </w:r>
                </w:p>
              </w:tc>
              <w:tc>
                <w:tcPr/>
                <w:p>
                  <w:pPr>
                    <w:pStyle w:val="Compact"/>
                    <w:jc w:val="right"/>
                    <w:jc w:val="center"/>
                  </w:pPr>
                  <w:r>
                    <w:t xml:space="preserve">25</w:t>
                  </w:r>
                </w:p>
              </w:tc>
              <w:tc>
                <w:tcPr/>
                <w:p>
                  <w:pPr>
                    <w:pStyle w:val="Compact"/>
                    <w:jc w:val="right"/>
                    <w:jc w:val="center"/>
                  </w:pPr>
                  <w:r>
                    <w:t xml:space="preserve">33</w:t>
                  </w:r>
                </w:p>
              </w:tc>
              <w:tc>
                <w:tcPr/>
                <w:p>
                  <w:pPr>
                    <w:pStyle w:val="Compact"/>
                    <w:jc w:val="right"/>
                    <w:jc w:val="center"/>
                  </w:pPr>
                  <w:r>
                    <w:t xml:space="preserve">26</w:t>
                  </w:r>
                </w:p>
              </w:tc>
            </w:tr>
            <w:tr>
              <w:tc>
                <w:tcPr/>
                <w:p>
                  <w:pPr>
                    <w:pStyle w:val="Compact"/>
                    <w:jc w:val="left"/>
                    <w:jc w:val="center"/>
                  </w:pPr>
                  <w:r>
                    <w:t xml:space="preserve">Two or more</w:t>
                  </w:r>
                </w:p>
              </w:tc>
              <w:tc>
                <w:tcPr/>
                <w:p>
                  <w:pPr>
                    <w:pStyle w:val="Compact"/>
                    <w:jc w:val="right"/>
                    <w:jc w:val="center"/>
                  </w:pPr>
                  <w:r>
                    <w:t xml:space="preserve">82,032</w:t>
                  </w:r>
                </w:p>
              </w:tc>
              <w:tc>
                <w:tcPr/>
                <w:p>
                  <w:pPr>
                    <w:pStyle w:val="Compact"/>
                    <w:jc w:val="right"/>
                    <w:jc w:val="center"/>
                  </w:pPr>
                  <w:r>
                    <w:t xml:space="preserve">1073</w:t>
                  </w:r>
                </w:p>
              </w:tc>
              <w:tc>
                <w:tcPr/>
                <w:p>
                  <w:pPr>
                    <w:pStyle w:val="Compact"/>
                    <w:jc w:val="right"/>
                    <w:jc w:val="center"/>
                  </w:pPr>
                  <w:r>
                    <w:t xml:space="preserve">1</w:t>
                  </w:r>
                </w:p>
              </w:tc>
              <w:tc>
                <w:tcPr/>
                <w:p>
                  <w:pPr>
                    <w:pStyle w:val="Compact"/>
                    <w:jc w:val="right"/>
                    <w:jc w:val="center"/>
                  </w:pPr>
                  <w:r>
                    <w:t xml:space="preserve">9</w:t>
                  </w:r>
                </w:p>
              </w:tc>
              <w:tc>
                <w:tcPr/>
                <w:p>
                  <w:pPr>
                    <w:pStyle w:val="Compact"/>
                    <w:jc w:val="right"/>
                    <w:jc w:val="center"/>
                  </w:pPr>
                  <w:r>
                    <w:t xml:space="preserve">28</w:t>
                  </w:r>
                </w:p>
              </w:tc>
              <w:tc>
                <w:tcPr/>
                <w:p>
                  <w:pPr>
                    <w:pStyle w:val="Compact"/>
                    <w:jc w:val="right"/>
                    <w:jc w:val="center"/>
                  </w:pPr>
                  <w:r>
                    <w:t xml:space="preserve">30</w:t>
                  </w:r>
                </w:p>
              </w:tc>
              <w:tc>
                <w:tcPr/>
                <w:p>
                  <w:pPr>
                    <w:pStyle w:val="Compact"/>
                    <w:jc w:val="right"/>
                    <w:jc w:val="center"/>
                  </w:pPr>
                  <w:r>
                    <w:t xml:space="preserve">21</w:t>
                  </w:r>
                </w:p>
              </w:tc>
              <w:tc>
                <w:tcPr/>
                <w:p>
                  <w:pPr>
                    <w:pStyle w:val="Compact"/>
                    <w:jc w:val="right"/>
                    <w:jc w:val="center"/>
                  </w:pPr>
                  <w:r>
                    <w:t xml:space="preserve">9</w:t>
                  </w:r>
                </w:p>
              </w:tc>
            </w:tr>
            <w:tr>
              <w:tc>
                <w:tcPr/>
                <w:p>
                  <w:pPr>
                    <w:pStyle w:val="Compact"/>
                    <w:jc w:val="left"/>
                    <w:jc w:val="center"/>
                  </w:pPr>
                  <w:r>
                    <w:t xml:space="preserve">Am. Indian</w:t>
                  </w:r>
                </w:p>
              </w:tc>
              <w:tc>
                <w:tcPr/>
                <w:p>
                  <w:pPr>
                    <w:pStyle w:val="Compact"/>
                    <w:jc w:val="right"/>
                    <w:jc w:val="center"/>
                  </w:pPr>
                  <w:r>
                    <w:t xml:space="preserve">9,237</w:t>
                  </w:r>
                </w:p>
              </w:tc>
              <w:tc>
                <w:tcPr/>
                <w:p>
                  <w:pPr>
                    <w:pStyle w:val="Compact"/>
                    <w:jc w:val="right"/>
                    <w:jc w:val="center"/>
                  </w:pPr>
                  <w:r>
                    <w:t xml:space="preserve">874</w:t>
                  </w:r>
                </w:p>
              </w:tc>
              <w:tc>
                <w:tcPr/>
                <w:p>
                  <w:pPr>
                    <w:pStyle w:val="Compact"/>
                    <w:jc w:val="right"/>
                    <w:jc w:val="center"/>
                  </w:pPr>
                  <w:r>
                    <w:t xml:space="preserve">6</w:t>
                  </w:r>
                </w:p>
              </w:tc>
              <w:tc>
                <w:tcPr/>
                <w:p>
                  <w:pPr>
                    <w:pStyle w:val="Compact"/>
                    <w:jc w:val="right"/>
                    <w:jc w:val="center"/>
                  </w:pPr>
                  <w:r>
                    <w:t xml:space="preserve">31</w:t>
                  </w:r>
                </w:p>
              </w:tc>
              <w:tc>
                <w:tcPr/>
                <w:p>
                  <w:pPr>
                    <w:pStyle w:val="Compact"/>
                    <w:jc w:val="right"/>
                    <w:jc w:val="center"/>
                  </w:pPr>
                  <w:r>
                    <w:t xml:space="preserve">40</w:t>
                  </w:r>
                </w:p>
              </w:tc>
              <w:tc>
                <w:tcPr/>
                <w:p>
                  <w:pPr>
                    <w:pStyle w:val="Compact"/>
                    <w:jc w:val="right"/>
                    <w:jc w:val="center"/>
                  </w:pPr>
                  <w:r>
                    <w:t xml:space="preserve">18</w:t>
                  </w:r>
                </w:p>
              </w:tc>
              <w:tc>
                <w:tcPr/>
                <w:p>
                  <w:pPr>
                    <w:pStyle w:val="Compact"/>
                    <w:jc w:val="right"/>
                    <w:jc w:val="center"/>
                  </w:pPr>
                  <w:r>
                    <w:t xml:space="preserve">6</w:t>
                  </w:r>
                </w:p>
              </w:tc>
              <w:tc>
                <w:tcPr/>
                <w:p>
                  <w:pPr>
                    <w:pStyle w:val="Compact"/>
                    <w:jc w:val="right"/>
                    <w:jc w:val="center"/>
                  </w:pPr>
                  <w:r>
                    <w:t xml:space="preserve">1</w:t>
                  </w:r>
                </w:p>
              </w:tc>
            </w:tr>
            <w:tr>
              <w:tc>
                <w:tcPr/>
                <w:p>
                  <w:pPr>
                    <w:pStyle w:val="Compact"/>
                    <w:jc w:val="left"/>
                    <w:jc w:val="center"/>
                  </w:pPr>
                  <w:r>
                    <w:t xml:space="preserve">Pacific Isl.</w:t>
                  </w:r>
                </w:p>
              </w:tc>
              <w:tc>
                <w:tcPr/>
                <w:p>
                  <w:pPr>
                    <w:pStyle w:val="Compact"/>
                    <w:jc w:val="right"/>
                    <w:jc w:val="center"/>
                  </w:pPr>
                  <w:r>
                    <w:t xml:space="preserve">3,053</w:t>
                  </w:r>
                </w:p>
              </w:tc>
              <w:tc>
                <w:tcPr/>
                <w:p>
                  <w:pPr>
                    <w:pStyle w:val="Compact"/>
                    <w:jc w:val="right"/>
                    <w:jc w:val="center"/>
                  </w:pPr>
                  <w:r>
                    <w:t xml:space="preserve">922</w:t>
                  </w:r>
                </w:p>
              </w:tc>
              <w:tc>
                <w:tcPr/>
                <w:p>
                  <w:pPr>
                    <w:pStyle w:val="Compact"/>
                    <w:jc w:val="right"/>
                    <w:jc w:val="center"/>
                  </w:pPr>
                  <w:r>
                    <w:t xml:space="preserve">4</w:t>
                  </w:r>
                </w:p>
              </w:tc>
              <w:tc>
                <w:tcPr/>
                <w:p>
                  <w:pPr>
                    <w:pStyle w:val="Compact"/>
                    <w:jc w:val="right"/>
                    <w:jc w:val="center"/>
                  </w:pPr>
                  <w:r>
                    <w:t xml:space="preserve">24</w:t>
                  </w:r>
                </w:p>
              </w:tc>
              <w:tc>
                <w:tcPr/>
                <w:p>
                  <w:pPr>
                    <w:pStyle w:val="Compact"/>
                    <w:jc w:val="right"/>
                    <w:jc w:val="center"/>
                  </w:pPr>
                  <w:r>
                    <w:t xml:space="preserve">38</w:t>
                  </w:r>
                </w:p>
              </w:tc>
              <w:tc>
                <w:tcPr/>
                <w:p>
                  <w:pPr>
                    <w:pStyle w:val="Compact"/>
                    <w:jc w:val="right"/>
                    <w:jc w:val="center"/>
                  </w:pPr>
                  <w:r>
                    <w:t xml:space="preserve">23</w:t>
                  </w:r>
                </w:p>
              </w:tc>
              <w:tc>
                <w:tcPr/>
                <w:p>
                  <w:pPr>
                    <w:pStyle w:val="Compact"/>
                    <w:jc w:val="right"/>
                    <w:jc w:val="center"/>
                  </w:pPr>
                  <w:r>
                    <w:t xml:space="preserve">9</w:t>
                  </w:r>
                </w:p>
              </w:tc>
              <w:tc>
                <w:tcPr/>
                <w:p>
                  <w:pPr>
                    <w:pStyle w:val="Compact"/>
                    <w:jc w:val="right"/>
                    <w:jc w:val="center"/>
                  </w:pPr>
                  <w:r>
                    <w:t xml:space="preserve">1</w:t>
                  </w:r>
                </w:p>
              </w:tc>
            </w:tr>
          </w:tbl>
          <w:bookmarkEnd w:id="23"/>
          <w:p/>
        </w:tc>
      </w:tr>
    </w:tbl>
    <w:p>
      <w:pPr>
        <w:pStyle w:val="BodyText"/>
      </w:pPr>
      <w:r>
        <w:t xml:space="preserve">The model does not fit</w:t>
      </w:r>
      <w:r>
        <w:t xml:space="preserve"> </w:t>
      </w:r>
      <w:hyperlink w:anchor="tbl-pdf">
        <w:r>
          <w:rPr>
            <w:rStyle w:val="Hyperlink"/>
          </w:rPr>
          <w:t xml:space="preserve">Table 1</w:t>
        </w:r>
      </w:hyperlink>
      <w:r>
        <w:t xml:space="preserve">. The</w:t>
      </w:r>
      <w:r>
        <w:t xml:space="preserve"> </w:t>
      </w:r>
      <w:r>
        <w:t xml:space="preserve">printed integer percentages are an integer-rounded representation of</w:t>
      </w:r>
      <w:r>
        <w:t xml:space="preserve"> </w:t>
      </w:r>
      <w:r>
        <w:t xml:space="preserve">a vector of true band proportions that is not observed. The fit</w:t>
      </w:r>
      <w:r>
        <w:t xml:space="preserve"> </w:t>
      </w:r>
      <w:r>
        <w:t xml:space="preserve">therefore draws</w:t>
      </w:r>
      <w:r>
        <w:t xml:space="preserve"> </w:t>
      </w:r>
      <m:oMath>
        <m:r>
          <m:t>M</m:t>
        </m:r>
      </m:oMath>
      <w:r>
        <w:t xml:space="preserve"> </w:t>
      </w:r>
      <w:r>
        <w:t xml:space="preserve">datasets from the rounding-induced posterior over</w:t>
      </w:r>
      <w:r>
        <w:t xml:space="preserve"> </w:t>
      </w:r>
      <w:r>
        <w:t xml:space="preserve">plausible per-(group, year) band-proportion vectors, fits the</w:t>
      </w:r>
      <w:r>
        <w:t xml:space="preserve"> </w:t>
      </w:r>
      <w:r>
        <w:t xml:space="preserve">SHASH+Dirichlet model to each, and pools the</w:t>
      </w:r>
      <w:r>
        <w:t xml:space="preserve"> </w:t>
      </w:r>
      <m:oMath>
        <m:r>
          <m:t>M</m:t>
        </m:r>
      </m:oMath>
      <w:r>
        <w:t xml:space="preserve"> </w:t>
      </w:r>
      <w:r>
        <w:t xml:space="preserve">sets of posterior</w:t>
      </w:r>
      <w:r>
        <w:t xml:space="preserve"> </w:t>
      </w:r>
      <w:r>
        <w:t xml:space="preserve">draws (multiple imputation; see</w:t>
      </w:r>
      <w:r>
        <w:t xml:space="preserve"> </w:t>
      </w:r>
      <w:r>
        <w:rPr>
          <w:i/>
          <w:iCs/>
        </w:rPr>
        <w:t xml:space="preserve">A Dirichlet Likelihood on Band</w:t>
      </w:r>
      <w:r>
        <w:rPr>
          <w:i/>
          <w:iCs/>
        </w:rPr>
        <w:t xml:space="preserve"> </w:t>
      </w:r>
      <w:r>
        <w:rPr>
          <w:i/>
          <w:iCs/>
        </w:rPr>
        <w:t xml:space="preserve">Proportions</w:t>
      </w:r>
      <w:r>
        <w:t xml:space="preserve">). Each imputation proceeds in two steps. First,</w:t>
      </w:r>
      <w:r>
        <w:t xml:space="preserve"> </w:t>
      </w:r>
      <w:r>
        <w:t xml:space="preserve">for each named-group row, we draw a six-cell proportion vector</w:t>
      </w:r>
      <w:r>
        <w:t xml:space="preserve"> </w:t>
      </w:r>
      <w:r>
        <w:t xml:space="preserve">uniformly from the</w:t>
      </w:r>
      <w:r>
        <w:t xml:space="preserve"> </w:t>
      </w:r>
      <w:r>
        <w:rPr>
          <w:i/>
          <w:iCs/>
        </w:rPr>
        <w:t xml:space="preserve">rounding-box-intersected simplex</w:t>
      </w:r>
      <w:r>
        <w:t xml:space="preserve">: the set of</w:t>
      </w:r>
      <w:r>
        <w:t xml:space="preserve"> </w:t>
      </w:r>
      <m:oMath>
        <m:d>
          <m:dPr>
            <m:begChr m:val="("/>
            <m:sepChr m:val=""/>
            <m:endChr m:val=")"/>
            <m:grow/>
          </m:dPr>
          <m:e>
            <m:sSub>
              <m:e>
                <m:r>
                  <m:t>π</m:t>
                </m:r>
              </m:e>
              <m:sub>
                <m:r>
                  <m:t>1</m:t>
                </m:r>
              </m:sub>
            </m:sSub>
            <m:r>
              <m:rPr>
                <m:sty m:val="p"/>
              </m:rPr>
              <m:t>,</m:t>
            </m:r>
            <m:r>
              <m:rPr>
                <m:sty m:val="p"/>
              </m:rPr>
              <m:t>…</m:t>
            </m:r>
            <m:r>
              <m:rPr>
                <m:sty m:val="p"/>
              </m:rPr>
              <m:t>,</m:t>
            </m:r>
            <m:sSub>
              <m:e>
                <m:r>
                  <m:t>π</m:t>
                </m:r>
              </m:e>
              <m:sub>
                <m:r>
                  <m:t>6</m:t>
                </m:r>
              </m:sub>
            </m:sSub>
          </m:e>
        </m:d>
      </m:oMath>
      <w:r>
        <w:t xml:space="preserve"> </w:t>
      </w:r>
      <w:r>
        <w:t xml:space="preserve">satisfying</w:t>
      </w:r>
      <w:r>
        <w:t xml:space="preserve"> </w:t>
      </w:r>
      <m:oMath>
        <m:sSub>
          <m:e>
            <m:r>
              <m:t>π</m:t>
            </m:r>
          </m:e>
          <m:sub>
            <m:r>
              <m:t>b</m:t>
            </m:r>
          </m:sub>
        </m:sSub>
        <m:r>
          <m:rPr>
            <m:sty m:val="p"/>
          </m:rPr>
          <m:t>∈</m:t>
        </m:r>
        <m:r>
          <m:rPr>
            <m:sty m:val="p"/>
          </m:rPr>
          <m:t>[</m:t>
        </m:r>
        <m:d>
          <m:dPr>
            <m:begChr m:val="("/>
            <m:sepChr m:val=""/>
            <m:endChr m:val=")"/>
            <m:grow/>
          </m:dPr>
          <m:e>
            <m:sSub>
              <m:e>
                <m:r>
                  <m:t>k</m:t>
                </m:r>
              </m:e>
              <m:sub>
                <m:r>
                  <m:t>b</m:t>
                </m:r>
              </m:sub>
            </m:sSub>
            <m:r>
              <m:rPr>
                <m:sty m:val="p"/>
              </m:rPr>
              <m:t>−</m:t>
            </m:r>
            <m:r>
              <m:t>0.5</m:t>
            </m:r>
          </m:e>
        </m:d>
        <m:r>
          <m:rPr>
            <m:sty m:val="p"/>
          </m:rPr>
          <m:t>/</m:t>
        </m:r>
        <m:r>
          <m:t>100</m:t>
        </m:r>
        <m:r>
          <m:rPr>
            <m:sty m:val="p"/>
          </m:rPr>
          <m:t>,</m:t>
        </m:r>
        <m:r>
          <m:t> </m:t>
        </m:r>
        <m:d>
          <m:dPr>
            <m:begChr m:val="("/>
            <m:sepChr m:val=""/>
            <m:endChr m:val=")"/>
            <m:grow/>
          </m:dPr>
          <m:e>
            <m:sSub>
              <m:e>
                <m:r>
                  <m:t>k</m:t>
                </m:r>
              </m:e>
              <m:sub>
                <m:r>
                  <m:t>b</m:t>
                </m:r>
              </m:sub>
            </m:sSub>
            <m:r>
              <m:rPr>
                <m:sty m:val="p"/>
              </m:rPr>
              <m:t>+</m:t>
            </m:r>
            <m:r>
              <m:t>0.5</m:t>
            </m:r>
          </m:e>
        </m:d>
        <m:r>
          <m:rPr>
            <m:sty m:val="p"/>
          </m:rPr>
          <m:t>/</m:t>
        </m:r>
        <m:r>
          <m:t>100</m:t>
        </m:r>
        <m:r>
          <m:rPr>
            <m:sty m:val="p"/>
          </m:rPr>
          <m:t>)</m:t>
        </m:r>
      </m:oMath>
      <w:r>
        <w:t xml:space="preserve"> </w:t>
      </w:r>
      <w:r>
        <w:t xml:space="preserve">for each band</w:t>
      </w:r>
      <w:r>
        <w:t xml:space="preserve"> </w:t>
      </w:r>
      <m:oMath>
        <m:r>
          <m:t>b</m:t>
        </m:r>
      </m:oMath>
      <w:r>
        <w:t xml:space="preserve"> </w:t>
      </w:r>
      <w:r>
        <w:t xml:space="preserve">(with the lower edge clamped at</w:t>
      </w:r>
      <w:r>
        <w:t xml:space="preserve"> </w:t>
      </w:r>
      <m:oMath>
        <m:r>
          <m:t>0</m:t>
        </m:r>
      </m:oMath>
      <w:r>
        <w:t xml:space="preserve"> </w:t>
      </w:r>
      <w:r>
        <w:t xml:space="preserve">when</w:t>
      </w:r>
      <w:r>
        <w:t xml:space="preserve"> </w:t>
      </w:r>
      <m:oMath>
        <m:sSub>
          <m:e>
            <m:r>
              <m:t>k</m:t>
            </m:r>
          </m:e>
          <m:sub>
            <m:r>
              <m:t>b</m:t>
            </m:r>
          </m:sub>
        </m:sSub>
        <m:r>
          <m:rPr>
            <m:sty m:val="p"/>
          </m:rPr>
          <m:t>=</m:t>
        </m:r>
        <m:r>
          <m:t>0</m:t>
        </m:r>
      </m:oMath>
      <w:r>
        <w:t xml:space="preserve">) and</w:t>
      </w:r>
      <w:r>
        <w:t xml:space="preserve"> </w:t>
      </w:r>
      <m:oMath>
        <m:nary>
          <m:naryPr>
            <m:chr m:val="∑"/>
            <m:limLoc m:val="undOvr"/>
            <m:subHide m:val="off"/>
            <m:supHide m:val="on"/>
          </m:naryPr>
          <m:sub>
            <m:r>
              <m:t>b</m:t>
            </m:r>
          </m:sub>
          <m:sup>
            <m:r>
              <m:t>​</m:t>
            </m:r>
          </m:sup>
          <m:e>
            <m:sSub>
              <m:e>
                <m:r>
                  <m:t>π</m:t>
                </m:r>
              </m:e>
              <m:sub>
                <m:r>
                  <m:t>b</m:t>
                </m:r>
              </m:sub>
            </m:sSub>
          </m:e>
        </m:nary>
        <m:r>
          <m:rPr>
            <m:sty m:val="p"/>
          </m:rPr>
          <m:t>=</m:t>
        </m:r>
        <m:r>
          <m:t>1</m:t>
        </m:r>
      </m:oMath>
      <w:r>
        <w:t xml:space="preserve">. Operationally, we sample</w:t>
      </w:r>
      <w:r>
        <w:t xml:space="preserve"> </w:t>
      </w:r>
      <w:r>
        <w:t xml:space="preserve">five cells independently from their intervals, set the sixth to</w:t>
      </w:r>
      <w:r>
        <w:t xml:space="preserve"> </w:t>
      </w:r>
      <m:oMath>
        <m:r>
          <m:t>1</m:t>
        </m:r>
        <m:r>
          <m:rPr>
            <m:sty m:val="p"/>
          </m:rPr>
          <m:t>−</m:t>
        </m:r>
        <m:r>
          <m:rPr>
            <m:sty m:val="p"/>
          </m:rPr>
          <m:t>∑</m:t>
        </m:r>
      </m:oMath>
      <w:r>
        <w:t xml:space="preserve">, and accept only if the sixth lies in its own rounding</w:t>
      </w:r>
      <w:r>
        <w:t xml:space="preserve"> </w:t>
      </w:r>
      <w:r>
        <w:t xml:space="preserve">interval; the accepted draws are within their rounding intervals</w:t>
      </w:r>
      <w:r>
        <w:t xml:space="preserve"> </w:t>
      </w:r>
      <w:r>
        <w:t xml:space="preserve">by construction and sum to one without any renormalization step.</w:t>
      </w:r>
      <w:r>
        <w:t xml:space="preserve"> </w:t>
      </w:r>
      <w:r>
        <w:t xml:space="preserve">Second, we derive the No response band counts by subtraction from the</w:t>
      </w:r>
      <w:r>
        <w:t xml:space="preserve"> </w:t>
      </w:r>
      <w:r>
        <w:t xml:space="preserve">exact published cohort band counts. The College Board publishes the</w:t>
      </w:r>
      <w:r>
        <w:t xml:space="preserve"> </w:t>
      </w:r>
      <w:r>
        <w:t xml:space="preserve">cohort</w:t>
      </w:r>
      <w:r>
        <w:t xml:space="preserve"> </w:t>
      </w:r>
      <w:r>
        <w:rPr>
          <w:i/>
          <w:iCs/>
        </w:rPr>
        <w:t xml:space="preserve">Total</w:t>
      </w:r>
      <w:r>
        <w:t xml:space="preserve"> </w:t>
      </w:r>
      <w:r>
        <w:t xml:space="preserve">row’s band counts as integers (not as rounded</w:t>
      </w:r>
      <w:r>
        <w:t xml:space="preserve"> </w:t>
      </w:r>
      <w:r>
        <w:t xml:space="preserve">percentages), so the cohort row carries no rounding error of its</w:t>
      </w:r>
      <w:r>
        <w:t xml:space="preserve"> </w:t>
      </w:r>
      <w:r>
        <w:t xml:space="preserve">own, and the imputation’s No response count in each band is the</w:t>
      </w:r>
      <w:r>
        <w:t xml:space="preserve"> </w:t>
      </w:r>
      <w:r>
        <w:t xml:space="preserve">cohort count minus the sum of the seven named-group counts implied</w:t>
      </w:r>
      <w:r>
        <w:t xml:space="preserve"> </w:t>
      </w:r>
      <w:r>
        <w:t xml:space="preserve">by their sampled percentages.</w:t>
      </w:r>
    </w:p>
    <w:p>
      <w:pPr>
        <w:pStyle w:val="BodyText"/>
      </w:pPr>
      <w:r>
        <w:t xml:space="preserve">Because the procedure samples afresh on every imputation, there is no</w:t>
      </w:r>
      <w:r>
        <w:t xml:space="preserve"> </w:t>
      </w:r>
      <w:r>
        <w:t xml:space="preserve">single cleaned table the model fits. The pooled posterior across</w:t>
      </w:r>
      <w:r>
        <w:t xml:space="preserve"> </w:t>
      </w:r>
      <m:oMath>
        <m:r>
          <m:t>M</m:t>
        </m:r>
        <m:r>
          <m:rPr>
            <m:sty m:val="p"/>
          </m:rPr>
          <m:t>=</m:t>
        </m:r>
        <m:r>
          <m:t>50</m:t>
        </m:r>
      </m:oMath>
      <w:r>
        <w:t xml:space="preserve"> </w:t>
      </w:r>
      <w:r>
        <w:t xml:space="preserve">imputations reflects band-rounding uncertainty in addition</w:t>
      </w:r>
      <w:r>
        <w:t xml:space="preserve"> </w:t>
      </w:r>
      <w:r>
        <w:t xml:space="preserve">to whatever uncertainty the Dirichlet likelihood already captures.</w:t>
      </w:r>
    </w:p>
    <w:p>
      <w:pPr>
        <w:pStyle w:val="BodyText"/>
      </w:pPr>
      <w:r>
        <w:t xml:space="preserve">Two further College Board sources are held out for validation only</w:t>
      </w:r>
      <w:r>
        <w:t xml:space="preserve"> </w:t>
      </w:r>
      <w:r>
        <w:t xml:space="preserve">and are described below where they are used (see Validation): the</w:t>
      </w:r>
      <w:r>
        <w:t xml:space="preserve"> </w:t>
      </w:r>
      <w:r>
        <w:t xml:space="preserve">published cohort summaries (mean, SD, and three quartiles per year)</w:t>
      </w:r>
      <w:r>
        <w:t xml:space="preserve"> </w:t>
      </w:r>
      <w:r>
        <w:t xml:space="preserve">and the</w:t>
      </w:r>
      <w:r>
        <w:t xml:space="preserve"> </w:t>
      </w:r>
      <w:r>
        <w:rPr>
          <w:i/>
          <w:iCs/>
        </w:rPr>
        <w:t xml:space="preserve">SAT User Percentile</w:t>
      </w:r>
      <w:r>
        <w:t xml:space="preserve"> </w:t>
      </w:r>
      <w:r>
        <w:t xml:space="preserve">reference table</w:t>
      </w:r>
      <w:r>
        <w:t xml:space="preserve"> </w:t>
      </w:r>
      <w:r>
        <w:t xml:space="preserve">(</w:t>
      </w:r>
      <w:hyperlink w:anchor="ref-collegeboard_percentiles">
        <w:r>
          <w:rPr>
            <w:rStyle w:val="Hyperlink"/>
          </w:rPr>
          <w:t xml:space="preserve">College Board, 2025</w:t>
        </w:r>
      </w:hyperlink>
      <w:r>
        <w:t xml:space="preserve">)</w:t>
      </w:r>
      <w:r>
        <w:t xml:space="preserve">, constructed from individual scores in</w:t>
      </w:r>
      <w:r>
        <w:t xml:space="preserve"> </w:t>
      </w:r>
      <w:r>
        <w:t xml:space="preserve">ten-point steps.</w:t>
      </w:r>
    </w:p>
    <w:tbl>
      <w:tblPr>
        <w:tblStyle w:val="Table"/>
        <w:tblW w:type="pct" w:w="5000"/>
        <w:tblLayout w:type="fixed"/>
        <w:tblLook w:firstRow="0" w:lastRow="0" w:firstColumn="0" w:lastColumn="0" w:noHBand="0" w:noVBand="0" w:val="0000"/>
      </w:tblPr>
      <w:tblGrid>
        <w:gridCol w:w="7920"/>
      </w:tblGrid>
      <w:tr>
        <w:tc>
          <w:tcPr/>
          <w:bookmarkStart w:id="27" w:name="fig-data-trends"/>
          <w:p>
            <w:pPr>
              <w:pStyle w:val="Compact"/>
              <w:jc w:val="center"/>
            </w:pPr>
            <w:r>
              <w:drawing>
                <wp:inline>
                  <wp:extent cx="5334000" cy="2370666"/>
                  <wp:effectExtent b="0" l="0" r="0" t="0"/>
                  <wp:docPr descr="" title="" id="25" name="Picture"/>
                  <a:graphic>
                    <a:graphicData uri="http://schemas.openxmlformats.org/drawingml/2006/picture">
                      <pic:pic>
                        <pic:nvPicPr>
                          <pic:cNvPr descr="sat_model_files/figure-docx/fig-data-trends-1.png" id="26" name="Picture"/>
                          <pic:cNvPicPr>
                            <a:picLocks noChangeArrowheads="1" noChangeAspect="1"/>
                          </pic:cNvPicPr>
                        </pic:nvPicPr>
                        <pic:blipFill>
                          <a:blip r:embed="rId24"/>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Mean Total Score and Band-Midpoint SD by Group, 2018–2025.</w:t>
            </w:r>
            <w:r>
              <w:t xml:space="preserve"> </w:t>
            </w:r>
            <w:r>
              <w:t xml:space="preserve">Left: published mean total score. Right: SD computed by placing each band’s mass at its nominal midpoint</w:t>
            </w:r>
            <w:r>
              <w:t xml:space="preserve"> </w:t>
            </w:r>
            <m:oMath>
              <m:r>
                <m:t>500</m:t>
              </m:r>
              <m:r>
                <m:rPr>
                  <m:sty m:val="p"/>
                </m:rPr>
                <m:t>,</m:t>
              </m:r>
              <m:r>
                <m:t>700</m:t>
              </m:r>
              <m:r>
                <m:rPr>
                  <m:sty m:val="p"/>
                </m:rPr>
                <m:t>,</m:t>
              </m:r>
              <m:r>
                <m:t>900</m:t>
              </m:r>
              <m:r>
                <m:rPr>
                  <m:sty m:val="p"/>
                </m:rPr>
                <m:t>,</m:t>
              </m:r>
              <m:r>
                <m:t>1100</m:t>
              </m:r>
              <m:r>
                <m:rPr>
                  <m:sty m:val="p"/>
                </m:rPr>
                <m:t>,</m:t>
              </m:r>
              <m:r>
                <m:t>1300</m:t>
              </m:r>
              <m:r>
                <m:rPr>
                  <m:sty m:val="p"/>
                </m:rPr>
                <m:t>,</m:t>
              </m:r>
              <m:r>
                <m:t>1500</m:t>
              </m:r>
            </m:oMath>
            <w:r>
              <w:t xml:space="preserve"> </w:t>
            </w:r>
            <w:r>
              <w:t xml:space="preserve">(the exact 10-point-grid midpoints are</w:t>
            </w:r>
            <w:r>
              <w:t xml:space="preserve"> </w:t>
            </w:r>
            <m:oMath>
              <m:r>
                <m:t>495</m:t>
              </m:r>
              <m:r>
                <m:rPr>
                  <m:sty m:val="p"/>
                </m:rPr>
                <m:t>,</m:t>
              </m:r>
              <m:r>
                <m:t>695</m:t>
              </m:r>
              <m:r>
                <m:rPr>
                  <m:sty m:val="p"/>
                </m:rPr>
                <m:t>,</m:t>
              </m:r>
              <m:r>
                <m:t>895</m:t>
              </m:r>
              <m:r>
                <m:rPr>
                  <m:sty m:val="p"/>
                </m:rPr>
                <m:t>,</m:t>
              </m:r>
              <m:r>
                <m:t>1095</m:t>
              </m:r>
              <m:r>
                <m:rPr>
                  <m:sty m:val="p"/>
                </m:rPr>
                <m:t>,</m:t>
              </m:r>
              <m:r>
                <m:t>1295</m:t>
              </m:r>
              <m:r>
                <m:rPr>
                  <m:sty m:val="p"/>
                </m:rPr>
                <m:t>,</m:t>
              </m:r>
              <m:r>
                <m:t>1500</m:t>
              </m:r>
            </m:oMath>
            <w:r>
              <w:t xml:space="preserve">; only the last falls on the round-hundred grid, because the top band 1400–1600 is 200 points wide rather than 190). The band-midpoint SD is a coarse proxy for each group’s within-group SD, not the published cohort SD recovered in Validation.</w:t>
            </w:r>
          </w:p>
          <w:bookmarkEnd w:id="27"/>
        </w:tc>
      </w:tr>
    </w:tbl>
    <w:p>
      <w:pPr>
        <w:pStyle w:val="BodyText"/>
      </w:pPr>
      <w:r>
        <w:t xml:space="preserve">Two features of</w:t>
      </w:r>
      <w:r>
        <w:t xml:space="preserve"> </w:t>
      </w:r>
      <w:hyperlink w:anchor="fig-data-trends">
        <w:r>
          <w:rPr>
            <w:rStyle w:val="Hyperlink"/>
          </w:rPr>
          <w:t xml:space="preserve">Figure 1</w:t>
        </w:r>
      </w:hyperlink>
      <w:r>
        <w:t xml:space="preserve"> </w:t>
      </w:r>
      <w:r>
        <w:t xml:space="preserve">matter for the modeling choices</w:t>
      </w:r>
      <w:r>
        <w:t xml:space="preserve"> </w:t>
      </w:r>
      <w:r>
        <w:t xml:space="preserve">that follow. First, the No response</w:t>
      </w:r>
      <w:r>
        <w:t xml:space="preserve"> </w:t>
      </w:r>
      <w:r>
        <w:rPr>
          <w:i/>
          <w:iCs/>
        </w:rPr>
        <w:t xml:space="preserve">mean</w:t>
      </w:r>
      <w:r>
        <w:t xml:space="preserve"> </w:t>
      </w:r>
      <w:r>
        <w:t xml:space="preserve">drifts gently between approximately</w:t>
      </w:r>
      <w:r>
        <w:t xml:space="preserve"> </w:t>
      </w:r>
      <w:r>
        <w:t xml:space="preserve">949 and 996 across 2018–2024 and then steps to approximately 1055 in</w:t>
      </w:r>
      <w:r>
        <w:t xml:space="preserve"> </w:t>
      </w:r>
      <w:r>
        <w:t xml:space="preserve">2025, a roughly 100-point one-year jump with no parallel in any named</w:t>
      </w:r>
      <w:r>
        <w:t xml:space="preserve"> </w:t>
      </w:r>
      <w:r>
        <w:t xml:space="preserve">group, whose means move smoothly across the period. The model fits this</w:t>
      </w:r>
      <w:r>
        <w:t xml:space="preserve"> </w:t>
      </w:r>
      <w:r>
        <w:t xml:space="preserve">because every (group, year) cell has its own free mean parameter</w:t>
      </w:r>
      <w:r>
        <w:t xml:space="preserve"> </w:t>
      </w:r>
      <m:oMath>
        <m:sSub>
          <m:e>
            <m:r>
              <m:t>θ</m:t>
            </m:r>
          </m:e>
          <m:sub>
            <m:r>
              <m:t>r</m:t>
            </m:r>
            <m:r>
              <m:rPr>
                <m:sty m:val="p"/>
              </m:rPr>
              <m:t>,</m:t>
            </m:r>
            <m:r>
              <m:t>y</m:t>
            </m:r>
          </m:sub>
        </m:sSub>
      </m:oMath>
      <w:r>
        <w:t xml:space="preserve"> </w:t>
      </w:r>
      <w:r>
        <w:t xml:space="preserve">under a weakly informative prior. No smoothness across</w:t>
      </w:r>
      <w:r>
        <w:t xml:space="preserve"> </w:t>
      </w:r>
      <w:r>
        <w:t xml:space="preserve">years is imposed on any group’s mean. Second, the No response</w:t>
      </w:r>
      <w:r>
        <w:t xml:space="preserve"> </w:t>
      </w:r>
      <w:r>
        <w:rPr>
          <w:i/>
          <w:iCs/>
        </w:rPr>
        <w:t xml:space="preserve">standard deviation</w:t>
      </w:r>
      <w:r>
        <w:t xml:space="preserve"> </w:t>
      </w:r>
      <w:r>
        <w:t xml:space="preserve">rises from approximately 211 in 2018 to</w:t>
      </w:r>
      <w:r>
        <w:t xml:space="preserve"> </w:t>
      </w:r>
      <w:r>
        <w:t xml:space="preserve">approximately 287 in 2025, a 76-point increase that dwarfs the</w:t>
      </w:r>
      <w:r>
        <w:t xml:space="preserve"> </w:t>
      </w:r>
      <w:r>
        <w:t xml:space="preserve">9–27-point rises shown by the seven named groups, and the rise is not</w:t>
      </w:r>
      <w:r>
        <w:t xml:space="preserve"> </w:t>
      </w:r>
      <w:r>
        <w:t xml:space="preserve">a smooth drift but a step pattern, with most of the jump appearing in</w:t>
      </w:r>
      <w:r>
        <w:t xml:space="preserve"> </w:t>
      </w:r>
      <w:r>
        <w:t xml:space="preserve">2020 and a further jump in 2025. The smooth log-linear scale trend the</w:t>
      </w:r>
      <w:r>
        <w:t xml:space="preserve"> </w:t>
      </w:r>
      <w:r>
        <w:t xml:space="preserve">named groups follow cannot reproduce that step structure, so the model</w:t>
      </w:r>
      <w:r>
        <w:t xml:space="preserve"> </w:t>
      </w:r>
      <w:r>
        <w:t xml:space="preserve">gives No response a free per-year scale parameter, decoupled from the</w:t>
      </w:r>
      <w:r>
        <w:t xml:space="preserve"> </w:t>
      </w:r>
      <w:r>
        <w:t xml:space="preserve">named-group hierarchy, as detailed below. No claim is made about the cause of</w:t>
      </w:r>
      <w:r>
        <w:t xml:space="preserve"> </w:t>
      </w:r>
      <w:r>
        <w:t xml:space="preserve">these movements in the No response numbers. The public record does</w:t>
      </w:r>
      <w:r>
        <w:t xml:space="preserve"> </w:t>
      </w:r>
      <w:r>
        <w:t xml:space="preserve">not distinguish a shift in who declines to disclose from a stable</w:t>
      </w:r>
      <w:r>
        <w:t xml:space="preserve"> </w:t>
      </w:r>
      <w:r>
        <w:t xml:space="preserve">population changing how it self-identifies.</w:t>
      </w:r>
    </w:p>
    <w:tbl>
      <w:tblPr>
        <w:tblStyle w:val="Table"/>
        <w:tblW w:type="pct" w:w="5000"/>
        <w:tblLayout w:type="fixed"/>
        <w:tblLook w:firstRow="0" w:lastRow="0" w:firstColumn="0" w:lastColumn="0" w:noHBand="0" w:noVBand="0" w:val="0000"/>
      </w:tblPr>
      <w:tblGrid>
        <w:gridCol w:w="7920"/>
      </w:tblGrid>
      <w:tr>
        <w:tc>
          <w:tcPr/>
          <w:bookmarkStart w:id="31" w:name="fig-band-composition"/>
          <w:p>
            <w:pPr>
              <w:pStyle w:val="Compact"/>
              <w:jc w:val="center"/>
            </w:pPr>
            <w:r>
              <w:drawing>
                <wp:inline>
                  <wp:extent cx="5334000" cy="3467100"/>
                  <wp:effectExtent b="0" l="0" r="0" t="0"/>
                  <wp:docPr descr="" title="" id="29" name="Picture"/>
                  <a:graphic>
                    <a:graphicData uri="http://schemas.openxmlformats.org/drawingml/2006/picture">
                      <pic:pic>
                        <pic:nvPicPr>
                          <pic:cNvPr descr="sat_model_files/figure-docx/fig-band-composition-1.png" id="30" name="Picture"/>
                          <pic:cNvPicPr>
                            <a:picLocks noChangeArrowheads="1" noChangeAspect="1"/>
                          </pic:cNvPicPr>
                        </pic:nvPicPr>
                        <pic:blipFill>
                          <a:blip r:embed="rId28"/>
                          <a:stretch>
                            <a:fillRect/>
                          </a:stretch>
                        </pic:blipFill>
                        <pic:spPr bwMode="auto">
                          <a:xfrm>
                            <a:off x="0" y="0"/>
                            <a:ext cx="5334000" cy="3467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Score-Band Composition over Time, by Group.</w:t>
            </w:r>
            <w:r>
              <w:t xml:space="preserve"> </w:t>
            </w:r>
            <w:r>
              <w:t xml:space="preserve">Each panel shows one racial/ethnic group. Within a panel, score band runs along the horizontal axis and the eight side-by-side bars within each band give the percentage of the group’s test-takers in that band, by graduating-class year from 2018 (darkest) through 2025 (lightest).</w:t>
            </w:r>
          </w:p>
          <w:bookmarkEnd w:id="31"/>
        </w:tc>
      </w:tr>
    </w:tbl>
    <w:p>
      <w:pPr>
        <w:pStyle w:val="BodyText"/>
      </w:pPr>
      <w:hyperlink w:anchor="fig-band-composition">
        <w:r>
          <w:rPr>
            <w:rStyle w:val="Hyperlink"/>
          </w:rPr>
          <w:t xml:space="preserve">Figure 2</w:t>
        </w:r>
      </w:hyperlink>
      <w:r>
        <w:t xml:space="preserve"> </w:t>
      </w:r>
      <w:r>
        <w:t xml:space="preserve">makes two further patterns visible. The first</w:t>
      </w:r>
      <w:r>
        <w:t xml:space="preserve"> </w:t>
      </w:r>
      <w:r>
        <w:t xml:space="preserve">is the year-to-year</w:t>
      </w:r>
      <w:r>
        <w:t xml:space="preserve"> </w:t>
      </w:r>
      <w:r>
        <w:rPr>
          <w:i/>
          <w:iCs/>
        </w:rPr>
        <w:t xml:space="preserve">stability</w:t>
      </w:r>
      <w:r>
        <w:t xml:space="preserve"> </w:t>
      </w:r>
      <w:r>
        <w:t xml:space="preserve">of most named-group band shares: the</w:t>
      </w:r>
      <w:r>
        <w:t xml:space="preserve"> </w:t>
      </w:r>
      <w:r>
        <w:t xml:space="preserve">1400–1600 share moves by at most two or three percentage points for</w:t>
      </w:r>
      <w:r>
        <w:t xml:space="preserve"> </w:t>
      </w:r>
      <w:r>
        <w:t xml:space="preserve">every named group, with similarly narrow ranges across the bands and</w:t>
      </w:r>
      <w:r>
        <w:t xml:space="preserve"> </w:t>
      </w:r>
      <w:r>
        <w:t xml:space="preserve">across the smaller groups, and for most named-group bands the eight</w:t>
      </w:r>
      <w:r>
        <w:t xml:space="preserve"> </w:t>
      </w:r>
      <w:r>
        <w:t xml:space="preserve">side-by-side bars are close to the same height, leaving the model’s</w:t>
      </w:r>
      <w:r>
        <w:t xml:space="preserve"> </w:t>
      </w:r>
      <w:r>
        <w:t xml:space="preserve">year-constant skewness and tail-weight little to fit against. The second is a steady decline in the</w:t>
      </w:r>
      <w:r>
        <w:t xml:space="preserve"> </w:t>
      </w:r>
      <w:r>
        <w:t xml:space="preserve">1000–1190 band across White, Black, and Hispanic/Latino test-takers,</w:t>
      </w:r>
      <w:r>
        <w:t xml:space="preserve"> </w:t>
      </w:r>
      <w:r>
        <w:t xml:space="preserve">mirroring the slow downward drift in those groups’ means in</w:t>
      </w:r>
      <w:r>
        <w:t xml:space="preserve"> </w:t>
      </w:r>
      <w:hyperlink w:anchor="fig-data-trends">
        <w:r>
          <w:rPr>
            <w:rStyle w:val="Hyperlink"/>
          </w:rPr>
          <w:t xml:space="preserve">Figure 1</w:t>
        </w:r>
      </w:hyperlink>
      <w:r>
        <w:t xml:space="preserve">.</w:t>
      </w:r>
    </w:p>
    <w:bookmarkEnd w:id="32"/>
    <w:bookmarkStart w:id="47" w:name="methods"/>
    <w:p>
      <w:pPr>
        <w:pStyle w:val="Heading1"/>
      </w:pPr>
      <w:r>
        <w:t xml:space="preserve">Methods</w:t>
      </w:r>
    </w:p>
    <w:p>
      <w:pPr>
        <w:pStyle w:val="FirstParagraph"/>
      </w:pPr>
      <w:r>
        <w:t xml:space="preserve">The model has three structural components: a flexible parametric shape</w:t>
      </w:r>
      <w:r>
        <w:t xml:space="preserve"> </w:t>
      </w:r>
      <w:r>
        <w:t xml:space="preserve">for each group’s score distribution, a likelihood that connects the</w:t>
      </w:r>
      <w:r>
        <w:t xml:space="preserve"> </w:t>
      </w:r>
      <w:r>
        <w:t xml:space="preserve">shape to the rounded band proportions, and a hierarchical structure</w:t>
      </w:r>
      <w:r>
        <w:t xml:space="preserve"> </w:t>
      </w:r>
      <w:r>
        <w:t xml:space="preserve">that ties the per-group parameters together. The three are described</w:t>
      </w:r>
      <w:r>
        <w:t xml:space="preserve"> </w:t>
      </w:r>
      <w:r>
        <w:t xml:space="preserve">in turn, followed by the priors and the estimation procedure.</w:t>
      </w:r>
    </w:p>
    <w:bookmarkStart w:id="38" w:name="sec-shape"/>
    <w:p>
      <w:pPr>
        <w:pStyle w:val="Heading2"/>
      </w:pPr>
      <w:r>
        <w:t xml:space="preserve">A Censored Sinh-Arcsinh Shape</w:t>
      </w:r>
    </w:p>
    <w:p>
      <w:pPr>
        <w:pStyle w:val="FirstParagraph"/>
      </w:pPr>
      <w:r>
        <w:t xml:space="preserve">For racial/ethnic group</w:t>
      </w:r>
      <w:r>
        <w:t xml:space="preserve"> </w:t>
      </w:r>
      <m:oMath>
        <m:r>
          <m:t>r</m:t>
        </m:r>
      </m:oMath>
      <w:r>
        <w:t xml:space="preserve"> </w:t>
      </w:r>
      <w:r>
        <w:t xml:space="preserve">(</w:t>
      </w:r>
      <m:oMath>
        <m:r>
          <m:t>r</m:t>
        </m:r>
        <m:r>
          <m:rPr>
            <m:sty m:val="p"/>
          </m:rPr>
          <m:t>=</m:t>
        </m:r>
        <m:r>
          <m:t>1</m:t>
        </m:r>
        <m:r>
          <m:rPr>
            <m:sty m:val="p"/>
          </m:rPr>
          <m:t>,</m:t>
        </m:r>
        <m:r>
          <m:rPr>
            <m:sty m:val="p"/>
          </m:rPr>
          <m:t>…</m:t>
        </m:r>
        <m:r>
          <m:rPr>
            <m:sty m:val="p"/>
          </m:rPr>
          <m:t>,</m:t>
        </m:r>
        <m:r>
          <m:t>8</m:t>
        </m:r>
      </m:oMath>
      <w:r>
        <w:t xml:space="preserve">) and graduating-class</w:t>
      </w:r>
      <w:r>
        <w:t xml:space="preserve"> </w:t>
      </w:r>
      <w:r>
        <w:t xml:space="preserve">year</w:t>
      </w:r>
      <w:r>
        <w:t xml:space="preserve"> </w:t>
      </w:r>
      <m:oMath>
        <m:r>
          <m:t>y</m:t>
        </m:r>
      </m:oMath>
      <w:r>
        <w:t xml:space="preserve">, we model an individual total score</w:t>
      </w:r>
      <w:r>
        <w:t xml:space="preserve"> </w:t>
      </w:r>
      <m:oMath>
        <m:r>
          <m:t>S</m:t>
        </m:r>
      </m:oMath>
      <w:r>
        <w:t xml:space="preserve"> </w:t>
      </w:r>
      <w:r>
        <w:t xml:space="preserve">as a sinh-arcsinh</w:t>
      </w:r>
      <w:r>
        <w:t xml:space="preserve"> </w:t>
      </w:r>
      <w:r>
        <w:t xml:space="preserve">(</w:t>
      </w:r>
      <w:r>
        <w:t xml:space="preserve">“SHASH”</w:t>
      </w:r>
      <w:r>
        <w:t xml:space="preserve">) random variable</w:t>
      </w:r>
      <w:r>
        <w:t xml:space="preserve"> </w:t>
      </w:r>
      <w:r>
        <w:t xml:space="preserve">(</w:t>
      </w:r>
      <w:hyperlink w:anchor="ref-jonespewsey2009">
        <w:r>
          <w:rPr>
            <w:rStyle w:val="Hyperlink"/>
          </w:rPr>
          <w:t xml:space="preserve">Jones &amp; Pewsey, 2009</w:t>
        </w:r>
      </w:hyperlink>
      <w:r>
        <w:t xml:space="preserve">)</w:t>
      </w:r>
      <w:r>
        <w:t xml:space="preserve">, a</w:t>
      </w:r>
      <w:r>
        <w:t xml:space="preserve"> </w:t>
      </w:r>
      <w:r>
        <w:t xml:space="preserve">four-parameter generalization of the normal with separate parameters</w:t>
      </w:r>
      <w:r>
        <w:t xml:space="preserve"> </w:t>
      </w:r>
      <w:r>
        <w:t xml:space="preserve">for asymmetry and tail-thickness, used within the GAMLSS framework</w:t>
      </w:r>
      <w:r>
        <w:t xml:space="preserve"> </w:t>
      </w:r>
      <w:r>
        <w:t xml:space="preserve">for individual-level distributional modeling</w:t>
      </w:r>
      <w:r>
        <w:t xml:space="preserve"> </w:t>
      </w:r>
      <w:r>
        <w:t xml:space="preserve">(</w:t>
      </w:r>
      <w:hyperlink w:anchor="ref-rigbystasinopoulos2005">
        <w:r>
          <w:rPr>
            <w:rStyle w:val="Hyperlink"/>
          </w:rPr>
          <w:t xml:space="preserve">Rigby &amp; Stasinopoulos, 2005</w:t>
        </w:r>
      </w:hyperlink>
      <w:r>
        <w:t xml:space="preserve">;</w:t>
      </w:r>
      <w:r>
        <w:t xml:space="preserve"> </w:t>
      </w:r>
      <w:hyperlink w:anchor="ref-stasinopoulosrigby2007">
        <w:r>
          <w:rPr>
            <w:rStyle w:val="Hyperlink"/>
          </w:rPr>
          <w:t xml:space="preserve">Stasinopoulos &amp; Rigby, 2007</w:t>
        </w:r>
      </w:hyperlink>
      <w:r>
        <w:t xml:space="preserve">)</w:t>
      </w:r>
      <w:r>
        <w:t xml:space="preserve">. If</w:t>
      </w:r>
      <w:r>
        <w:t xml:space="preserve"> </w:t>
      </w:r>
      <m:oMath>
        <m:r>
          <m:t>Z</m:t>
        </m:r>
        <m:r>
          <m:rPr>
            <m:sty m:val="p"/>
          </m:rPr>
          <m:t>∼</m:t>
        </m:r>
        <m:r>
          <m:rPr>
            <m:sty m:val="p"/>
            <m:scr m:val="script"/>
          </m:rPr>
          <m:t>N</m:t>
        </m:r>
        <m:d>
          <m:dPr>
            <m:begChr m:val="("/>
            <m:sepChr m:val=""/>
            <m:endChr m:val=")"/>
            <m:grow/>
          </m:dPr>
          <m:e>
            <m:r>
              <m:t>0</m:t>
            </m:r>
            <m:r>
              <m:rPr>
                <m:sty m:val="p"/>
              </m:rPr>
              <m:t>,</m:t>
            </m:r>
            <m:r>
              <m:t>1</m:t>
            </m:r>
          </m:e>
        </m:d>
      </m:oMath>
      <w:r>
        <w:t xml:space="preserve">, the standardized SHASH variable is</w:t>
      </w:r>
    </w:p>
    <w:p>
      <w:pPr>
        <w:pStyle w:val="BodyText"/>
      </w:pPr>
      <w:bookmarkStart w:id="33" w:name="eq-shash"/>
      <m:oMathPara>
        <m:oMathParaPr>
          <m:jc m:val="center"/>
        </m:oMathParaPr>
        <m:oMath>
          <m:r>
            <m:t>X</m:t>
          </m:r>
          <m:r>
            <m:t> </m:t>
          </m:r>
          <m:r>
            <m:rPr>
              <m:sty m:val="p"/>
            </m:rPr>
            <m:t>=</m:t>
          </m:r>
          <m:r>
            <m:t> </m:t>
          </m:r>
          <m:r>
            <m:rPr>
              <m:sty m:val="p"/>
            </m:rPr>
            <m:t>sinh</m:t>
          </m:r>
          <m:r>
            <m:t>​</m:t>
          </m:r>
          <m:d>
            <m:dPr>
              <m:begChr m:val="("/>
              <m:sepChr m:val=""/>
              <m:endChr m:val=")"/>
              <m:grow/>
            </m:dPr>
            <m:e>
              <m:f>
                <m:fPr>
                  <m:type m:val="bar"/>
                </m:fPr>
                <m:num>
                  <m:r>
                    <m:rPr>
                      <m:sty m:val="p"/>
                    </m:rPr>
                    <m:t>asinh</m:t>
                  </m:r>
                  <m:d>
                    <m:dPr>
                      <m:begChr m:val="("/>
                      <m:sepChr m:val=""/>
                      <m:endChr m:val=")"/>
                      <m:grow/>
                    </m:dPr>
                    <m:e>
                      <m:r>
                        <m:t>Z</m:t>
                      </m:r>
                    </m:e>
                  </m:d>
                  <m:r>
                    <m:rPr>
                      <m:sty m:val="p"/>
                    </m:rPr>
                    <m:t>+</m:t>
                  </m:r>
                  <m:r>
                    <m:t>ϵ</m:t>
                  </m:r>
                </m:num>
                <m:den>
                  <m:r>
                    <m:t>δ</m:t>
                  </m:r>
                </m:den>
              </m:f>
            </m:e>
          </m:d>
          <m:r>
            <m:rPr>
              <m:sty m:val="p"/>
            </m:rPr>
            <m:t>,</m:t>
          </m:r>
          <m:r>
            <m:t>  </m:t>
          </m:r>
          <m:r>
            <m:t>δ</m:t>
          </m:r>
          <m:r>
            <m:rPr>
              <m:sty m:val="p"/>
            </m:rPr>
            <m:t>&gt;</m:t>
          </m:r>
          <m:r>
            <m:t>0</m:t>
          </m:r>
          <m:r>
            <m:rPr>
              <m:sty m:val="p"/>
            </m:rPr>
            <m:t>,</m:t>
          </m:r>
          <m:r>
            <m:t>  </m:t>
          </m:r>
          <m:d>
            <m:dPr>
              <m:begChr m:val="("/>
              <m:sepChr m:val=""/>
              <m:endChr m:val=")"/>
              <m:grow/>
            </m:dPr>
            <m:e>
              <m:r>
                <m:t>1</m:t>
              </m:r>
            </m:e>
          </m:d>
        </m:oMath>
      </m:oMathPara>
      <w:bookmarkEnd w:id="33"/>
    </w:p>
    <w:p>
      <w:pPr>
        <w:pStyle w:val="FirstParagraph"/>
      </w:pPr>
      <w:r>
        <w:t xml:space="preserve">and the score is</w:t>
      </w:r>
      <w:r>
        <w:t xml:space="preserve"> </w:t>
      </w:r>
      <m:oMath>
        <m:r>
          <m:t>S</m:t>
        </m:r>
        <m:r>
          <m:rPr>
            <m:sty m:val="p"/>
          </m:rPr>
          <m:t>=</m:t>
        </m:r>
        <m:sSub>
          <m:e>
            <m:r>
              <m:t>μ</m:t>
            </m:r>
          </m:e>
          <m:sub>
            <m:r>
              <m:t>r</m:t>
            </m:r>
            <m:r>
              <m:rPr>
                <m:sty m:val="p"/>
              </m:rPr>
              <m:t>,</m:t>
            </m:r>
            <m:r>
              <m:t>y</m:t>
            </m:r>
          </m:sub>
        </m:sSub>
        <m:r>
          <m:rPr>
            <m:sty m:val="p"/>
          </m:rPr>
          <m:t>+</m:t>
        </m:r>
        <m:sSub>
          <m:e>
            <m:r>
              <m:t>σ</m:t>
            </m:r>
          </m:e>
          <m:sub>
            <m:r>
              <m:t>r</m:t>
            </m:r>
            <m:r>
              <m:rPr>
                <m:sty m:val="p"/>
              </m:rPr>
              <m:t>,</m:t>
            </m:r>
            <m:r>
              <m:t>y</m:t>
            </m:r>
          </m:sub>
        </m:sSub>
        <m:r>
          <m:t>X</m:t>
        </m:r>
      </m:oMath>
      <w:r>
        <w:t xml:space="preserve">, with location</w:t>
      </w:r>
      <w:r>
        <w:t xml:space="preserve"> </w:t>
      </w:r>
      <m:oMath>
        <m:sSub>
          <m:e>
            <m:r>
              <m:t>μ</m:t>
            </m:r>
          </m:e>
          <m:sub>
            <m:r>
              <m:t>r</m:t>
            </m:r>
            <m:r>
              <m:rPr>
                <m:sty m:val="p"/>
              </m:rPr>
              <m:t>,</m:t>
            </m:r>
            <m:r>
              <m:t>y</m:t>
            </m:r>
          </m:sub>
        </m:sSub>
      </m:oMath>
      <w:r>
        <w:t xml:space="preserve">, scale</w:t>
      </w:r>
      <w:r>
        <w:t xml:space="preserve"> </w:t>
      </w:r>
      <m:oMath>
        <m:sSub>
          <m:e>
            <m:r>
              <m:t>σ</m:t>
            </m:r>
          </m:e>
          <m:sub>
            <m:r>
              <m:t>r</m:t>
            </m:r>
            <m:r>
              <m:rPr>
                <m:sty m:val="p"/>
              </m:rPr>
              <m:t>,</m:t>
            </m:r>
            <m:r>
              <m:t>y</m:t>
            </m:r>
          </m:sub>
        </m:sSub>
      </m:oMath>
      <w:r>
        <w:t xml:space="preserve">, skewness</w:t>
      </w:r>
      <w:r>
        <w:t xml:space="preserve"> </w:t>
      </w:r>
      <m:oMath>
        <m:sSub>
          <m:e>
            <m:r>
              <m:t>ϵ</m:t>
            </m:r>
          </m:e>
          <m:sub>
            <m:r>
              <m:t>r</m:t>
            </m:r>
          </m:sub>
        </m:sSub>
      </m:oMath>
      <w:r>
        <w:t xml:space="preserve">, and</w:t>
      </w:r>
      <w:r>
        <w:t xml:space="preserve"> </w:t>
      </w:r>
      <w:r>
        <w:t xml:space="preserve">tail-weight</w:t>
      </w:r>
      <w:r>
        <w:t xml:space="preserve"> </w:t>
      </w:r>
      <m:oMath>
        <m:sSub>
          <m:e>
            <m:r>
              <m:t>δ</m:t>
            </m:r>
          </m:e>
          <m:sub>
            <m:r>
              <m:t>r</m:t>
            </m:r>
          </m:sub>
        </m:sSub>
      </m:oMath>
      <w:r>
        <w:t xml:space="preserve">;</w:t>
      </w:r>
      <w:r>
        <w:t xml:space="preserve"> </w:t>
      </w:r>
      <m:oMath>
        <m:r>
          <m:t>ϵ</m:t>
        </m:r>
        <m:r>
          <m:rPr>
            <m:sty m:val="p"/>
          </m:rPr>
          <m:t>=</m:t>
        </m:r>
        <m:r>
          <m:t>0</m:t>
        </m:r>
        <m:r>
          <m:rPr>
            <m:sty m:val="p"/>
          </m:rPr>
          <m:t>,</m:t>
        </m:r>
        <m:r>
          <m:t> </m:t>
        </m:r>
        <m:r>
          <m:t>δ</m:t>
        </m:r>
        <m:r>
          <m:rPr>
            <m:sty m:val="p"/>
          </m:rPr>
          <m:t>=</m:t>
        </m:r>
        <m:r>
          <m:t>1</m:t>
        </m:r>
      </m:oMath>
      <w:r>
        <w:t xml:space="preserve"> </w:t>
      </w:r>
      <w:r>
        <w:t xml:space="preserve">recovers the</w:t>
      </w:r>
      <w:r>
        <w:t xml:space="preserve"> </w:t>
      </w:r>
      <w:r>
        <w:t xml:space="preserve">standard normal,</w:t>
      </w:r>
      <w:r>
        <w:t xml:space="preserve"> </w:t>
      </w:r>
      <m:oMath>
        <m:r>
          <m:t>δ</m:t>
        </m:r>
        <m:r>
          <m:rPr>
            <m:sty m:val="p"/>
          </m:rPr>
          <m:t>&lt;</m:t>
        </m:r>
        <m:r>
          <m:t>1</m:t>
        </m:r>
      </m:oMath>
      <w:r>
        <w:t xml:space="preserve"> </w:t>
      </w:r>
      <w:r>
        <w:t xml:space="preserve">gives heavier tails and</w:t>
      </w:r>
      <w:r>
        <w:t xml:space="preserve"> </w:t>
      </w:r>
      <m:oMath>
        <m:r>
          <m:t>δ</m:t>
        </m:r>
        <m:r>
          <m:rPr>
            <m:sty m:val="p"/>
          </m:rPr>
          <m:t>&gt;</m:t>
        </m:r>
        <m:r>
          <m:t>1</m:t>
        </m:r>
      </m:oMath>
      <w:r>
        <w:t xml:space="preserve"> </w:t>
      </w:r>
      <w:r>
        <w:t xml:space="preserve">lighter. The skewness and tail-weight are group-level and</w:t>
      </w:r>
      <w:r>
        <w:t xml:space="preserve"> </w:t>
      </w:r>
      <w:r>
        <w:t xml:space="preserve">year-constant, pooled hierarchically; the location is a free</w:t>
      </w:r>
      <w:r>
        <w:t xml:space="preserve"> </w:t>
      </w:r>
      <w:r>
        <w:t xml:space="preserve">per-(group, year) parameter under a weakly informative prior, with</w:t>
      </w:r>
      <w:r>
        <w:t xml:space="preserve"> </w:t>
      </w:r>
      <w:r>
        <w:t xml:space="preserve">the published mean playing no part. The scale varies by year through</w:t>
      </w:r>
      <w:r>
        <w:t xml:space="preserve"> </w:t>
      </w:r>
      <w:r>
        <w:t xml:space="preserve">a per-group log-linear trend plus a small per-cell residual.</w:t>
      </w:r>
    </w:p>
    <w:p>
      <w:pPr>
        <w:pStyle w:val="BodyText"/>
      </w:pPr>
      <w:r>
        <w:t xml:space="preserve">Because</w:t>
      </w:r>
      <w:r>
        <w:t xml:space="preserve"> </w:t>
      </w:r>
      <m:oMath>
        <m:r>
          <m:rPr>
            <m:sty m:val="p"/>
          </m:rPr>
          <m:t>sinh</m:t>
        </m:r>
      </m:oMath>
      <w:r>
        <w:t xml:space="preserve"> </w:t>
      </w:r>
      <w:r>
        <w:t xml:space="preserve">and</w:t>
      </w:r>
      <w:r>
        <w:t xml:space="preserve"> </w:t>
      </w:r>
      <m:oMath>
        <m:r>
          <m:rPr>
            <m:sty m:val="p"/>
          </m:rPr>
          <m:t>asinh</m:t>
        </m:r>
      </m:oMath>
      <w:r>
        <w:t xml:space="preserve"> </w:t>
      </w:r>
      <w:r>
        <w:t xml:space="preserve">are monotone, the SHASH CDF</w:t>
      </w:r>
      <w:r>
        <w:t xml:space="preserve"> </w:t>
      </w:r>
      <w:r>
        <w:t xml:space="preserve">is the normal CDF</w:t>
      </w:r>
      <w:r>
        <w:t xml:space="preserve"> </w:t>
      </w:r>
      <m:oMath>
        <m:r>
          <m:t>Φ</m:t>
        </m:r>
      </m:oMath>
      <w:r>
        <w:t xml:space="preserve"> </w:t>
      </w:r>
      <w:r>
        <w:t xml:space="preserve">composed with the inverse transformation:</w:t>
      </w:r>
    </w:p>
    <w:p>
      <w:pPr>
        <w:pStyle w:val="BodyText"/>
      </w:pPr>
      <w:bookmarkStart w:id="34" w:name="eq-cdf"/>
      <m:oMathPara>
        <m:oMathParaPr>
          <m:jc m:val="center"/>
        </m:oMathParaPr>
        <m:oMath>
          <m:r>
            <m:t>F</m:t>
          </m:r>
          <m:d>
            <m:dPr>
              <m:begChr m:val="("/>
              <m:sepChr m:val=""/>
              <m:endChr m:val=")"/>
              <m:grow/>
            </m:dPr>
            <m:e>
              <m:r>
                <m:t>s</m:t>
              </m:r>
              <m:r>
                <m:rPr>
                  <m:sty m:val="p"/>
                </m:rPr>
                <m:t>∣</m:t>
              </m:r>
              <m:r>
                <m:t>μ</m:t>
              </m:r>
              <m:r>
                <m:rPr>
                  <m:sty m:val="p"/>
                </m:rPr>
                <m:t>,</m:t>
              </m:r>
              <m:r>
                <m:t>σ</m:t>
              </m:r>
              <m:r>
                <m:rPr>
                  <m:sty m:val="p"/>
                </m:rPr>
                <m:t>,</m:t>
              </m:r>
              <m:r>
                <m:t>ϵ</m:t>
              </m:r>
              <m:r>
                <m:rPr>
                  <m:sty m:val="p"/>
                </m:rPr>
                <m:t>,</m:t>
              </m:r>
              <m:r>
                <m:t>δ</m:t>
              </m:r>
            </m:e>
          </m:d>
          <m:r>
            <m:t> </m:t>
          </m:r>
          <m:r>
            <m:rPr>
              <m:sty m:val="p"/>
            </m:rPr>
            <m:t>=</m:t>
          </m:r>
          <m:r>
            <m:t> </m:t>
          </m:r>
          <m:r>
            <m:t>Φ</m:t>
          </m:r>
          <m:r>
            <m:t>​</m:t>
          </m:r>
          <m:d>
            <m:dPr>
              <m:begChr m:val="("/>
              <m:sepChr m:val=""/>
              <m:endChr m:val=")"/>
              <m:grow/>
            </m:dPr>
            <m:e>
              <m:r>
                <m:rPr>
                  <m:sty m:val="p"/>
                </m:rPr>
                <m:t>sinh</m:t>
              </m:r>
              <m:r>
                <m:t>​</m:t>
              </m:r>
              <m:d>
                <m:dPr>
                  <m:begChr m:val="("/>
                  <m:sepChr m:val=""/>
                  <m:endChr m:val=")"/>
                  <m:grow/>
                </m:dPr>
                <m:e>
                  <m:r>
                    <m:t>δ</m:t>
                  </m:r>
                  <m:r>
                    <m:t> </m:t>
                  </m:r>
                  <m:r>
                    <m:rPr>
                      <m:sty m:val="p"/>
                    </m:rPr>
                    <m:t>asinh</m:t>
                  </m:r>
                  <m:r>
                    <m:t>​</m:t>
                  </m:r>
                  <m:f>
                    <m:fPr>
                      <m:type m:val="bar"/>
                    </m:fPr>
                    <m:num>
                      <m:r>
                        <m:t>s</m:t>
                      </m:r>
                      <m:r>
                        <m:rPr>
                          <m:sty m:val="p"/>
                        </m:rPr>
                        <m:t>−</m:t>
                      </m:r>
                      <m:r>
                        <m:t>μ</m:t>
                      </m:r>
                    </m:num>
                    <m:den>
                      <m:r>
                        <m:t>σ</m:t>
                      </m:r>
                    </m:den>
                  </m:f>
                  <m:r>
                    <m:rPr>
                      <m:sty m:val="p"/>
                    </m:rPr>
                    <m:t>−</m:t>
                  </m:r>
                  <m:r>
                    <m:t>ϵ</m:t>
                  </m:r>
                </m:e>
              </m:d>
            </m:e>
          </m:d>
          <m:r>
            <m:rPr>
              <m:sty m:val="p"/>
            </m:rPr>
            <m:t>.</m:t>
          </m:r>
          <m:r>
            <m:t>  </m:t>
          </m:r>
          <m:d>
            <m:dPr>
              <m:begChr m:val="("/>
              <m:sepChr m:val=""/>
              <m:endChr m:val=")"/>
              <m:grow/>
            </m:dPr>
            <m:e>
              <m:r>
                <m:t>2</m:t>
              </m:r>
            </m:e>
          </m:d>
        </m:oMath>
      </m:oMathPara>
      <w:bookmarkEnd w:id="34"/>
    </w:p>
    <w:p>
      <w:pPr>
        <w:pStyle w:val="FirstParagraph"/>
      </w:pPr>
      <w:r>
        <w:t xml:space="preserve">Censoring at the reporting range is handled by folding it into the</w:t>
      </w:r>
      <w:r>
        <w:t xml:space="preserve"> </w:t>
      </w:r>
      <w:r>
        <w:t xml:space="preserve">band boundaries. SAT total scores are reported in 10-point steps, so</w:t>
      </w:r>
      <w:r>
        <w:t xml:space="preserve"> </w:t>
      </w:r>
      <w:r>
        <w:t xml:space="preserve">the latent cut between bands</w:t>
      </w:r>
      <w:r>
        <w:t xml:space="preserve"> </w:t>
      </w:r>
      <w:r>
        <w:t xml:space="preserve">“400–590”</w:t>
      </w:r>
      <w:r>
        <w:t xml:space="preserve"> </w:t>
      </w:r>
      <w:r>
        <w:t xml:space="preserve">and</w:t>
      </w:r>
      <w:r>
        <w:t xml:space="preserve"> </w:t>
      </w:r>
      <w:r>
        <w:t xml:space="preserve">“600–790”</w:t>
      </w:r>
      <w:r>
        <w:t xml:space="preserve"> </w:t>
      </w:r>
      <w:r>
        <w:t xml:space="preserve">sits at the</w:t>
      </w:r>
      <w:r>
        <w:t xml:space="preserve"> </w:t>
      </w:r>
      <w:r>
        <w:t xml:space="preserve">midpoint of the gap, 595, and the interior cuts likewise at 795,</w:t>
      </w:r>
      <w:r>
        <w:t xml:space="preserve"> </w:t>
      </w:r>
      <w:r>
        <w:t xml:space="preserve">995, 1195, 1395. With edges</w:t>
      </w:r>
      <w:r>
        <w:t xml:space="preserve"> </w:t>
      </w:r>
      <m:oMath>
        <m:d>
          <m:dPr>
            <m:begChr m:val="("/>
            <m:sepChr m:val=""/>
            <m:endChr m:val=")"/>
            <m:grow/>
          </m:dPr>
          <m:e>
            <m:r>
              <m:rPr>
                <m:sty m:val="p"/>
              </m:rPr>
              <m:t>−</m:t>
            </m:r>
            <m:r>
              <m:rPr>
                <m:sty m:val="p"/>
              </m:rPr>
              <m:t>∞</m:t>
            </m:r>
            <m:r>
              <m:rPr>
                <m:sty m:val="p"/>
              </m:rPr>
              <m:t>,</m:t>
            </m:r>
            <m:r>
              <m:t>595</m:t>
            </m:r>
            <m:r>
              <m:rPr>
                <m:sty m:val="p"/>
              </m:rPr>
              <m:t>,</m:t>
            </m:r>
            <m:r>
              <m:t>795</m:t>
            </m:r>
            <m:r>
              <m:rPr>
                <m:sty m:val="p"/>
              </m:rPr>
              <m:t>,</m:t>
            </m:r>
            <m:r>
              <m:t>995</m:t>
            </m:r>
            <m:r>
              <m:rPr>
                <m:sty m:val="p"/>
              </m:rPr>
              <m:t>,</m:t>
            </m:r>
            <m:r>
              <m:t>1195</m:t>
            </m:r>
            <m:r>
              <m:rPr>
                <m:sty m:val="p"/>
              </m:rPr>
              <m:t>,</m:t>
            </m:r>
            <m:r>
              <m:t>1395</m:t>
            </m:r>
            <m:r>
              <m:rPr>
                <m:sty m:val="p"/>
              </m:rPr>
              <m:t>,</m:t>
            </m:r>
            <m:r>
              <m:rPr>
                <m:sty m:val="p"/>
              </m:rPr>
              <m:t>+</m:t>
            </m:r>
            <m:r>
              <m:rPr>
                <m:sty m:val="p"/>
              </m:rPr>
              <m:t>∞</m:t>
            </m:r>
          </m:e>
        </m:d>
      </m:oMath>
      <w:r>
        <w:t xml:space="preserve">, the bottom band</w:t>
      </w:r>
      <w:r>
        <w:t xml:space="preserve"> </w:t>
      </w:r>
      <w:r>
        <w:t xml:space="preserve">collects mass the smooth distribution would place below 400 and the</w:t>
      </w:r>
      <w:r>
        <w:t xml:space="preserve"> </w:t>
      </w:r>
      <w:r>
        <w:t xml:space="preserve">top band mass above 1600, so the model probability that a member of</w:t>
      </w:r>
      <w:r>
        <w:t xml:space="preserve"> </w:t>
      </w:r>
      <w:r>
        <w:t xml:space="preserve">group</w:t>
      </w:r>
      <w:r>
        <w:t xml:space="preserve"> </w:t>
      </w:r>
      <m:oMath>
        <m:r>
          <m:t>r</m:t>
        </m:r>
      </m:oMath>
      <w:r>
        <w:t xml:space="preserve"> </w:t>
      </w:r>
      <w:r>
        <w:t xml:space="preserve">in year</w:t>
      </w:r>
      <w:r>
        <w:t xml:space="preserve"> </w:t>
      </w:r>
      <m:oMath>
        <m:r>
          <m:t>y</m:t>
        </m:r>
      </m:oMath>
      <w:r>
        <w:t xml:space="preserve"> </w:t>
      </w:r>
      <w:r>
        <w:t xml:space="preserve">falls in band</w:t>
      </w:r>
      <w:r>
        <w:t xml:space="preserve"> </w:t>
      </w:r>
      <m:oMath>
        <m:r>
          <m:t>b</m:t>
        </m:r>
      </m:oMath>
      <w:r>
        <w:t xml:space="preserve"> </w:t>
      </w:r>
      <w:r>
        <w:t xml:space="preserve">is</w:t>
      </w:r>
    </w:p>
    <w:p>
      <w:pPr>
        <w:pStyle w:val="BodyText"/>
      </w:pPr>
      <w:bookmarkStart w:id="35" w:name="eq-bandprob"/>
      <m:oMathPara>
        <m:oMathParaPr>
          <m:jc m:val="center"/>
        </m:oMathParaPr>
        <m:oMath>
          <m:sSub>
            <m:e>
              <m:r>
                <m:t>π</m:t>
              </m:r>
            </m:e>
            <m:sub>
              <m:r>
                <m:t>r</m:t>
              </m:r>
              <m:r>
                <m:rPr>
                  <m:sty m:val="p"/>
                </m:rPr>
                <m:t>,</m:t>
              </m:r>
              <m:r>
                <m:t>y</m:t>
              </m:r>
              <m:r>
                <m:rPr>
                  <m:sty m:val="p"/>
                </m:rPr>
                <m:t>,</m:t>
              </m:r>
              <m:r>
                <m:t>b</m:t>
              </m:r>
            </m:sub>
          </m:sSub>
          <m:r>
            <m:t> </m:t>
          </m:r>
          <m:r>
            <m:rPr>
              <m:sty m:val="p"/>
            </m:rPr>
            <m:t>=</m:t>
          </m:r>
          <m:r>
            <m:t> </m:t>
          </m:r>
          <m:r>
            <m:t>F</m:t>
          </m:r>
          <m:d>
            <m:dPr>
              <m:begChr m:val="("/>
              <m:sepChr m:val=""/>
              <m:endChr m:val=")"/>
              <m:grow/>
            </m:dPr>
            <m:e>
              <m:sSub>
                <m:e>
                  <m:r>
                    <m:t>e</m:t>
                  </m:r>
                </m:e>
                <m:sub>
                  <m:r>
                    <m:t>b</m:t>
                  </m:r>
                </m:sub>
              </m:sSub>
              <m:r>
                <m:rPr>
                  <m:sty m:val="p"/>
                </m:rPr>
                <m:t>∣</m:t>
              </m:r>
              <m:sSub>
                <m:e>
                  <m:r>
                    <m:t>μ</m:t>
                  </m:r>
                </m:e>
                <m:sub>
                  <m:r>
                    <m:t>r</m:t>
                  </m:r>
                  <m:r>
                    <m:rPr>
                      <m:sty m:val="p"/>
                    </m:rPr>
                    <m:t>,</m:t>
                  </m:r>
                  <m:r>
                    <m:t>y</m:t>
                  </m:r>
                </m:sub>
              </m:sSub>
              <m:r>
                <m:rPr>
                  <m:sty m:val="p"/>
                </m:rPr>
                <m:t>,</m:t>
              </m:r>
              <m:sSub>
                <m:e>
                  <m:r>
                    <m:t>σ</m:t>
                  </m:r>
                </m:e>
                <m:sub>
                  <m:r>
                    <m:t>r</m:t>
                  </m:r>
                  <m:r>
                    <m:rPr>
                      <m:sty m:val="p"/>
                    </m:rPr>
                    <m:t>,</m:t>
                  </m:r>
                  <m:r>
                    <m:t>y</m:t>
                  </m:r>
                </m:sub>
              </m:sSub>
              <m:r>
                <m:rPr>
                  <m:sty m:val="p"/>
                </m:rPr>
                <m:t>,</m:t>
              </m:r>
              <m:sSub>
                <m:e>
                  <m:r>
                    <m:t>ϵ</m:t>
                  </m:r>
                </m:e>
                <m:sub>
                  <m:r>
                    <m:t>r</m:t>
                  </m:r>
                </m:sub>
              </m:sSub>
              <m:r>
                <m:rPr>
                  <m:sty m:val="p"/>
                </m:rPr>
                <m:t>,</m:t>
              </m:r>
              <m:sSub>
                <m:e>
                  <m:r>
                    <m:t>δ</m:t>
                  </m:r>
                </m:e>
                <m:sub>
                  <m:r>
                    <m:t>r</m:t>
                  </m:r>
                </m:sub>
              </m:sSub>
            </m:e>
          </m:d>
          <m:r>
            <m:rPr>
              <m:sty m:val="p"/>
            </m:rPr>
            <m:t>−</m:t>
          </m:r>
          <m:r>
            <m:t>F</m:t>
          </m:r>
          <m:d>
            <m:dPr>
              <m:begChr m:val="("/>
              <m:sepChr m:val=""/>
              <m:endChr m:val=")"/>
              <m:grow/>
            </m:dPr>
            <m:e>
              <m:sSub>
                <m:e>
                  <m:r>
                    <m:t>e</m:t>
                  </m:r>
                </m:e>
                <m:sub>
                  <m:r>
                    <m:t>b</m:t>
                  </m:r>
                  <m:r>
                    <m:rPr>
                      <m:sty m:val="p"/>
                    </m:rPr>
                    <m:t>−</m:t>
                  </m:r>
                  <m:r>
                    <m:t>1</m:t>
                  </m:r>
                </m:sub>
              </m:sSub>
              <m:r>
                <m:rPr>
                  <m:sty m:val="p"/>
                </m:rPr>
                <m:t>∣</m:t>
              </m:r>
              <m:sSub>
                <m:e>
                  <m:r>
                    <m:t>μ</m:t>
                  </m:r>
                </m:e>
                <m:sub>
                  <m:r>
                    <m:t>r</m:t>
                  </m:r>
                  <m:r>
                    <m:rPr>
                      <m:sty m:val="p"/>
                    </m:rPr>
                    <m:t>,</m:t>
                  </m:r>
                  <m:r>
                    <m:t>y</m:t>
                  </m:r>
                </m:sub>
              </m:sSub>
              <m:r>
                <m:rPr>
                  <m:sty m:val="p"/>
                </m:rPr>
                <m:t>,</m:t>
              </m:r>
              <m:sSub>
                <m:e>
                  <m:r>
                    <m:t>σ</m:t>
                  </m:r>
                </m:e>
                <m:sub>
                  <m:r>
                    <m:t>r</m:t>
                  </m:r>
                  <m:r>
                    <m:rPr>
                      <m:sty m:val="p"/>
                    </m:rPr>
                    <m:t>,</m:t>
                  </m:r>
                  <m:r>
                    <m:t>y</m:t>
                  </m:r>
                </m:sub>
              </m:sSub>
              <m:r>
                <m:rPr>
                  <m:sty m:val="p"/>
                </m:rPr>
                <m:t>,</m:t>
              </m:r>
              <m:sSub>
                <m:e>
                  <m:r>
                    <m:t>ϵ</m:t>
                  </m:r>
                </m:e>
                <m:sub>
                  <m:r>
                    <m:t>r</m:t>
                  </m:r>
                </m:sub>
              </m:sSub>
              <m:r>
                <m:rPr>
                  <m:sty m:val="p"/>
                </m:rPr>
                <m:t>,</m:t>
              </m:r>
              <m:sSub>
                <m:e>
                  <m:r>
                    <m:t>δ</m:t>
                  </m:r>
                </m:e>
                <m:sub>
                  <m:r>
                    <m:t>r</m:t>
                  </m:r>
                </m:sub>
              </m:sSub>
            </m:e>
          </m:d>
          <m:r>
            <m:rPr>
              <m:sty m:val="p"/>
            </m:rPr>
            <m:t>,</m:t>
          </m:r>
          <m:r>
            <m:t>  </m:t>
          </m:r>
          <m:d>
            <m:dPr>
              <m:begChr m:val="("/>
              <m:sepChr m:val=""/>
              <m:endChr m:val=")"/>
              <m:grow/>
            </m:dPr>
            <m:e>
              <m:r>
                <m:t>3</m:t>
              </m:r>
            </m:e>
          </m:d>
        </m:oMath>
      </m:oMathPara>
      <w:bookmarkEnd w:id="35"/>
    </w:p>
    <w:p>
      <w:pPr>
        <w:pStyle w:val="FirstParagraph"/>
      </w:pPr>
      <w:r>
        <w:t xml:space="preserve">a difference of two closed-form CDF evaluations. The same 10-point</w:t>
      </w:r>
      <w:r>
        <w:t xml:space="preserve"> </w:t>
      </w:r>
      <w:r>
        <w:t xml:space="preserve">convention applies to threshold questions later (a reported score</w:t>
      </w:r>
      <w:r>
        <w:t xml:space="preserve"> </w:t>
      </w:r>
      <m:oMath>
        <m:r>
          <m:rPr>
            <m:sty m:val="p"/>
          </m:rPr>
          <m:t>≥</m:t>
        </m:r>
        <m:r>
          <m:t>t</m:t>
        </m:r>
      </m:oMath>
      <w:r>
        <w:t xml:space="preserve"> </w:t>
      </w:r>
      <w:r>
        <w:t xml:space="preserve">corresponds to a latent score</w:t>
      </w:r>
      <w:r>
        <w:t xml:space="preserve"> </w:t>
      </w:r>
      <m:oMath>
        <m:r>
          <m:rPr>
            <m:sty m:val="p"/>
          </m:rPr>
          <m:t>≥</m:t>
        </m:r>
        <m:r>
          <m:t>t</m:t>
        </m:r>
        <m:r>
          <m:rPr>
            <m:sty m:val="p"/>
          </m:rPr>
          <m:t>−</m:t>
        </m:r>
        <m:r>
          <m:t>5</m:t>
        </m:r>
      </m:oMath>
      <w:r>
        <w:t xml:space="preserve">). The model fits on</w:t>
      </w:r>
      <w:r>
        <w:t xml:space="preserve"> </w:t>
      </w:r>
      <w:r>
        <w:t xml:space="preserve">latent scores; the censoring fold means that any latent mass the</w:t>
      </w:r>
      <w:r>
        <w:t xml:space="preserve"> </w:t>
      </w:r>
      <w:r>
        <w:t xml:space="preserve">SHASH would put above 1600 is assigned to the 1400–1600 band, and</w:t>
      </w:r>
      <w:r>
        <w:t xml:space="preserve"> </w:t>
      </w:r>
      <w:r>
        <w:t xml:space="preserve">the band probabilities are computed accordingly. Threshold queries</w:t>
      </w:r>
      <w:r>
        <w:t xml:space="preserve"> </w:t>
      </w:r>
      <m:oMath>
        <m:r>
          <m:t>P</m:t>
        </m:r>
        <m:d>
          <m:dPr>
            <m:begChr m:val="("/>
            <m:sepChr m:val=""/>
            <m:endChr m:val=")"/>
            <m:grow/>
          </m:dPr>
          <m:e>
            <m:r>
              <m:rPr>
                <m:nor/>
                <m:sty m:val="p"/>
              </m:rPr>
              <m:t>score</m:t>
            </m:r>
            <m:r>
              <m:rPr>
                <m:sty m:val="p"/>
              </m:rPr>
              <m:t>≥</m:t>
            </m:r>
            <m:r>
              <m:t>t</m:t>
            </m:r>
          </m:e>
        </m:d>
      </m:oMath>
      <w:r>
        <w:t xml:space="preserve"> </w:t>
      </w:r>
      <w:r>
        <w:t xml:space="preserve">are correspondingly latent-score queries,</w:t>
      </w:r>
      <w:r>
        <w:t xml:space="preserve"> </w:t>
      </w:r>
      <w:r>
        <w:t xml:space="preserve">which is an honest reading of the data the College Board reports</w:t>
      </w:r>
      <w:r>
        <w:t xml:space="preserve"> </w:t>
      </w:r>
      <w:r>
        <w:t xml:space="preserve">(they too truncate at 1600). For the highest-mean group (Asian,</w:t>
      </w:r>
      <w:r>
        <w:t xml:space="preserve"> </w:t>
      </w:r>
      <w:r>
        <w:t xml:space="preserve">approximately 26% of mass in the top reported band) the unrealizable</w:t>
      </w:r>
      <w:r>
        <w:t xml:space="preserve"> </w:t>
      </w:r>
      <w:r>
        <w:t xml:space="preserve">latent mass above 1600 is non-trivial; we treat within-top-band</w:t>
      </w:r>
      <w:r>
        <w:t xml:space="preserve"> </w:t>
      </w:r>
      <w:r>
        <w:t xml:space="preserve">shape as unidentified by the band data alone and revisit the</w:t>
      </w:r>
      <w:r>
        <w:t xml:space="preserve"> </w:t>
      </w:r>
      <w:r>
        <w:t xml:space="preserve">practical consequence in Composition of the High-Scoring Pool.</w:t>
      </w:r>
    </w:p>
    <w:p>
      <w:pPr>
        <w:pStyle w:val="BodyText"/>
      </w:pPr>
      <w:r>
        <w:t xml:space="preserve">Of the four parameters, only the scale is given time structure. The</w:t>
      </w:r>
      <w:r>
        <w:t xml:space="preserve"> </w:t>
      </w:r>
      <w:r>
        <w:t xml:space="preserve">published cohort SD rose from approximately 204 to 235 across</w:t>
      </w:r>
      <w:r>
        <w:t xml:space="preserve"> </w:t>
      </w:r>
      <w:r>
        <w:t xml:space="preserve">2018–2025 as the SAT-taking population broadened post-SAT-optional;</w:t>
      </w:r>
      <w:r>
        <w:t xml:space="preserve"> </w:t>
      </w:r>
      <w:r>
        <w:t xml:space="preserve">a model with fixed per-group scales would sit at the all-years</w:t>
      </w:r>
      <w:r>
        <w:t xml:space="preserve"> </w:t>
      </w:r>
      <w:r>
        <w:t xml:space="preserve">average and be too narrow in recent cohorts. For each of the seven</w:t>
      </w:r>
      <w:r>
        <w:t xml:space="preserve"> </w:t>
      </w:r>
      <w:r>
        <w:rPr>
          <w:i/>
          <w:iCs/>
        </w:rPr>
        <w:t xml:space="preserve">named</w:t>
      </w:r>
      <w:r>
        <w:t xml:space="preserve"> </w:t>
      </w:r>
      <w:r>
        <w:t xml:space="preserve">groups we let</w:t>
      </w:r>
    </w:p>
    <w:p>
      <w:pPr>
        <w:pStyle w:val="BodyText"/>
      </w:pPr>
      <w:bookmarkStart w:id="36" w:name="eq-scaletrend"/>
      <m:oMathPara>
        <m:oMathParaPr>
          <m:jc m:val="center"/>
        </m:oMathParaPr>
        <m:oMath>
          <m:sSub>
            <m:e>
              <m:r>
                <m:t>σ</m:t>
              </m:r>
            </m:e>
            <m:sub>
              <m:r>
                <m:t>r</m:t>
              </m:r>
              <m:r>
                <m:rPr>
                  <m:sty m:val="p"/>
                </m:rPr>
                <m:t>,</m:t>
              </m:r>
              <m:r>
                <m:t>y</m:t>
              </m:r>
            </m:sub>
          </m:sSub>
          <m:r>
            <m:t> </m:t>
          </m:r>
          <m:r>
            <m:rPr>
              <m:sty m:val="p"/>
            </m:rPr>
            <m:t>=</m:t>
          </m:r>
          <m:r>
            <m:t> </m:t>
          </m:r>
          <m:sSub>
            <m:e>
              <m:r>
                <m:t>σ</m:t>
              </m:r>
            </m:e>
            <m:sub>
              <m:r>
                <m:t>r</m:t>
              </m:r>
            </m:sub>
          </m:sSub>
          <m:r>
            <m:rPr>
              <m:sty m:val="p"/>
            </m:rPr>
            <m:t>exp</m:t>
          </m:r>
          <m:r>
            <m:t>​</m:t>
          </m:r>
          <m:d>
            <m:dPr>
              <m:begChr m:val="("/>
              <m:sepChr m:val=""/>
              <m:endChr m:val=")"/>
              <m:grow/>
            </m:dPr>
            <m:e>
              <m:sSub>
                <m:e>
                  <m:r>
                    <m:t>λ</m:t>
                  </m:r>
                </m:e>
                <m:sub>
                  <m:r>
                    <m:t>r</m:t>
                  </m:r>
                </m:sub>
              </m:sSub>
              <m:sSub>
                <m:e>
                  <m:r>
                    <m:t>z</m:t>
                  </m:r>
                </m:e>
                <m:sub>
                  <m:r>
                    <m:t>y</m:t>
                  </m:r>
                </m:sub>
              </m:sSub>
              <m:r>
                <m:rPr>
                  <m:sty m:val="p"/>
                </m:rPr>
                <m:t>+</m:t>
              </m:r>
              <m:sSub>
                <m:e>
                  <m:r>
                    <m:t>η</m:t>
                  </m:r>
                </m:e>
                <m:sub>
                  <m:r>
                    <m:t>r</m:t>
                  </m:r>
                  <m:r>
                    <m:rPr>
                      <m:sty m:val="p"/>
                    </m:rPr>
                    <m:t>,</m:t>
                  </m:r>
                  <m:r>
                    <m:t>y</m:t>
                  </m:r>
                </m:sub>
              </m:sSub>
            </m:e>
          </m:d>
          <m:r>
            <m:rPr>
              <m:sty m:val="p"/>
            </m:rPr>
            <m:t>,</m:t>
          </m:r>
          <m:r>
            <m:t>  </m:t>
          </m:r>
          <m:d>
            <m:dPr>
              <m:begChr m:val="("/>
              <m:sepChr m:val=""/>
              <m:endChr m:val=")"/>
              <m:grow/>
            </m:dPr>
            <m:e>
              <m:r>
                <m:t>4</m:t>
              </m:r>
            </m:e>
          </m:d>
        </m:oMath>
      </m:oMathPara>
      <w:bookmarkEnd w:id="36"/>
    </w:p>
    <w:p>
      <w:pPr>
        <w:pStyle w:val="FirstParagraph"/>
      </w:pPr>
      <w:r>
        <w:t xml:space="preserve">with</w:t>
      </w:r>
      <w:r>
        <w:t xml:space="preserve"> </w:t>
      </w:r>
      <m:oMath>
        <m:sSub>
          <m:e>
            <m:r>
              <m:t>σ</m:t>
            </m:r>
          </m:e>
          <m:sub>
            <m:r>
              <m:t>r</m:t>
            </m:r>
          </m:sub>
        </m:sSub>
      </m:oMath>
      <w:r>
        <w:t xml:space="preserve"> </w:t>
      </w:r>
      <w:r>
        <w:t xml:space="preserve">the mid-period scale,</w:t>
      </w:r>
      <w:r>
        <w:t xml:space="preserve"> </w:t>
      </w:r>
      <m:oMath>
        <m:sSub>
          <m:e>
            <m:r>
              <m:t>z</m:t>
            </m:r>
          </m:e>
          <m:sub>
            <m:r>
              <m:t>y</m:t>
            </m:r>
          </m:sub>
        </m:sSub>
      </m:oMath>
      <w:r>
        <w:t xml:space="preserve"> </w:t>
      </w:r>
      <w:r>
        <w:t xml:space="preserve">the standardized year,</w:t>
      </w:r>
      <w:r>
        <w:t xml:space="preserve"> </w:t>
      </w:r>
      <m:oMath>
        <m:sSub>
          <m:e>
            <m:r>
              <m:t>λ</m:t>
            </m:r>
          </m:e>
          <m:sub>
            <m:r>
              <m:t>r</m:t>
            </m:r>
          </m:sub>
        </m:sSub>
      </m:oMath>
      <w:r>
        <w:t xml:space="preserve"> </w:t>
      </w:r>
      <w:r>
        <w:t xml:space="preserve">a per-group log-linear growth rate (pooled toward a</w:t>
      </w:r>
      <w:r>
        <w:t xml:space="preserve"> </w:t>
      </w:r>
      <w:r>
        <w:t xml:space="preserve">common</w:t>
      </w:r>
      <w:r>
        <w:t xml:space="preserve"> </w:t>
      </w:r>
      <m:oMath>
        <m:sSub>
          <m:e>
            <m:r>
              <m:t>β</m:t>
            </m:r>
          </m:e>
          <m:sub>
            <m:r>
              <m:t>λ</m:t>
            </m:r>
          </m:sub>
        </m:sSub>
      </m:oMath>
      <w:r>
        <w:t xml:space="preserve">), and</w:t>
      </w:r>
      <w:r>
        <w:t xml:space="preserve"> </w:t>
      </w:r>
      <m:oMath>
        <m:sSub>
          <m:e>
            <m:r>
              <m:t>η</m:t>
            </m:r>
          </m:e>
          <m:sub>
            <m:r>
              <m:t>r</m:t>
            </m:r>
            <m:r>
              <m:rPr>
                <m:sty m:val="p"/>
              </m:rPr>
              <m:t>,</m:t>
            </m:r>
            <m:r>
              <m:t>y</m:t>
            </m:r>
          </m:sub>
        </m:sSub>
      </m:oMath>
      <w:r>
        <w:t xml:space="preserve"> </w:t>
      </w:r>
      <w:r>
        <w:t xml:space="preserve">a per-cell residual around</w:t>
      </w:r>
      <w:r>
        <w:t xml:space="preserve"> </w:t>
      </w:r>
      <w:r>
        <w:t xml:space="preserve">that trend (held close to zero by a tight prior, but a genuine free</w:t>
      </w:r>
      <w:r>
        <w:t xml:space="preserve"> </w:t>
      </w:r>
      <w:r>
        <w:t xml:space="preserve">parameter so the cohort statistics inherit its uncertainty rather</w:t>
      </w:r>
      <w:r>
        <w:t xml:space="preserve"> </w:t>
      </w:r>
      <w:r>
        <w:t xml:space="preserve">than treating the parametric form as exact). The fitted</w:t>
      </w:r>
      <w:r>
        <w:t xml:space="preserve"> </w:t>
      </w:r>
      <m:oMath>
        <m:sSub>
          <m:e>
            <m:r>
              <m:t>β</m:t>
            </m:r>
          </m:e>
          <m:sub>
            <m:r>
              <m:t>λ</m:t>
            </m:r>
          </m:sub>
        </m:sSub>
        <m:r>
          <m:rPr>
            <m:sty m:val="p"/>
          </m:rPr>
          <m:t>≈</m:t>
        </m:r>
        <m:r>
          <m:t>0.03</m:t>
        </m:r>
      </m:oMath>
      <w:r>
        <w:t xml:space="preserve"> </w:t>
      </w:r>
      <w:r>
        <w:t xml:space="preserve">corresponds to scales about 10% wider in</w:t>
      </w:r>
      <w:r>
        <w:t xml:space="preserve"> </w:t>
      </w:r>
      <w:r>
        <w:t xml:space="preserve">2025 than in 2018.</w:t>
      </w:r>
    </w:p>
    <w:p>
      <w:pPr>
        <w:pStyle w:val="BodyText"/>
      </w:pPr>
      <w:r>
        <w:t xml:space="preserve">The eighth group,</w:t>
      </w:r>
      <w:r>
        <w:t xml:space="preserve"> </w:t>
      </w:r>
      <w:r>
        <w:t xml:space="preserve">“No response”</w:t>
      </w:r>
      <w:r>
        <w:t xml:space="preserve">, receives a free per-year log scale</w:t>
      </w:r>
      <w:r>
        <w:t xml:space="preserve"> </w:t>
      </w:r>
      <w:r>
        <w:t xml:space="preserve">instead of the log-linear trend, for the empirical reasons given in</w:t>
      </w:r>
      <w:r>
        <w:t xml:space="preserve"> </w:t>
      </w:r>
      <w:r>
        <w:t xml:space="preserve">Data: its band-midpoint SD follows a step pattern across 2018–2025</w:t>
      </w:r>
      <w:r>
        <w:t xml:space="preserve"> </w:t>
      </w:r>
      <w:r>
        <w:t xml:space="preserve">that</w:t>
      </w:r>
      <w:r>
        <w:t xml:space="preserve"> </w:t>
      </w:r>
      <w:r>
        <w:t xml:space="preserve">a smooth trend cannot track, and forcing it into the named-group</w:t>
      </w:r>
      <w:r>
        <w:t xml:space="preserve"> </w:t>
      </w:r>
      <w:r>
        <w:t xml:space="preserve">hierarchy distorts that hierarchy.</w:t>
      </w:r>
    </w:p>
    <w:p>
      <w:pPr>
        <w:pStyle w:val="BodyText"/>
      </w:pPr>
      <w:r>
        <w:t xml:space="preserve">The per-group-year location is a free parameter</w:t>
      </w:r>
      <w:r>
        <w:t xml:space="preserve"> </w:t>
      </w:r>
      <m:oMath>
        <m:sSub>
          <m:e>
            <m:r>
              <m:t>μ</m:t>
            </m:r>
          </m:e>
          <m:sub>
            <m:r>
              <m:t>r</m:t>
            </m:r>
            <m:r>
              <m:rPr>
                <m:sty m:val="p"/>
              </m:rPr>
              <m:t>,</m:t>
            </m:r>
            <m:r>
              <m:t>y</m:t>
            </m:r>
          </m:sub>
        </m:sSub>
      </m:oMath>
      <w:r>
        <w:t xml:space="preserve">. The</w:t>
      </w:r>
      <w:r>
        <w:t xml:space="preserve"> </w:t>
      </w:r>
      <w:r>
        <w:t xml:space="preserve">published group mean</w:t>
      </w:r>
      <w:r>
        <w:t xml:space="preserve"> </w:t>
      </w:r>
      <m:oMath>
        <m:sSubSup>
          <m:e>
            <m:acc>
              <m:accPr>
                <m:chr m:val="‾"/>
              </m:accPr>
              <m:e>
                <m:r>
                  <m:t>S</m:t>
                </m:r>
              </m:e>
            </m:acc>
          </m:e>
          <m:sub>
            <m:r>
              <m:t>r</m:t>
            </m:r>
            <m:r>
              <m:rPr>
                <m:sty m:val="p"/>
              </m:rPr>
              <m:t>,</m:t>
            </m:r>
            <m:r>
              <m:t>y</m:t>
            </m:r>
          </m:sub>
          <m:sup>
            <m:r>
              <m:rPr>
                <m:nor/>
                <m:sty m:val="p"/>
              </m:rPr>
              <m:t>pub</m:t>
            </m:r>
          </m:sup>
        </m:sSubSup>
      </m:oMath>
      <w:r>
        <w:t xml:space="preserve"> </w:t>
      </w:r>
      <w:r>
        <w:t xml:space="preserve">is not used in the fit.</w:t>
      </w:r>
      <w:r>
        <w:t xml:space="preserve"> </w:t>
      </w:r>
      <w:r>
        <w:t xml:space="preserve">It and the band percentages come from the same test-takers, so treating</w:t>
      </w:r>
      <w:r>
        <w:t xml:space="preserve"> </w:t>
      </w:r>
      <w:r>
        <w:t xml:space="preserve">the mean as a separate exact fact would double-count. Holding it out</w:t>
      </w:r>
      <w:r>
        <w:t xml:space="preserve"> </w:t>
      </w:r>
      <w:r>
        <w:t xml:space="preserve">also turns</w:t>
      </w:r>
      <w:r>
        <w:t xml:space="preserve"> </w:t>
      </w:r>
      <w:r>
        <w:t xml:space="preserve">“the model recovers the published group means from the band</w:t>
      </w:r>
      <w:r>
        <w:t xml:space="preserve"> </w:t>
      </w:r>
      <w:r>
        <w:t xml:space="preserve">percentages alone”</w:t>
      </w:r>
      <w:r>
        <w:t xml:space="preserve"> </w:t>
      </w:r>
      <w:r>
        <w:t xml:space="preserve">into a check comparable to those on the cohort SD</w:t>
      </w:r>
      <w:r>
        <w:t xml:space="preserve"> </w:t>
      </w:r>
      <w:r>
        <w:t xml:space="preserve">and quartiles.</w:t>
      </w:r>
    </w:p>
    <w:p>
      <w:pPr>
        <w:pStyle w:val="BodyText"/>
      </w:pPr>
      <w:r>
        <w:t xml:space="preserve">The</w:t>
      </w:r>
      <w:r>
        <w:t xml:space="preserve"> </w:t>
      </w:r>
      <w:r>
        <w:t xml:space="preserve">“Two or More Races”</w:t>
      </w:r>
      <w:r>
        <w:t xml:space="preserve"> </w:t>
      </w:r>
      <w:r>
        <w:t xml:space="preserve">group is fit with the same single-(skewness,</w:t>
      </w:r>
      <w:r>
        <w:t xml:space="preserve"> </w:t>
      </w:r>
      <w:r>
        <w:t xml:space="preserve">tail-weight) SHASH as each named single-race group.</w:t>
      </w:r>
      <w:r>
        <w:rPr>
          <w:rStyle w:val="FootnoteReference"/>
        </w:rPr>
        <w:footnoteReference w:id="37"/>
      </w:r>
    </w:p>
    <w:bookmarkEnd w:id="38"/>
    <w:bookmarkStart w:id="40" w:name="sec-likelihood"/>
    <w:p>
      <w:pPr>
        <w:pStyle w:val="Heading2"/>
      </w:pPr>
      <w:r>
        <w:t xml:space="preserve">A Dirichlet Likelihood on Band Proportions</w:t>
      </w:r>
    </w:p>
    <w:p>
      <w:pPr>
        <w:pStyle w:val="FirstParagraph"/>
      </w:pPr>
      <w:r>
        <w:t xml:space="preserve">For each group and year, let</w:t>
      </w:r>
      <w:r>
        <w:t xml:space="preserve"> </w:t>
      </w:r>
      <m:oMath>
        <m:sSub>
          <m:e>
            <m:acc>
              <m:accPr>
                <m:chr m:val="̂"/>
              </m:accPr>
              <m:e>
                <m:r>
                  <m:t>p</m:t>
                </m:r>
              </m:e>
            </m:acc>
          </m:e>
          <m:sub>
            <m:r>
              <m:t>r</m:t>
            </m:r>
            <m:r>
              <m:rPr>
                <m:sty m:val="p"/>
              </m:rPr>
              <m:t>,</m:t>
            </m:r>
            <m:r>
              <m:t>y</m:t>
            </m:r>
            <m:r>
              <m:rPr>
                <m:sty m:val="p"/>
              </m:rPr>
              <m:t>,</m:t>
            </m:r>
            <m:r>
              <m:rPr>
                <m:sty m:val="p"/>
              </m:rPr>
              <m:t>•</m:t>
            </m:r>
          </m:sub>
        </m:sSub>
        <m:r>
          <m:rPr>
            <m:sty m:val="p"/>
          </m:rPr>
          <m:t>=</m:t>
        </m:r>
        <m:d>
          <m:dPr>
            <m:begChr m:val="("/>
            <m:sepChr m:val=""/>
            <m:endChr m:val=")"/>
            <m:grow/>
          </m:dPr>
          <m:e>
            <m:sSub>
              <m:e>
                <m:acc>
                  <m:accPr>
                    <m:chr m:val="̂"/>
                  </m:accPr>
                  <m:e>
                    <m:r>
                      <m:t>p</m:t>
                    </m:r>
                  </m:e>
                </m:acc>
              </m:e>
              <m:sub>
                <m:r>
                  <m:t>r</m:t>
                </m:r>
                <m:r>
                  <m:rPr>
                    <m:sty m:val="p"/>
                  </m:rPr>
                  <m:t>,</m:t>
                </m:r>
                <m:r>
                  <m:t>y</m:t>
                </m:r>
                <m:r>
                  <m:rPr>
                    <m:sty m:val="p"/>
                  </m:rPr>
                  <m:t>,</m:t>
                </m:r>
                <m:r>
                  <m:t>1</m:t>
                </m:r>
              </m:sub>
            </m:sSub>
            <m:r>
              <m:rPr>
                <m:sty m:val="p"/>
              </m:rPr>
              <m:t>,</m:t>
            </m:r>
            <m:r>
              <m:rPr>
                <m:sty m:val="p"/>
              </m:rPr>
              <m:t>…</m:t>
            </m:r>
            <m:r>
              <m:rPr>
                <m:sty m:val="p"/>
              </m:rPr>
              <m:t>,</m:t>
            </m:r>
            <m:sSub>
              <m:e>
                <m:acc>
                  <m:accPr>
                    <m:chr m:val="̂"/>
                  </m:accPr>
                  <m:e>
                    <m:r>
                      <m:t>p</m:t>
                    </m:r>
                  </m:e>
                </m:acc>
              </m:e>
              <m:sub>
                <m:r>
                  <m:t>r</m:t>
                </m:r>
                <m:r>
                  <m:rPr>
                    <m:sty m:val="p"/>
                  </m:rPr>
                  <m:t>,</m:t>
                </m:r>
                <m:r>
                  <m:t>y</m:t>
                </m:r>
                <m:r>
                  <m:rPr>
                    <m:sty m:val="p"/>
                  </m:rPr>
                  <m:t>,</m:t>
                </m:r>
                <m:r>
                  <m:t>6</m:t>
                </m:r>
              </m:sub>
            </m:sSub>
          </m:e>
        </m:d>
      </m:oMath>
      <w:r>
        <w:t xml:space="preserve"> </w:t>
      </w:r>
      <w:r>
        <w:t xml:space="preserve">be</w:t>
      </w:r>
      <w:r>
        <w:t xml:space="preserve"> </w:t>
      </w:r>
      <w:r>
        <w:t xml:space="preserve">the six band proportions for that imputation (each in</w:t>
      </w:r>
      <w:r>
        <w:t xml:space="preserve"> </w:t>
      </w:r>
      <m:oMath>
        <m:d>
          <m:dPr>
            <m:begChr m:val="["/>
            <m:sepChr m:val=""/>
            <m:endChr m:val="]"/>
            <m:grow/>
          </m:dPr>
          <m:e>
            <m:r>
              <m:t>0</m:t>
            </m:r>
            <m:r>
              <m:rPr>
                <m:sty m:val="p"/>
              </m:rPr>
              <m:t>,</m:t>
            </m:r>
            <m:r>
              <m:t>1</m:t>
            </m:r>
          </m:e>
        </m:d>
      </m:oMath>
      <w:r>
        <w:t xml:space="preserve">,</w:t>
      </w:r>
      <w:r>
        <w:t xml:space="preserve"> </w:t>
      </w:r>
      <w:r>
        <w:t xml:space="preserve">summing to one by construction of the imputation procedure in Data).</w:t>
      </w:r>
      <w:r>
        <w:t xml:space="preserve"> </w:t>
      </w:r>
      <w:r>
        <w:t xml:space="preserve">We model the</w:t>
      </w:r>
      <w:r>
        <w:t xml:space="preserve"> </w:t>
      </w:r>
      <w:r>
        <w:rPr>
          <w:i/>
          <w:iCs/>
        </w:rPr>
        <w:t xml:space="preserve">observed proportions directly</w:t>
      </w:r>
      <w:r>
        <w:t xml:space="preserve">, with no reconstructed</w:t>
      </w:r>
      <w:r>
        <w:t xml:space="preserve"> </w:t>
      </w:r>
      <w:r>
        <w:t xml:space="preserve">counts:</w:t>
      </w:r>
    </w:p>
    <w:p>
      <w:pPr>
        <w:pStyle w:val="BodyText"/>
      </w:pPr>
      <w:bookmarkStart w:id="39" w:name="eq-dirichlet"/>
      <m:oMathPara>
        <m:oMathParaPr>
          <m:jc m:val="center"/>
        </m:oMathParaPr>
        <m:oMath>
          <m:sSub>
            <m:e>
              <m:acc>
                <m:accPr>
                  <m:chr m:val="̂"/>
                </m:accPr>
                <m:e>
                  <m:r>
                    <m:t>p</m:t>
                  </m:r>
                </m:e>
              </m:acc>
            </m:e>
            <m:sub>
              <m:r>
                <m:t>r</m:t>
              </m:r>
              <m:r>
                <m:rPr>
                  <m:sty m:val="p"/>
                </m:rPr>
                <m:t>,</m:t>
              </m:r>
              <m:r>
                <m:t>y</m:t>
              </m:r>
              <m:r>
                <m:rPr>
                  <m:sty m:val="p"/>
                </m:rPr>
                <m:t>,</m:t>
              </m:r>
              <m:r>
                <m:rPr>
                  <m:sty m:val="p"/>
                </m:rPr>
                <m:t>•</m:t>
              </m:r>
            </m:sub>
          </m:sSub>
          <m:r>
            <m:t> </m:t>
          </m:r>
          <m:r>
            <m:rPr>
              <m:sty m:val="p"/>
            </m:rPr>
            <m:t>∼</m:t>
          </m:r>
          <m:r>
            <m:t> </m:t>
          </m:r>
          <m:r>
            <m:rPr>
              <m:nor/>
              <m:sty m:val="p"/>
            </m:rPr>
            <m:t>Dirichlet</m:t>
          </m:r>
          <m:r>
            <m:t>​</m:t>
          </m:r>
          <m:d>
            <m:dPr>
              <m:begChr m:val="("/>
              <m:sepChr m:val=""/>
              <m:endChr m:val=")"/>
              <m:grow/>
            </m:dPr>
            <m:e>
              <m:sSub>
                <m:e>
                  <m:r>
                    <m:t>ϕ</m:t>
                  </m:r>
                </m:e>
                <m:sub>
                  <m:r>
                    <m:t>r</m:t>
                  </m:r>
                </m:sub>
              </m:sSub>
              <m:r>
                <m:t> </m:t>
              </m:r>
              <m:sSub>
                <m:e>
                  <m:r>
                    <m:t>π</m:t>
                  </m:r>
                </m:e>
                <m:sub>
                  <m:r>
                    <m:t>r</m:t>
                  </m:r>
                  <m:r>
                    <m:rPr>
                      <m:sty m:val="p"/>
                    </m:rPr>
                    <m:t>,</m:t>
                  </m:r>
                  <m:r>
                    <m:t>y</m:t>
                  </m:r>
                  <m:r>
                    <m:rPr>
                      <m:sty m:val="p"/>
                    </m:rPr>
                    <m:t>,</m:t>
                  </m:r>
                  <m:r>
                    <m:rPr>
                      <m:sty m:val="p"/>
                    </m:rPr>
                    <m:t>•</m:t>
                  </m:r>
                </m:sub>
              </m:sSub>
            </m:e>
          </m:d>
          <m:r>
            <m:rPr>
              <m:sty m:val="p"/>
            </m:rPr>
            <m:t>,</m:t>
          </m:r>
          <m:r>
            <m:t>  </m:t>
          </m:r>
          <m:d>
            <m:dPr>
              <m:begChr m:val="("/>
              <m:sepChr m:val=""/>
              <m:endChr m:val=")"/>
              <m:grow/>
            </m:dPr>
            <m:e>
              <m:r>
                <m:t>5</m:t>
              </m:r>
            </m:e>
          </m:d>
        </m:oMath>
      </m:oMathPara>
      <w:bookmarkEnd w:id="39"/>
    </w:p>
    <w:p>
      <w:pPr>
        <w:pStyle w:val="FirstParagraph"/>
      </w:pPr>
      <w:r>
        <w:t xml:space="preserve">where</w:t>
      </w:r>
      <w:r>
        <w:t xml:space="preserve"> </w:t>
      </w:r>
      <m:oMath>
        <m:sSub>
          <m:e>
            <m:r>
              <m:t>π</m:t>
            </m:r>
          </m:e>
          <m:sub>
            <m:r>
              <m:t>r</m:t>
            </m:r>
            <m:r>
              <m:rPr>
                <m:sty m:val="p"/>
              </m:rPr>
              <m:t>,</m:t>
            </m:r>
            <m:r>
              <m:t>y</m:t>
            </m:r>
            <m:r>
              <m:rPr>
                <m:sty m:val="p"/>
              </m:rPr>
              <m:t>,</m:t>
            </m:r>
            <m:r>
              <m:rPr>
                <m:sty m:val="p"/>
              </m:rPr>
              <m:t>•</m:t>
            </m:r>
          </m:sub>
        </m:sSub>
      </m:oMath>
      <w:r>
        <w:t xml:space="preserve"> </w:t>
      </w:r>
      <w:r>
        <w:t xml:space="preserve">are the SHASH band probabilities of</w:t>
      </w:r>
      <w:r>
        <w:t xml:space="preserve"> </w:t>
      </w:r>
      <w:hyperlink w:anchor="eq-bandprob">
        <w:r>
          <w:rPr>
            <w:rStyle w:val="Hyperlink"/>
          </w:rPr>
          <w:t xml:space="preserve">Equation 3</w:t>
        </w:r>
      </w:hyperlink>
      <w:r>
        <w:t xml:space="preserve"> </w:t>
      </w:r>
      <w:r>
        <w:t xml:space="preserve">and</w:t>
      </w:r>
      <w:r>
        <w:t xml:space="preserve"> </w:t>
      </w:r>
      <m:oMath>
        <m:sSub>
          <m:e>
            <m:r>
              <m:t>ϕ</m:t>
            </m:r>
          </m:e>
          <m:sub>
            <m:r>
              <m:t>r</m:t>
            </m:r>
          </m:sub>
        </m:sSub>
        <m:r>
          <m:rPr>
            <m:sty m:val="p"/>
          </m:rPr>
          <m:t>&gt;</m:t>
        </m:r>
        <m:r>
          <m:t>0</m:t>
        </m:r>
      </m:oMath>
      <w:r>
        <w:t xml:space="preserve"> </w:t>
      </w:r>
      <w:r>
        <w:t xml:space="preserve">is a per-group concentration parameter,</w:t>
      </w:r>
      <w:r>
        <w:t xml:space="preserve"> </w:t>
      </w:r>
      <w:r>
        <w:t xml:space="preserve">pooled hierarchically across groups (see</w:t>
      </w:r>
      <w:r>
        <w:t xml:space="preserve"> </w:t>
      </w:r>
      <w:r>
        <w:rPr>
          <w:i/>
          <w:iCs/>
        </w:rPr>
        <w:t xml:space="preserve">Hierarchical Structure</w:t>
      </w:r>
      <w:r>
        <w:t xml:space="preserve"> </w:t>
      </w:r>
      <w:r>
        <w:t xml:space="preserve">below). The Dirichlet has mean</w:t>
      </w:r>
      <w:r>
        <w:t xml:space="preserve"> </w:t>
      </w:r>
      <m:oMath>
        <m:sSub>
          <m:e>
            <m:r>
              <m:t>π</m:t>
            </m:r>
          </m:e>
          <m:sub>
            <m:r>
              <m:t>r</m:t>
            </m:r>
            <m:r>
              <m:rPr>
                <m:sty m:val="p"/>
              </m:rPr>
              <m:t>,</m:t>
            </m:r>
            <m:r>
              <m:t>y</m:t>
            </m:r>
            <m:r>
              <m:rPr>
                <m:sty m:val="p"/>
              </m:rPr>
              <m:t>,</m:t>
            </m:r>
            <m:r>
              <m:rPr>
                <m:sty m:val="p"/>
              </m:rPr>
              <m:t>•</m:t>
            </m:r>
          </m:sub>
        </m:sSub>
      </m:oMath>
      <w:r>
        <w:t xml:space="preserve"> </w:t>
      </w:r>
      <w:r>
        <w:t xml:space="preserve">and component</w:t>
      </w:r>
      <w:r>
        <w:t xml:space="preserve"> </w:t>
      </w:r>
      <w:r>
        <w:t xml:space="preserve">variances</w:t>
      </w:r>
      <w:r>
        <w:t xml:space="preserve"> </w:t>
      </w:r>
      <m:oMath>
        <m:sSub>
          <m:e>
            <m:r>
              <m:t>π</m:t>
            </m:r>
          </m:e>
          <m:sub>
            <m:r>
              <m:t>r</m:t>
            </m:r>
            <m:r>
              <m:rPr>
                <m:sty m:val="p"/>
              </m:rPr>
              <m:t>,</m:t>
            </m:r>
            <m:r>
              <m:t>y</m:t>
            </m:r>
            <m:r>
              <m:rPr>
                <m:sty m:val="p"/>
              </m:rPr>
              <m:t>,</m:t>
            </m:r>
            <m:r>
              <m:t>b</m:t>
            </m:r>
          </m:sub>
        </m:sSub>
        <m:d>
          <m:dPr>
            <m:begChr m:val="("/>
            <m:sepChr m:val=""/>
            <m:endChr m:val=")"/>
            <m:grow/>
          </m:dPr>
          <m:e>
            <m:r>
              <m:t>1</m:t>
            </m:r>
            <m:r>
              <m:rPr>
                <m:sty m:val="p"/>
              </m:rPr>
              <m:t>−</m:t>
            </m:r>
            <m:sSub>
              <m:e>
                <m:r>
                  <m:t>π</m:t>
                </m:r>
              </m:e>
              <m:sub>
                <m:r>
                  <m:t>r</m:t>
                </m:r>
                <m:r>
                  <m:rPr>
                    <m:sty m:val="p"/>
                  </m:rPr>
                  <m:t>,</m:t>
                </m:r>
                <m:r>
                  <m:t>y</m:t>
                </m:r>
                <m:r>
                  <m:rPr>
                    <m:sty m:val="p"/>
                  </m:rPr>
                  <m:t>,</m:t>
                </m:r>
                <m:r>
                  <m:t>b</m:t>
                </m:r>
              </m:sub>
            </m:sSub>
          </m:e>
        </m:d>
        <m:r>
          <m:rPr>
            <m:sty m:val="p"/>
          </m:rPr>
          <m:t>/</m:t>
        </m:r>
        <m:d>
          <m:dPr>
            <m:begChr m:val="("/>
            <m:sepChr m:val=""/>
            <m:endChr m:val=")"/>
            <m:grow/>
          </m:dPr>
          <m:e>
            <m:sSub>
              <m:e>
                <m:r>
                  <m:t>ϕ</m:t>
                </m:r>
              </m:e>
              <m:sub>
                <m:r>
                  <m:t>r</m:t>
                </m:r>
              </m:sub>
            </m:sSub>
            <m:r>
              <m:rPr>
                <m:sty m:val="p"/>
              </m:rPr>
              <m:t>+</m:t>
            </m:r>
            <m:r>
              <m:t>1</m:t>
            </m:r>
          </m:e>
        </m:d>
      </m:oMath>
      <w:r>
        <w:t xml:space="preserve">, which do not</w:t>
      </w:r>
      <w:r>
        <w:t xml:space="preserve"> </w:t>
      </w:r>
      <w:r>
        <w:t xml:space="preserve">depend on</w:t>
      </w:r>
      <w:r>
        <w:t xml:space="preserve"> </w:t>
      </w:r>
      <m:oMath>
        <m:sSub>
          <m:e>
            <m:r>
              <m:t>N</m:t>
            </m:r>
          </m:e>
          <m:sub>
            <m:r>
              <m:t>r</m:t>
            </m:r>
            <m:r>
              <m:rPr>
                <m:sty m:val="p"/>
              </m:rPr>
              <m:t>,</m:t>
            </m:r>
            <m:r>
              <m:t>y</m:t>
            </m:r>
          </m:sub>
        </m:sSub>
      </m:oMath>
      <w:r>
        <w:t xml:space="preserve">. A small group is therefore not treated as orders</w:t>
      </w:r>
      <w:r>
        <w:t xml:space="preserve"> </w:t>
      </w:r>
      <w:r>
        <w:t xml:space="preserve">of magnitude noisier than a large one. The precision of every</w:t>
      </w:r>
      <w:r>
        <w:t xml:space="preserve"> </w:t>
      </w:r>
      <w:r>
        <w:t xml:space="preserve">reported proportion is governed by the per-group concentration,</w:t>
      </w:r>
      <w:r>
        <w:t xml:space="preserve"> </w:t>
      </w:r>
      <w:r>
        <w:t xml:space="preserve">fit from the data.</w:t>
      </w:r>
    </w:p>
    <w:p>
      <w:pPr>
        <w:pStyle w:val="BodyText"/>
      </w:pPr>
      <w:r>
        <w:t xml:space="preserve">The group-size-invariance the Dirichlet provides addresses a mismatch</w:t>
      </w:r>
      <w:r>
        <w:t xml:space="preserve"> </w:t>
      </w:r>
      <w:r>
        <w:t xml:space="preserve">in the data. The published band percentages are</w:t>
      </w:r>
      <w:r>
        <w:t xml:space="preserve"> </w:t>
      </w:r>
      <w:r>
        <w:rPr>
          <w:i/>
          <w:iCs/>
        </w:rPr>
        <w:t xml:space="preserve">coarsened</w:t>
      </w:r>
      <w:r>
        <w:t xml:space="preserve"> </w:t>
      </w:r>
      <w:r>
        <w:t xml:space="preserve">in the</w:t>
      </w:r>
      <w:r>
        <w:t xml:space="preserve"> </w:t>
      </w:r>
      <w:r>
        <w:t xml:space="preserve">grouped-data sense of</w:t>
      </w:r>
      <w:r>
        <w:t xml:space="preserve"> </w:t>
      </w:r>
      <w:r>
        <w:t xml:space="preserve">Heitjan (</w:t>
      </w:r>
      <w:hyperlink w:anchor="ref-heitjan1989">
        <w:r>
          <w:rPr>
            <w:rStyle w:val="Hyperlink"/>
          </w:rPr>
          <w:t xml:space="preserve">1989</w:t>
        </w:r>
      </w:hyperlink>
      <w:r>
        <w:t xml:space="preserve">)</w:t>
      </w:r>
      <w:r>
        <w:t xml:space="preserve"> </w:t>
      </w:r>
      <w:r>
        <w:t xml:space="preserve">and the coarsened-data sense of</w:t>
      </w:r>
      <w:r>
        <w:t xml:space="preserve"> </w:t>
      </w:r>
      <w:r>
        <w:t xml:space="preserve">Heitjan &amp; Rubin (</w:t>
      </w:r>
      <w:hyperlink w:anchor="ref-heitjanrubin1991">
        <w:r>
          <w:rPr>
            <w:rStyle w:val="Hyperlink"/>
          </w:rPr>
          <w:t xml:space="preserve">1991</w:t>
        </w:r>
      </w:hyperlink>
      <w:r>
        <w:t xml:space="preserve">)</w:t>
      </w:r>
      <w:r>
        <w:t xml:space="preserve"> </w:t>
      </w:r>
      <w:r>
        <w:t xml:space="preserve">and</w:t>
      </w:r>
      <w:r>
        <w:t xml:space="preserve"> </w:t>
      </w:r>
      <w:r>
        <w:t xml:space="preserve">Heitjan (</w:t>
      </w:r>
      <w:hyperlink w:anchor="ref-heitjan1994">
        <w:r>
          <w:rPr>
            <w:rStyle w:val="Hyperlink"/>
          </w:rPr>
          <w:t xml:space="preserve">1994</w:t>
        </w:r>
      </w:hyperlink>
      <w:r>
        <w:t xml:space="preserve">)</w:t>
      </w:r>
      <w:r>
        <w:t xml:space="preserve">, with</w:t>
      </w:r>
      <w:r>
        <w:t xml:space="preserve"> </w:t>
      </w:r>
      <w:r>
        <w:t xml:space="preserve">rounding to the nearest integer percentage point (</w:t>
      </w:r>
      <m:oMath>
        <m:r>
          <m:rPr>
            <m:sty m:val="p"/>
          </m:rPr>
          <m:t>±</m:t>
        </m:r>
        <m:r>
          <m:t>0.5</m:t>
        </m:r>
      </m:oMath>
      <w:r>
        <w:t xml:space="preserve"> </w:t>
      </w:r>
      <w:r>
        <w:t xml:space="preserve">percentage</w:t>
      </w:r>
      <w:r>
        <w:t xml:space="preserve"> </w:t>
      </w:r>
      <w:r>
        <w:t xml:space="preserve">points by construction). Related parametric and imputation-based</w:t>
      </w:r>
      <w:r>
        <w:t xml:space="preserve"> </w:t>
      </w:r>
      <w:r>
        <w:t xml:space="preserve">treatments of similarly coarsened or heaped data appear in</w:t>
      </w:r>
      <w:r>
        <w:t xml:space="preserve"> </w:t>
      </w:r>
      <w:r>
        <w:t xml:space="preserve">Wang &amp; Heitjan (</w:t>
      </w:r>
      <w:hyperlink w:anchor="ref-wangheitjan2008">
        <w:r>
          <w:rPr>
            <w:rStyle w:val="Hyperlink"/>
          </w:rPr>
          <w:t xml:space="preserve">2008</w:t>
        </w:r>
      </w:hyperlink>
      <w:r>
        <w:t xml:space="preserve">)</w:t>
      </w:r>
      <w:r>
        <w:t xml:space="preserve">. A multinomial likelihood on reconstructed counts would tighten the</w:t>
      </w:r>
      <w:r>
        <w:t xml:space="preserve"> </w:t>
      </w:r>
      <w:r>
        <w:t xml:space="preserve">largest group’s band-proportion standard errors by a factor of about</w:t>
      </w:r>
      <w:r>
        <w:t xml:space="preserve"> </w:t>
      </w:r>
      <m:oMath>
        <m:rad>
          <m:radPr>
            <m:degHide m:val="on"/>
          </m:radPr>
          <m:deg/>
          <m:e>
            <m:sSub>
              <m:e>
                <m:r>
                  <m:t>N</m:t>
                </m:r>
              </m:e>
              <m:sub>
                <m:r>
                  <m:rPr>
                    <m:nor/>
                    <m:sty m:val="p"/>
                  </m:rPr>
                  <m:t>max</m:t>
                </m:r>
              </m:sub>
            </m:sSub>
            <m:r>
              <m:rPr>
                <m:sty m:val="p"/>
              </m:rPr>
              <m:t>/</m:t>
            </m:r>
            <m:sSub>
              <m:e>
                <m:r>
                  <m:t>N</m:t>
                </m:r>
              </m:e>
              <m:sub>
                <m:r>
                  <m:rPr>
                    <m:nor/>
                    <m:sty m:val="p"/>
                  </m:rPr>
                  <m:t>min</m:t>
                </m:r>
              </m:sub>
            </m:sSub>
          </m:e>
        </m:rad>
        <m:r>
          <m:rPr>
            <m:sty m:val="p"/>
          </m:rPr>
          <m:t>≈</m:t>
        </m:r>
        <m:r>
          <m:t>16</m:t>
        </m:r>
      </m:oMath>
      <w:r>
        <w:t xml:space="preserve"> </w:t>
      </w:r>
      <w:r>
        <w:t xml:space="preserve">relative to the smallest’s,</w:t>
      </w:r>
      <w:r>
        <w:t xml:space="preserve"> </w:t>
      </w:r>
      <w:r>
        <w:t xml:space="preserve">even though the actual measurement noise — integer rounding to the</w:t>
      </w:r>
      <w:r>
        <w:t xml:space="preserve"> </w:t>
      </w:r>
      <w:r>
        <w:t xml:space="preserve">nearest percentage point — is the same in percentage points across</w:t>
      </w:r>
      <w:r>
        <w:t xml:space="preserve"> </w:t>
      </w:r>
      <w:r>
        <w:t xml:space="preserve">all groups; empirically, that specification gives only about 13%</w:t>
      </w:r>
      <w:r>
        <w:t xml:space="preserve"> </w:t>
      </w:r>
      <w:r>
        <w:t xml:space="preserve">coverage of nominal-90% predictive intervals. The Dirichlet decouples</w:t>
      </w:r>
      <w:r>
        <w:t xml:space="preserve"> </w:t>
      </w:r>
      <w:r>
        <w:t xml:space="preserve">dispersion from</w:t>
      </w:r>
      <w:r>
        <w:t xml:space="preserve"> </w:t>
      </w:r>
      <m:oMath>
        <m:r>
          <m:t>N</m:t>
        </m:r>
      </m:oMath>
      <w:r>
        <w:t xml:space="preserve"> </w:t>
      </w:r>
      <w:r>
        <w:t xml:space="preserve">and leaves the per-group concentration to absorb</w:t>
      </w:r>
      <w:r>
        <w:t xml:space="preserve"> </w:t>
      </w:r>
      <w:r>
        <w:t xml:space="preserve">the within-group residual misfit.</w:t>
      </w:r>
    </w:p>
    <w:p>
      <w:pPr>
        <w:pStyle w:val="BodyText"/>
      </w:pPr>
      <w:r>
        <w:t xml:space="preserve">Rounding noise is handled outside the Dirichlet by</w:t>
      </w:r>
      <w:r>
        <w:t xml:space="preserve"> </w:t>
      </w:r>
      <w:r>
        <w:rPr>
          <w:i/>
          <w:iCs/>
        </w:rPr>
        <w:t xml:space="preserve">multiple imputation</w:t>
      </w:r>
      <w:r>
        <w:t xml:space="preserve"> </w:t>
      </w:r>
      <w:r>
        <w:t xml:space="preserve">(</w:t>
      </w:r>
      <w:hyperlink w:anchor="ref-rubin1987mi">
        <w:r>
          <w:rPr>
            <w:rStyle w:val="Hyperlink"/>
          </w:rPr>
          <w:t xml:space="preserve">Rubin, 1987</w:t>
        </w:r>
      </w:hyperlink>
      <w:r>
        <w:t xml:space="preserve">)</w:t>
      </w:r>
      <w:r>
        <w:t xml:space="preserve">, using the rejection-sampling procedure described in</w:t>
      </w:r>
      <w:r>
        <w:t xml:space="preserve"> </w:t>
      </w:r>
      <w:r>
        <w:t xml:space="preserve">Data: each named-group row is drawn uniformly from the rounding-box-intersected</w:t>
      </w:r>
      <w:r>
        <w:t xml:space="preserve"> </w:t>
      </w:r>
      <w:r>
        <w:t xml:space="preserve">simplex, and No response is derived by subtraction from the exact</w:t>
      </w:r>
      <w:r>
        <w:t xml:space="preserve"> </w:t>
      </w:r>
      <w:r>
        <w:t xml:space="preserve">published cohort band counts. The full SHASH+Dirichlet model is fit to</w:t>
      </w:r>
      <w:r>
        <w:t xml:space="preserve"> </w:t>
      </w:r>
      <w:r>
        <w:t xml:space="preserve">each of</w:t>
      </w:r>
      <w:r>
        <w:t xml:space="preserve"> </w:t>
      </w:r>
      <m:oMath>
        <m:r>
          <m:t>M</m:t>
        </m:r>
        <m:r>
          <m:rPr>
            <m:sty m:val="p"/>
          </m:rPr>
          <m:t>=</m:t>
        </m:r>
        <m:r>
          <m:t>50</m:t>
        </m:r>
      </m:oMath>
      <w:r>
        <w:t xml:space="preserve"> </w:t>
      </w:r>
      <w:r>
        <w:t xml:space="preserve">such imputed datasets and the resulting posterior</w:t>
      </w:r>
      <w:r>
        <w:t xml:space="preserve"> </w:t>
      </w:r>
      <w:r>
        <w:t xml:space="preserve">draws are pooled. Printed zeros require no separate treatment because</w:t>
      </w:r>
      <w:r>
        <w:t xml:space="preserve"> </w:t>
      </w:r>
      <w:r>
        <w:t xml:space="preserve">the rounding interval</w:t>
      </w:r>
      <w:r>
        <w:t xml:space="preserve"> </w:t>
      </w:r>
      <m:oMath>
        <m:r>
          <m:rPr>
            <m:sty m:val="p"/>
          </m:rPr>
          <m:t>[</m:t>
        </m:r>
        <m:r>
          <m:t>0</m:t>
        </m:r>
        <m:r>
          <m:rPr>
            <m:sty m:val="p"/>
          </m:rPr>
          <m:t>,</m:t>
        </m:r>
        <m:r>
          <m:t>0.5</m:t>
        </m:r>
        <m:r>
          <m:rPr>
            <m:sty m:val="p"/>
          </m:rPr>
          <m:t>)</m:t>
        </m:r>
      </m:oMath>
      <w:r>
        <w:t xml:space="preserve"> </w:t>
      </w:r>
      <w:r>
        <w:t xml:space="preserve">is sampled natively.</w:t>
      </w:r>
    </w:p>
    <w:p>
      <w:pPr>
        <w:pStyle w:val="BodyText"/>
      </w:pPr>
      <w:r>
        <w:t xml:space="preserve">Within a group, a single concentration forces the dispersion of the</w:t>
      </w:r>
      <w:r>
        <w:t xml:space="preserve"> </w:t>
      </w:r>
      <w:r>
        <w:t xml:space="preserve">wide central bands and the narrow tail bands to be governed by one</w:t>
      </w:r>
      <w:r>
        <w:t xml:space="preserve"> </w:t>
      </w:r>
      <w:r>
        <w:t xml:space="preserve">number, where in fact the rounding noise is constant in percentage</w:t>
      </w:r>
      <w:r>
        <w:t xml:space="preserve"> </w:t>
      </w:r>
      <w:r>
        <w:t xml:space="preserve">points and the Dirichlet variance scales with</w:t>
      </w:r>
      <w:r>
        <w:t xml:space="preserve"> </w:t>
      </w:r>
      <m:oMath>
        <m:r>
          <m:t>π</m:t>
        </m:r>
        <m:d>
          <m:dPr>
            <m:begChr m:val="("/>
            <m:sepChr m:val=""/>
            <m:endChr m:val=")"/>
            <m:grow/>
          </m:dPr>
          <m:e>
            <m:r>
              <m:t>1</m:t>
            </m:r>
            <m:r>
              <m:rPr>
                <m:sty m:val="p"/>
              </m:rPr>
              <m:t>−</m:t>
            </m:r>
            <m:r>
              <m:t>π</m:t>
            </m:r>
          </m:e>
        </m:d>
      </m:oMath>
      <w:r>
        <w:t xml:space="preserve">. A</w:t>
      </w:r>
      <w:r>
        <w:t xml:space="preserve"> </w:t>
      </w:r>
      <w:r>
        <w:t xml:space="preserve">per-band</w:t>
      </w:r>
      <w:r>
        <w:t xml:space="preserve"> </w:t>
      </w:r>
      <m:oMath>
        <m:sSub>
          <m:e>
            <m:r>
              <m:t>ϕ</m:t>
            </m:r>
          </m:e>
          <m:sub>
            <m:r>
              <m:t>r</m:t>
            </m:r>
            <m:r>
              <m:rPr>
                <m:sty m:val="p"/>
              </m:rPr>
              <m:t>,</m:t>
            </m:r>
            <m:r>
              <m:t>b</m:t>
            </m:r>
          </m:sub>
        </m:sSub>
      </m:oMath>
      <w:r>
        <w:t xml:space="preserve"> </w:t>
      </w:r>
      <w:r>
        <w:t xml:space="preserve">orthogonal to the per-group pooling would be</w:t>
      </w:r>
      <w:r>
        <w:t xml:space="preserve"> </w:t>
      </w:r>
      <w:r>
        <w:t xml:space="preserve">more faithful. We do not</w:t>
      </w:r>
      <w:r>
        <w:t xml:space="preserve"> </w:t>
      </w:r>
      <w:r>
        <w:t xml:space="preserve">pursue it here, and the resulting over-coverage in the tail bands is</w:t>
      </w:r>
      <w:r>
        <w:t xml:space="preserve"> </w:t>
      </w:r>
      <w:r>
        <w:t xml:space="preserve">documented in the posterior predictive check below.</w:t>
      </w:r>
    </w:p>
    <w:bookmarkEnd w:id="40"/>
    <w:bookmarkStart w:id="43" w:name="sec-hierarchy"/>
    <w:p>
      <w:pPr>
        <w:pStyle w:val="Heading2"/>
      </w:pPr>
      <w:r>
        <w:t xml:space="preserve">Hierarchical Structure</w:t>
      </w:r>
    </w:p>
    <w:p>
      <w:pPr>
        <w:pStyle w:val="FirstParagraph"/>
      </w:pPr>
      <w:r>
        <w:t xml:space="preserve">For the seven named groups, all six per-group parameters are pooled hierarchically across</w:t>
      </w:r>
      <w:r>
        <w:t xml:space="preserve"> </w:t>
      </w:r>
      <w:r>
        <w:t xml:space="preserve">groups on the same pattern (each on a Gaussian centered at a</w:t>
      </w:r>
      <w:r>
        <w:t xml:space="preserve"> </w:t>
      </w:r>
      <w:r>
        <w:t xml:space="preserve">cross-group mean), so that the smallest groups (Native Hawaiian/Other</w:t>
      </w:r>
      <w:r>
        <w:t xml:space="preserve"> </w:t>
      </w:r>
      <w:r>
        <w:t xml:space="preserve">Pacific Islander, American Indian/Alaska Native) shrink toward the</w:t>
      </w:r>
      <w:r>
        <w:t xml:space="preserve"> </w:t>
      </w:r>
      <w:r>
        <w:t xml:space="preserve">cross-group average rather than tracking their own sampling noise.</w:t>
      </w:r>
      <w:r>
        <w:t xml:space="preserve"> </w:t>
      </w:r>
      <w:r>
        <w:t xml:space="preserve">This applies small-area estimation</w:t>
      </w:r>
      <w:r>
        <w:t xml:space="preserve"> </w:t>
      </w:r>
      <w:r>
        <w:t xml:space="preserve">(</w:t>
      </w:r>
      <w:hyperlink w:anchor="ref-fayherriot1979">
        <w:r>
          <w:rPr>
            <w:rStyle w:val="Hyperlink"/>
          </w:rPr>
          <w:t xml:space="preserve">Fay &amp; Herriot, 1979</w:t>
        </w:r>
      </w:hyperlink>
      <w:r>
        <w:t xml:space="preserve">;</w:t>
      </w:r>
      <w:r>
        <w:t xml:space="preserve"> </w:t>
      </w:r>
      <w:hyperlink w:anchor="ref-pfeffermann2013">
        <w:r>
          <w:rPr>
            <w:rStyle w:val="Hyperlink"/>
          </w:rPr>
          <w:t xml:space="preserve">Pfeffermann, 2013</w:t>
        </w:r>
      </w:hyperlink>
      <w:r>
        <w:t xml:space="preserve">;</w:t>
      </w:r>
      <w:r>
        <w:t xml:space="preserve"> </w:t>
      </w:r>
      <w:hyperlink w:anchor="ref-raomolina2015">
        <w:r>
          <w:rPr>
            <w:rStyle w:val="Hyperlink"/>
          </w:rPr>
          <w:t xml:space="preserve">Rao &amp; Molina, 2015</w:t>
        </w:r>
      </w:hyperlink>
      <w:r>
        <w:t xml:space="preserve">)</w:t>
      </w:r>
      <w:r>
        <w:t xml:space="preserve"> </w:t>
      </w:r>
      <w:r>
        <w:t xml:space="preserve">at the group level. The three parameters whose natural scale is unconstrained</w:t>
      </w:r>
      <w:r>
        <w:t xml:space="preserve"> </w:t>
      </w:r>
      <w:r>
        <w:t xml:space="preserve">(the log-scale, the skewness, and the log-scale growth rate) are</w:t>
      </w:r>
      <w:r>
        <w:t xml:space="preserve"> </w:t>
      </w:r>
      <w:r>
        <w:t xml:space="preserve">pooled directly:</w:t>
      </w:r>
    </w:p>
    <w:p>
      <w:pPr>
        <w:pStyle w:val="BodyText"/>
      </w:pPr>
      <w:bookmarkStart w:id="41" w:name="eq-hier"/>
      <m:oMathPara>
        <m:oMathParaPr>
          <m:jc m:val="center"/>
        </m:oMathParaPr>
        <m:oMath>
          <m:r>
            <m:rPr>
              <m:sty m:val="p"/>
            </m:rPr>
            <m:t>log</m:t>
          </m:r>
          <m:sSub>
            <m:e>
              <m:r>
                <m:t>σ</m:t>
              </m:r>
            </m:e>
            <m:sub>
              <m:r>
                <m:t>r</m:t>
              </m:r>
            </m:sub>
          </m:sSub>
          <m:r>
            <m:rPr>
              <m:sty m:val="p"/>
            </m:rPr>
            <m:t>∼</m:t>
          </m:r>
          <m:r>
            <m:rPr>
              <m:sty m:val="p"/>
              <m:scr m:val="script"/>
            </m:rPr>
            <m:t>N</m:t>
          </m:r>
          <m:d>
            <m:dPr>
              <m:begChr m:val="("/>
              <m:sepChr m:val=""/>
              <m:endChr m:val=")"/>
              <m:grow/>
            </m:dPr>
            <m:e>
              <m:sSub>
                <m:e>
                  <m:r>
                    <m:t>β</m:t>
                  </m:r>
                </m:e>
                <m:sub>
                  <m:r>
                    <m:t>σ</m:t>
                  </m:r>
                </m:sub>
              </m:sSub>
              <m:r>
                <m:rPr>
                  <m:sty m:val="p"/>
                </m:rPr>
                <m:t>,</m:t>
              </m:r>
              <m:sSub>
                <m:e>
                  <m:r>
                    <m:t>τ</m:t>
                  </m:r>
                </m:e>
                <m:sub>
                  <m:r>
                    <m:t>σ</m:t>
                  </m:r>
                </m:sub>
              </m:sSub>
            </m:e>
          </m:d>
          <m:r>
            <m:rPr>
              <m:sty m:val="p"/>
            </m:rPr>
            <m:t>,</m:t>
          </m:r>
          <m:r>
            <m:t>  </m:t>
          </m:r>
          <m:sSub>
            <m:e>
              <m:r>
                <m:t>ϵ</m:t>
              </m:r>
            </m:e>
            <m:sub>
              <m:r>
                <m:t>r</m:t>
              </m:r>
            </m:sub>
          </m:sSub>
          <m:r>
            <m:rPr>
              <m:sty m:val="p"/>
            </m:rPr>
            <m:t>∼</m:t>
          </m:r>
          <m:r>
            <m:rPr>
              <m:sty m:val="p"/>
              <m:scr m:val="script"/>
            </m:rPr>
            <m:t>N</m:t>
          </m:r>
          <m:d>
            <m:dPr>
              <m:begChr m:val="("/>
              <m:sepChr m:val=""/>
              <m:endChr m:val=")"/>
              <m:grow/>
            </m:dPr>
            <m:e>
              <m:sSub>
                <m:e>
                  <m:r>
                    <m:t>β</m:t>
                  </m:r>
                </m:e>
                <m:sub>
                  <m:r>
                    <m:t>ϵ</m:t>
                  </m:r>
                </m:sub>
              </m:sSub>
              <m:r>
                <m:rPr>
                  <m:sty m:val="p"/>
                </m:rPr>
                <m:t>,</m:t>
              </m:r>
              <m:sSub>
                <m:e>
                  <m:r>
                    <m:t>τ</m:t>
                  </m:r>
                </m:e>
                <m:sub>
                  <m:r>
                    <m:t>ϵ</m:t>
                  </m:r>
                </m:sub>
              </m:sSub>
            </m:e>
          </m:d>
          <m:r>
            <m:rPr>
              <m:sty m:val="p"/>
            </m:rPr>
            <m:t>,</m:t>
          </m:r>
          <m:r>
            <m:t>  </m:t>
          </m:r>
          <m:sSub>
            <m:e>
              <m:r>
                <m:t>λ</m:t>
              </m:r>
            </m:e>
            <m:sub>
              <m:r>
                <m:t>r</m:t>
              </m:r>
            </m:sub>
          </m:sSub>
          <m:r>
            <m:rPr>
              <m:sty m:val="p"/>
            </m:rPr>
            <m:t>∼</m:t>
          </m:r>
          <m:r>
            <m:rPr>
              <m:sty m:val="p"/>
              <m:scr m:val="script"/>
            </m:rPr>
            <m:t>N</m:t>
          </m:r>
          <m:d>
            <m:dPr>
              <m:begChr m:val="("/>
              <m:sepChr m:val=""/>
              <m:endChr m:val=")"/>
              <m:grow/>
            </m:dPr>
            <m:e>
              <m:sSub>
                <m:e>
                  <m:r>
                    <m:t>β</m:t>
                  </m:r>
                </m:e>
                <m:sub>
                  <m:r>
                    <m:t>λ</m:t>
                  </m:r>
                </m:sub>
              </m:sSub>
              <m:r>
                <m:rPr>
                  <m:sty m:val="p"/>
                </m:rPr>
                <m:t>,</m:t>
              </m:r>
              <m:sSub>
                <m:e>
                  <m:r>
                    <m:t>τ</m:t>
                  </m:r>
                </m:e>
                <m:sub>
                  <m:r>
                    <m:t>λ</m:t>
                  </m:r>
                </m:sub>
              </m:sSub>
            </m:e>
          </m:d>
          <m:r>
            <m:rPr>
              <m:sty m:val="p"/>
            </m:rPr>
            <m:t>.</m:t>
          </m:r>
          <m:r>
            <m:t>  </m:t>
          </m:r>
          <m:d>
            <m:dPr>
              <m:begChr m:val="("/>
              <m:sepChr m:val=""/>
              <m:endChr m:val=")"/>
              <m:grow/>
            </m:dPr>
            <m:e>
              <m:r>
                <m:t>6</m:t>
              </m:r>
            </m:e>
          </m:d>
        </m:oMath>
      </m:oMathPara>
      <w:bookmarkEnd w:id="41"/>
    </w:p>
    <w:p>
      <w:pPr>
        <w:pStyle w:val="FirstParagraph"/>
      </w:pPr>
      <w:r>
        <w:t xml:space="preserve">The three positive parameters (the tail-weight, the Dirichlet</w:t>
      </w:r>
      <w:r>
        <w:t xml:space="preserve"> </w:t>
      </w:r>
      <w:r>
        <w:t xml:space="preserve">concentration, and the scale-residual SD) are pooled on the log</w:t>
      </w:r>
      <w:r>
        <w:t xml:space="preserve"> </w:t>
      </w:r>
      <w:r>
        <w:t xml:space="preserve">scale:</w:t>
      </w:r>
    </w:p>
    <w:p>
      <w:pPr>
        <w:pStyle w:val="BodyText"/>
      </w:pPr>
      <w:bookmarkStart w:id="42" w:name="eq-hier-extra"/>
      <m:oMathPara>
        <m:oMathParaPr>
          <m:jc m:val="center"/>
        </m:oMathParaPr>
        <m:oMath>
          <m:r>
            <m:rPr>
              <m:sty m:val="p"/>
            </m:rPr>
            <m:t>log</m:t>
          </m:r>
          <m:sSub>
            <m:e>
              <m:r>
                <m:t>δ</m:t>
              </m:r>
            </m:e>
            <m:sub>
              <m:r>
                <m:t>r</m:t>
              </m:r>
            </m:sub>
          </m:sSub>
          <m:r>
            <m:rPr>
              <m:sty m:val="p"/>
            </m:rPr>
            <m:t>∼</m:t>
          </m:r>
          <m:r>
            <m:rPr>
              <m:sty m:val="p"/>
              <m:scr m:val="script"/>
            </m:rPr>
            <m:t>N</m:t>
          </m:r>
          <m:d>
            <m:dPr>
              <m:begChr m:val="("/>
              <m:sepChr m:val=""/>
              <m:endChr m:val=")"/>
              <m:grow/>
            </m:dPr>
            <m:e>
              <m:sSub>
                <m:e>
                  <m:r>
                    <m:t>β</m:t>
                  </m:r>
                </m:e>
                <m:sub>
                  <m:r>
                    <m:t>δ</m:t>
                  </m:r>
                </m:sub>
              </m:sSub>
              <m:r>
                <m:rPr>
                  <m:sty m:val="p"/>
                </m:rPr>
                <m:t>,</m:t>
              </m:r>
              <m:sSub>
                <m:e>
                  <m:r>
                    <m:t>τ</m:t>
                  </m:r>
                </m:e>
                <m:sub>
                  <m:r>
                    <m:t>δ</m:t>
                  </m:r>
                </m:sub>
              </m:sSub>
            </m:e>
          </m:d>
          <m:r>
            <m:rPr>
              <m:sty m:val="p"/>
            </m:rPr>
            <m:t>,</m:t>
          </m:r>
          <m:r>
            <m:t>  </m:t>
          </m:r>
          <m:r>
            <m:rPr>
              <m:sty m:val="p"/>
            </m:rPr>
            <m:t>log</m:t>
          </m:r>
          <m:sSub>
            <m:e>
              <m:r>
                <m:t>ϕ</m:t>
              </m:r>
            </m:e>
            <m:sub>
              <m:r>
                <m:t>r</m:t>
              </m:r>
            </m:sub>
          </m:sSub>
          <m:r>
            <m:rPr>
              <m:sty m:val="p"/>
            </m:rPr>
            <m:t>∼</m:t>
          </m:r>
          <m:r>
            <m:rPr>
              <m:sty m:val="p"/>
              <m:scr m:val="script"/>
            </m:rPr>
            <m:t>N</m:t>
          </m:r>
          <m:d>
            <m:dPr>
              <m:begChr m:val="("/>
              <m:sepChr m:val=""/>
              <m:endChr m:val=")"/>
              <m:grow/>
            </m:dPr>
            <m:e>
              <m:sSub>
                <m:e>
                  <m:r>
                    <m:t>β</m:t>
                  </m:r>
                </m:e>
                <m:sub>
                  <m:r>
                    <m:t>ϕ</m:t>
                  </m:r>
                </m:sub>
              </m:sSub>
              <m:r>
                <m:rPr>
                  <m:sty m:val="p"/>
                </m:rPr>
                <m:t>,</m:t>
              </m:r>
              <m:sSub>
                <m:e>
                  <m:r>
                    <m:t>τ</m:t>
                  </m:r>
                </m:e>
                <m:sub>
                  <m:r>
                    <m:t>ϕ</m:t>
                  </m:r>
                </m:sub>
              </m:sSub>
            </m:e>
          </m:d>
          <m:r>
            <m:rPr>
              <m:sty m:val="p"/>
            </m:rPr>
            <m:t>,</m:t>
          </m:r>
          <m:r>
            <m:t>  </m:t>
          </m:r>
          <m:r>
            <m:rPr>
              <m:sty m:val="p"/>
            </m:rPr>
            <m:t>log</m:t>
          </m:r>
          <m:sSub>
            <m:e>
              <m:r>
                <m:t>τ</m:t>
              </m:r>
            </m:e>
            <m:sub>
              <m:r>
                <m:t>η</m:t>
              </m:r>
              <m:r>
                <m:rPr>
                  <m:sty m:val="p"/>
                </m:rPr>
                <m:t>,</m:t>
              </m:r>
              <m:r>
                <m:t>r</m:t>
              </m:r>
            </m:sub>
          </m:sSub>
          <m:r>
            <m:rPr>
              <m:sty m:val="p"/>
            </m:rPr>
            <m:t>∼</m:t>
          </m:r>
          <m:r>
            <m:rPr>
              <m:sty m:val="p"/>
              <m:scr m:val="script"/>
            </m:rPr>
            <m:t>N</m:t>
          </m:r>
          <m:d>
            <m:dPr>
              <m:begChr m:val="("/>
              <m:sepChr m:val=""/>
              <m:endChr m:val=")"/>
              <m:grow/>
            </m:dPr>
            <m:e>
              <m:sSub>
                <m:e>
                  <m:r>
                    <m:t>β</m:t>
                  </m:r>
                </m:e>
                <m:sub>
                  <m:sSub>
                    <m:e>
                      <m:r>
                        <m:t>τ</m:t>
                      </m:r>
                    </m:e>
                    <m:sub>
                      <m:r>
                        <m:t>η</m:t>
                      </m:r>
                    </m:sub>
                  </m:sSub>
                </m:sub>
              </m:sSub>
              <m:r>
                <m:rPr>
                  <m:sty m:val="p"/>
                </m:rPr>
                <m:t>,</m:t>
              </m:r>
              <m:sSub>
                <m:e>
                  <m:r>
                    <m:t>τ</m:t>
                  </m:r>
                </m:e>
                <m:sub>
                  <m:sSub>
                    <m:e>
                      <m:r>
                        <m:t>τ</m:t>
                      </m:r>
                    </m:e>
                    <m:sub>
                      <m:r>
                        <m:t>η</m:t>
                      </m:r>
                    </m:sub>
                  </m:sSub>
                </m:sub>
              </m:sSub>
            </m:e>
          </m:d>
          <m:r>
            <m:rPr>
              <m:sty m:val="p"/>
            </m:rPr>
            <m:t>.</m:t>
          </m:r>
          <m:r>
            <m:t>  </m:t>
          </m:r>
          <m:d>
            <m:dPr>
              <m:begChr m:val="("/>
              <m:sepChr m:val=""/>
              <m:endChr m:val=")"/>
              <m:grow/>
            </m:dPr>
            <m:e>
              <m:r>
                <m:t>7</m:t>
              </m:r>
            </m:e>
          </m:d>
        </m:oMath>
      </m:oMathPara>
      <w:bookmarkEnd w:id="42"/>
    </w:p>
    <w:p>
      <w:pPr>
        <w:pStyle w:val="FirstParagraph"/>
      </w:pPr>
      <w:r>
        <w:t xml:space="preserve">The per-group tail-weights are</w:t>
      </w:r>
      <w:r>
        <w:t xml:space="preserve"> </w:t>
      </w:r>
      <w:r>
        <w:rPr>
          <w:i/>
          <w:iCs/>
        </w:rPr>
        <w:t xml:space="preserve">a priori</w:t>
      </w:r>
      <w:r>
        <w:t xml:space="preserve"> </w:t>
      </w:r>
      <w:r>
        <w:t xml:space="preserve">the parameters most exposed</w:t>
      </w:r>
      <w:r>
        <w:t xml:space="preserve"> </w:t>
      </w:r>
      <w:r>
        <w:t xml:space="preserve">to the within-band identifiability concern, since the within-band</w:t>
      </w:r>
      <w:r>
        <w:t xml:space="preserve"> </w:t>
      </w:r>
      <w:r>
        <w:t xml:space="preserve">shape of the top band (1400–1600) they govern is exactly what six</w:t>
      </w:r>
      <w:r>
        <w:t xml:space="preserve"> </w:t>
      </w:r>
      <w:r>
        <w:t xml:space="preserve">band totals cannot directly recover (see Discussion). In the fitted</w:t>
      </w:r>
      <w:r>
        <w:t xml:space="preserve"> </w:t>
      </w:r>
      <w:r>
        <w:t xml:space="preserve">model, the per-group tail-weight posterior medians span a narrow</w:t>
      </w:r>
      <w:r>
        <w:t xml:space="preserve"> </w:t>
      </w:r>
      <w:r>
        <w:t xml:space="preserve">range of about 0.02, all sitting just above one. The</w:t>
      </w:r>
      <w:r>
        <w:t xml:space="preserve"> </w:t>
      </w:r>
      <w:r>
        <w:t xml:space="preserve">per-group-year scale residuals themselves are</w:t>
      </w:r>
      <w:r>
        <w:t xml:space="preserve"> </w:t>
      </w:r>
      <m:oMath>
        <m:sSub>
          <m:e>
            <m:r>
              <m:t>η</m:t>
            </m:r>
          </m:e>
          <m:sub>
            <m:r>
              <m:t>r</m:t>
            </m:r>
            <m:r>
              <m:rPr>
                <m:sty m:val="p"/>
              </m:rPr>
              <m:t>,</m:t>
            </m:r>
            <m:r>
              <m:t>y</m:t>
            </m:r>
          </m:sub>
        </m:sSub>
        <m:r>
          <m:rPr>
            <m:sty m:val="p"/>
          </m:rPr>
          <m:t>∼</m:t>
        </m:r>
        <m:r>
          <m:rPr>
            <m:sty m:val="p"/>
            <m:scr m:val="script"/>
          </m:rPr>
          <m:t>N</m:t>
        </m:r>
        <m:d>
          <m:dPr>
            <m:begChr m:val="("/>
            <m:sepChr m:val=""/>
            <m:endChr m:val=")"/>
            <m:grow/>
          </m:dPr>
          <m:e>
            <m:r>
              <m:t>0</m:t>
            </m:r>
            <m:r>
              <m:rPr>
                <m:sty m:val="p"/>
              </m:rPr>
              <m:t>,</m:t>
            </m:r>
            <m:sSub>
              <m:e>
                <m:r>
                  <m:t>τ</m:t>
                </m:r>
              </m:e>
              <m:sub>
                <m:r>
                  <m:t>η</m:t>
                </m:r>
                <m:r>
                  <m:rPr>
                    <m:sty m:val="p"/>
                  </m:rPr>
                  <m:t>,</m:t>
                </m:r>
                <m:r>
                  <m:t>r</m:t>
                </m:r>
              </m:sub>
            </m:sSub>
          </m:e>
        </m:d>
      </m:oMath>
      <w:r>
        <w:t xml:space="preserve">, year-level</w:t>
      </w:r>
      <w:r>
        <w:t xml:space="preserve"> </w:t>
      </w:r>
      <w:r>
        <w:t xml:space="preserve">departures from the log-linear scale trend rather than additional</w:t>
      </w:r>
      <w:r>
        <w:t xml:space="preserve"> </w:t>
      </w:r>
      <w:r>
        <w:t xml:space="preserve">structure. The</w:t>
      </w:r>
      <w:r>
        <w:t xml:space="preserve"> </w:t>
      </w:r>
      <w:r>
        <w:t xml:space="preserve">“No</w:t>
      </w:r>
      <w:r>
        <w:t xml:space="preserve"> </w:t>
      </w:r>
      <w:r>
        <w:t xml:space="preserve">response”</w:t>
      </w:r>
      <w:r>
        <w:t xml:space="preserve"> </w:t>
      </w:r>
      <w:r>
        <w:t xml:space="preserve">group’s scale is unpooled, as described above. Its skewness</w:t>
      </w:r>
      <w:r>
        <w:t xml:space="preserve"> </w:t>
      </w:r>
      <m:oMath>
        <m:sSub>
          <m:e>
            <m:r>
              <m:t>ϵ</m:t>
            </m:r>
          </m:e>
          <m:sub>
            <m:r>
              <m:rPr>
                <m:nor/>
                <m:sty m:val="p"/>
              </m:rPr>
              <m:t>NR</m:t>
            </m:r>
          </m:sub>
        </m:sSub>
      </m:oMath>
      <w:r>
        <w:t xml:space="preserve">, tail-weight</w:t>
      </w:r>
      <w:r>
        <w:t xml:space="preserve"> </w:t>
      </w:r>
      <m:oMath>
        <m:sSub>
          <m:e>
            <m:r>
              <m:t>δ</m:t>
            </m:r>
          </m:e>
          <m:sub>
            <m:r>
              <m:rPr>
                <m:nor/>
                <m:sty m:val="p"/>
              </m:rPr>
              <m:t>NR</m:t>
            </m:r>
          </m:sub>
        </m:sSub>
      </m:oMath>
      <w:r>
        <w:t xml:space="preserve">, and</w:t>
      </w:r>
      <w:r>
        <w:t xml:space="preserve"> </w:t>
      </w:r>
      <w:r>
        <w:t xml:space="preserve">concentration</w:t>
      </w:r>
      <w:r>
        <w:t xml:space="preserve"> </w:t>
      </w:r>
      <m:oMath>
        <m:sSub>
          <m:e>
            <m:r>
              <m:t>ϕ</m:t>
            </m:r>
          </m:e>
          <m:sub>
            <m:r>
              <m:rPr>
                <m:nor/>
                <m:sty m:val="p"/>
              </m:rPr>
              <m:t>NR</m:t>
            </m:r>
          </m:sub>
        </m:sSub>
      </m:oMath>
      <w:r>
        <w:t xml:space="preserve"> </w:t>
      </w:r>
      <w:r>
        <w:t xml:space="preserve">remain in the hierarchies of</w:t>
      </w:r>
      <w:r>
        <w:t xml:space="preserve"> </w:t>
      </w:r>
      <w:hyperlink w:anchor="eq-hier">
        <w:r>
          <w:rPr>
            <w:rStyle w:val="Hyperlink"/>
          </w:rPr>
          <w:t xml:space="preserve">Equation 6</w:t>
        </w:r>
      </w:hyperlink>
      <w:r>
        <w:t xml:space="preserve"> </w:t>
      </w:r>
      <w:r>
        <w:t xml:space="preserve">and</w:t>
      </w:r>
      <w:r>
        <w:t xml:space="preserve"> </w:t>
      </w:r>
      <w:hyperlink w:anchor="eq-hier-extra">
        <w:r>
          <w:rPr>
            <w:rStyle w:val="Hyperlink"/>
          </w:rPr>
          <w:t xml:space="preserve">Equation 7</w:t>
        </w:r>
      </w:hyperlink>
      <w:r>
        <w:t xml:space="preserve">.</w:t>
      </w:r>
    </w:p>
    <w:bookmarkEnd w:id="43"/>
    <w:bookmarkStart w:id="46" w:name="sec-estimation"/>
    <w:p>
      <w:pPr>
        <w:pStyle w:val="Heading2"/>
      </w:pPr>
      <w:r>
        <w:t xml:space="preserve">Priors and Estimation</w:t>
      </w:r>
    </w:p>
    <w:p>
      <w:pPr>
        <w:pStyle w:val="FirstParagraph"/>
      </w:pPr>
      <w:r>
        <w:t xml:space="preserve">The model’s hyperparameters fall into three groups. The named-group</w:t>
      </w:r>
      <w:r>
        <w:t xml:space="preserve"> </w:t>
      </w:r>
      <w:r>
        <w:t xml:space="preserve">hierarchies on the within-group scale, skewness, and scale-growth rate</w:t>
      </w:r>
      <w:r>
        <w:t xml:space="preserve"> </w:t>
      </w:r>
      <w:r>
        <w:t xml:space="preserve">take weakly informative settings, with a Gaussian prior on each mean</w:t>
      </w:r>
      <w:r>
        <w:t xml:space="preserve"> </w:t>
      </w:r>
      <w:r>
        <w:t xml:space="preserve">and a half-normal prior on each spread:</w:t>
      </w:r>
    </w:p>
    <w:p>
      <w:pPr>
        <w:pStyle w:val="BodyText"/>
      </w:pPr>
      <w:bookmarkStart w:id="44" w:name="eq-priors-core"/>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β</m:t>
                    </m:r>
                  </m:e>
                  <m:sub>
                    <m:r>
                      <m:t>σ</m:t>
                    </m:r>
                  </m:sub>
                </m:sSub>
              </m:e>
              <m:e>
                <m:r>
                  <m:rPr>
                    <m:sty m:val="p"/>
                  </m:rPr>
                  <m:t>∼</m:t>
                </m:r>
                <m:r>
                  <m:rPr>
                    <m:sty m:val="p"/>
                    <m:scr m:val="script"/>
                  </m:rPr>
                  <m:t>N</m:t>
                </m:r>
                <m:d>
                  <m:dPr>
                    <m:begChr m:val="("/>
                    <m:sepChr m:val=""/>
                    <m:endChr m:val=")"/>
                    <m:grow/>
                  </m:dPr>
                  <m:e>
                    <m:r>
                      <m:rPr>
                        <m:sty m:val="p"/>
                      </m:rPr>
                      <m:t>log</m:t>
                    </m:r>
                    <m:r>
                      <m:t>230</m:t>
                    </m:r>
                    <m:r>
                      <m:rPr>
                        <m:sty m:val="p"/>
                      </m:rPr>
                      <m:t>,</m:t>
                    </m:r>
                    <m:r>
                      <m:t> </m:t>
                    </m:r>
                    <m:r>
                      <m:t>0.4</m:t>
                    </m:r>
                  </m:e>
                </m:d>
                <m:r>
                  <m:rPr>
                    <m:sty m:val="p"/>
                  </m:rPr>
                  <m:t>,</m:t>
                </m:r>
              </m:e>
              <m:e>
                <m:r>
                  <m:t> </m:t>
                </m:r>
                <m:sSub>
                  <m:e>
                    <m:r>
                      <m:t>τ</m:t>
                    </m:r>
                  </m:e>
                  <m:sub>
                    <m:r>
                      <m:t>σ</m:t>
                    </m:r>
                  </m:sub>
                </m:sSub>
              </m:e>
              <m:e>
                <m:r>
                  <m:rPr>
                    <m:sty m:val="p"/>
                  </m:rPr>
                  <m:t>∼</m:t>
                </m:r>
                <m:sSup>
                  <m:e>
                    <m:r>
                      <m:rPr>
                        <m:sty m:val="p"/>
                        <m:scr m:val="script"/>
                      </m:rPr>
                      <m:t>N</m:t>
                    </m:r>
                  </m:e>
                  <m:sup>
                    <m:r>
                      <m:rPr>
                        <m:sty m:val="p"/>
                      </m:rPr>
                      <m:t>+</m:t>
                    </m:r>
                  </m:sup>
                </m:sSup>
                <m:d>
                  <m:dPr>
                    <m:begChr m:val="("/>
                    <m:sepChr m:val=""/>
                    <m:endChr m:val=")"/>
                    <m:grow/>
                  </m:dPr>
                  <m:e>
                    <m:r>
                      <m:t>0</m:t>
                    </m:r>
                    <m:r>
                      <m:rPr>
                        <m:sty m:val="p"/>
                      </m:rPr>
                      <m:t>,</m:t>
                    </m:r>
                    <m:r>
                      <m:t> </m:t>
                    </m:r>
                    <m:r>
                      <m:t>0.35</m:t>
                    </m:r>
                  </m:e>
                </m:d>
                <m:r>
                  <m:rPr>
                    <m:sty m:val="p"/>
                  </m:rPr>
                  <m:t>,</m:t>
                </m:r>
              </m:e>
            </m:mr>
            <m:mr>
              <m:e>
                <m:sSub>
                  <m:e>
                    <m:r>
                      <m:t>β</m:t>
                    </m:r>
                  </m:e>
                  <m:sub>
                    <m:r>
                      <m:t>ϵ</m:t>
                    </m:r>
                  </m:sub>
                </m:sSub>
              </m:e>
              <m:e>
                <m:r>
                  <m:rPr>
                    <m:sty m:val="p"/>
                  </m:rPr>
                  <m:t>∼</m:t>
                </m:r>
                <m:r>
                  <m:rPr>
                    <m:sty m:val="p"/>
                    <m:scr m:val="script"/>
                  </m:rPr>
                  <m:t>N</m:t>
                </m:r>
                <m:d>
                  <m:dPr>
                    <m:begChr m:val="("/>
                    <m:sepChr m:val=""/>
                    <m:endChr m:val=")"/>
                    <m:grow/>
                  </m:dPr>
                  <m:e>
                    <m:r>
                      <m:t>0</m:t>
                    </m:r>
                    <m:r>
                      <m:rPr>
                        <m:sty m:val="p"/>
                      </m:rPr>
                      <m:t>,</m:t>
                    </m:r>
                    <m:r>
                      <m:t> </m:t>
                    </m:r>
                    <m:r>
                      <m:t>0.6</m:t>
                    </m:r>
                  </m:e>
                </m:d>
                <m:r>
                  <m:rPr>
                    <m:sty m:val="p"/>
                  </m:rPr>
                  <m:t>,</m:t>
                </m:r>
              </m:e>
              <m:e>
                <m:r>
                  <m:t> </m:t>
                </m:r>
                <m:sSub>
                  <m:e>
                    <m:r>
                      <m:t>τ</m:t>
                    </m:r>
                  </m:e>
                  <m:sub>
                    <m:r>
                      <m:t>ϵ</m:t>
                    </m:r>
                  </m:sub>
                </m:sSub>
              </m:e>
              <m:e>
                <m:r>
                  <m:rPr>
                    <m:sty m:val="p"/>
                  </m:rPr>
                  <m:t>∼</m:t>
                </m:r>
                <m:sSup>
                  <m:e>
                    <m:r>
                      <m:rPr>
                        <m:sty m:val="p"/>
                        <m:scr m:val="script"/>
                      </m:rPr>
                      <m:t>N</m:t>
                    </m:r>
                  </m:e>
                  <m:sup>
                    <m:r>
                      <m:rPr>
                        <m:sty m:val="p"/>
                      </m:rPr>
                      <m:t>+</m:t>
                    </m:r>
                  </m:sup>
                </m:sSup>
                <m:d>
                  <m:dPr>
                    <m:begChr m:val="("/>
                    <m:sepChr m:val=""/>
                    <m:endChr m:val=")"/>
                    <m:grow/>
                  </m:dPr>
                  <m:e>
                    <m:r>
                      <m:t>0</m:t>
                    </m:r>
                    <m:r>
                      <m:rPr>
                        <m:sty m:val="p"/>
                      </m:rPr>
                      <m:t>,</m:t>
                    </m:r>
                    <m:r>
                      <m:t> </m:t>
                    </m:r>
                    <m:r>
                      <m:t>0.8</m:t>
                    </m:r>
                  </m:e>
                </m:d>
                <m:r>
                  <m:rPr>
                    <m:sty m:val="p"/>
                  </m:rPr>
                  <m:t>,</m:t>
                </m:r>
              </m:e>
            </m:mr>
            <m:mr>
              <m:e>
                <m:sSub>
                  <m:e>
                    <m:r>
                      <m:t>β</m:t>
                    </m:r>
                  </m:e>
                  <m:sub>
                    <m:r>
                      <m:t>λ</m:t>
                    </m:r>
                  </m:sub>
                </m:sSub>
              </m:e>
              <m:e>
                <m:r>
                  <m:rPr>
                    <m:sty m:val="p"/>
                  </m:rPr>
                  <m:t>∼</m:t>
                </m:r>
                <m:r>
                  <m:rPr>
                    <m:sty m:val="p"/>
                    <m:scr m:val="script"/>
                  </m:rPr>
                  <m:t>N</m:t>
                </m:r>
                <m:d>
                  <m:dPr>
                    <m:begChr m:val="("/>
                    <m:sepChr m:val=""/>
                    <m:endChr m:val=")"/>
                    <m:grow/>
                  </m:dPr>
                  <m:e>
                    <m:r>
                      <m:t>0</m:t>
                    </m:r>
                    <m:r>
                      <m:rPr>
                        <m:sty m:val="p"/>
                      </m:rPr>
                      <m:t>,</m:t>
                    </m:r>
                    <m:r>
                      <m:t> </m:t>
                    </m:r>
                    <m:r>
                      <m:t>0.15</m:t>
                    </m:r>
                  </m:e>
                </m:d>
                <m:r>
                  <m:rPr>
                    <m:sty m:val="p"/>
                  </m:rPr>
                  <m:t>,</m:t>
                </m:r>
              </m:e>
              <m:e>
                <m:r>
                  <m:t> </m:t>
                </m:r>
                <m:sSub>
                  <m:e>
                    <m:r>
                      <m:t>τ</m:t>
                    </m:r>
                  </m:e>
                  <m:sub>
                    <m:r>
                      <m:t>λ</m:t>
                    </m:r>
                  </m:sub>
                </m:sSub>
              </m:e>
              <m:e>
                <m:r>
                  <m:rPr>
                    <m:sty m:val="p"/>
                  </m:rPr>
                  <m:t>∼</m:t>
                </m:r>
                <m:sSup>
                  <m:e>
                    <m:r>
                      <m:rPr>
                        <m:sty m:val="p"/>
                        <m:scr m:val="script"/>
                      </m:rPr>
                      <m:t>N</m:t>
                    </m:r>
                  </m:e>
                  <m:sup>
                    <m:r>
                      <m:rPr>
                        <m:sty m:val="p"/>
                      </m:rPr>
                      <m:t>+</m:t>
                    </m:r>
                  </m:sup>
                </m:sSup>
                <m:d>
                  <m:dPr>
                    <m:begChr m:val="("/>
                    <m:sepChr m:val=""/>
                    <m:endChr m:val=")"/>
                    <m:grow/>
                  </m:dPr>
                  <m:e>
                    <m:r>
                      <m:t>0</m:t>
                    </m:r>
                    <m:r>
                      <m:rPr>
                        <m:sty m:val="p"/>
                      </m:rPr>
                      <m:t>,</m:t>
                    </m:r>
                    <m:r>
                      <m:t> </m:t>
                    </m:r>
                    <m:r>
                      <m:t>0.06</m:t>
                    </m:r>
                  </m:e>
                </m:d>
                <m:r>
                  <m:rPr>
                    <m:sty m:val="p"/>
                  </m:rPr>
                  <m:t>.</m:t>
                </m:r>
              </m:e>
            </m:mr>
          </m:m>
          <m:r>
            <m:t>  </m:t>
          </m:r>
          <m:d>
            <m:dPr>
              <m:begChr m:val="("/>
              <m:sepChr m:val=""/>
              <m:endChr m:val=")"/>
              <m:grow/>
            </m:dPr>
            <m:e>
              <m:r>
                <m:t>8</m:t>
              </m:r>
            </m:e>
          </m:d>
        </m:oMath>
      </m:oMathPara>
      <w:bookmarkEnd w:id="44"/>
    </w:p>
    <w:p>
      <w:pPr>
        <w:pStyle w:val="FirstParagraph"/>
      </w:pPr>
      <w:r>
        <w:t xml:space="preserve">The hierarchies on the tail-weight, Dirichlet concentration, and</w:t>
      </w:r>
      <w:r>
        <w:t xml:space="preserve"> </w:t>
      </w:r>
      <w:r>
        <w:t xml:space="preserve">per-group scale-residual SD are likewise weakly informative, with the</w:t>
      </w:r>
      <w:r>
        <w:t xml:space="preserve"> </w:t>
      </w:r>
      <m:oMath>
        <m:sSub>
          <m:e>
            <m:r>
              <m:t>β</m:t>
            </m:r>
          </m:e>
          <m:sub>
            <m:r>
              <m:t>δ</m:t>
            </m:r>
          </m:sub>
        </m:sSub>
      </m:oMath>
      <w:r>
        <w:t xml:space="preserve"> </w:t>
      </w:r>
      <w:r>
        <w:t xml:space="preserve">and</w:t>
      </w:r>
      <w:r>
        <w:t xml:space="preserve"> </w:t>
      </w:r>
      <m:oMath>
        <m:sSub>
          <m:e>
            <m:r>
              <m:t>τ</m:t>
            </m:r>
          </m:e>
          <m:sub>
            <m:r>
              <m:t>δ</m:t>
            </m:r>
          </m:sub>
        </m:sSub>
      </m:oMath>
      <w:r>
        <w:t xml:space="preserve"> </w:t>
      </w:r>
      <w:r>
        <w:t xml:space="preserve">settings centering each</w:t>
      </w:r>
      <w:r>
        <w:t xml:space="preserve"> </w:t>
      </w:r>
      <m:oMath>
        <m:sSub>
          <m:e>
            <m:r>
              <m:t>δ</m:t>
            </m:r>
          </m:e>
          <m:sub>
            <m:r>
              <m:t>r</m:t>
            </m:r>
          </m:sub>
        </m:sSub>
      </m:oMath>
      <w:r>
        <w:t xml:space="preserve"> </w:t>
      </w:r>
      <w:r>
        <w:t xml:space="preserve">near</w:t>
      </w:r>
      <w:r>
        <w:t xml:space="preserve"> </w:t>
      </w:r>
      <m:oMath>
        <m:r>
          <m:t>1</m:t>
        </m:r>
      </m:oMath>
      <w:r>
        <w:t xml:space="preserve">:</w:t>
      </w:r>
    </w:p>
    <w:p>
      <w:pPr>
        <w:pStyle w:val="BodyText"/>
      </w:pPr>
      <w:bookmarkStart w:id="45" w:name="eq-priors-aux"/>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β</m:t>
                    </m:r>
                  </m:e>
                  <m:sub>
                    <m:r>
                      <m:t>δ</m:t>
                    </m:r>
                  </m:sub>
                </m:sSub>
              </m:e>
              <m:e>
                <m:r>
                  <m:rPr>
                    <m:sty m:val="p"/>
                  </m:rPr>
                  <m:t>∼</m:t>
                </m:r>
                <m:r>
                  <m:rPr>
                    <m:sty m:val="p"/>
                    <m:scr m:val="script"/>
                  </m:rPr>
                  <m:t>N</m:t>
                </m:r>
                <m:d>
                  <m:dPr>
                    <m:begChr m:val="("/>
                    <m:sepChr m:val=""/>
                    <m:endChr m:val=")"/>
                    <m:grow/>
                  </m:dPr>
                  <m:e>
                    <m:r>
                      <m:t>0</m:t>
                    </m:r>
                    <m:r>
                      <m:rPr>
                        <m:sty m:val="p"/>
                      </m:rPr>
                      <m:t>,</m:t>
                    </m:r>
                    <m:r>
                      <m:t> </m:t>
                    </m:r>
                    <m:r>
                      <m:t>0.3</m:t>
                    </m:r>
                  </m:e>
                </m:d>
                <m:r>
                  <m:rPr>
                    <m:sty m:val="p"/>
                  </m:rPr>
                  <m:t>,</m:t>
                </m:r>
              </m:e>
              <m:e>
                <m:r>
                  <m:t> </m:t>
                </m:r>
                <m:sSub>
                  <m:e>
                    <m:r>
                      <m:t>τ</m:t>
                    </m:r>
                  </m:e>
                  <m:sub>
                    <m:r>
                      <m:t>δ</m:t>
                    </m:r>
                  </m:sub>
                </m:sSub>
              </m:e>
              <m:e>
                <m:r>
                  <m:rPr>
                    <m:sty m:val="p"/>
                  </m:rPr>
                  <m:t>∼</m:t>
                </m:r>
                <m:sSup>
                  <m:e>
                    <m:r>
                      <m:rPr>
                        <m:sty m:val="p"/>
                        <m:scr m:val="script"/>
                      </m:rPr>
                      <m:t>N</m:t>
                    </m:r>
                  </m:e>
                  <m:sup>
                    <m:r>
                      <m:rPr>
                        <m:sty m:val="p"/>
                      </m:rPr>
                      <m:t>+</m:t>
                    </m:r>
                  </m:sup>
                </m:sSup>
                <m:d>
                  <m:dPr>
                    <m:begChr m:val="("/>
                    <m:sepChr m:val=""/>
                    <m:endChr m:val=")"/>
                    <m:grow/>
                  </m:dPr>
                  <m:e>
                    <m:r>
                      <m:t>0</m:t>
                    </m:r>
                    <m:r>
                      <m:rPr>
                        <m:sty m:val="p"/>
                      </m:rPr>
                      <m:t>,</m:t>
                    </m:r>
                    <m:r>
                      <m:t> </m:t>
                    </m:r>
                    <m:r>
                      <m:t>0.2</m:t>
                    </m:r>
                  </m:e>
                </m:d>
                <m:r>
                  <m:rPr>
                    <m:sty m:val="p"/>
                  </m:rPr>
                  <m:t>,</m:t>
                </m:r>
              </m:e>
            </m:mr>
            <m:mr>
              <m:e>
                <m:sSub>
                  <m:e>
                    <m:r>
                      <m:t>β</m:t>
                    </m:r>
                  </m:e>
                  <m:sub>
                    <m:r>
                      <m:t>ϕ</m:t>
                    </m:r>
                  </m:sub>
                </m:sSub>
              </m:e>
              <m:e>
                <m:r>
                  <m:rPr>
                    <m:sty m:val="p"/>
                  </m:rPr>
                  <m:t>∼</m:t>
                </m:r>
                <m:r>
                  <m:rPr>
                    <m:sty m:val="p"/>
                    <m:scr m:val="script"/>
                  </m:rPr>
                  <m:t>N</m:t>
                </m:r>
                <m:d>
                  <m:dPr>
                    <m:begChr m:val="("/>
                    <m:sepChr m:val=""/>
                    <m:endChr m:val=")"/>
                    <m:grow/>
                  </m:dPr>
                  <m:e>
                    <m:r>
                      <m:rPr>
                        <m:sty m:val="p"/>
                      </m:rPr>
                      <m:t>log</m:t>
                    </m:r>
                    <m:r>
                      <m:t>300</m:t>
                    </m:r>
                    <m:r>
                      <m:rPr>
                        <m:sty m:val="p"/>
                      </m:rPr>
                      <m:t>,</m:t>
                    </m:r>
                    <m:r>
                      <m:t> </m:t>
                    </m:r>
                    <m:r>
                      <m:t>1.5</m:t>
                    </m:r>
                  </m:e>
                </m:d>
                <m:r>
                  <m:rPr>
                    <m:sty m:val="p"/>
                  </m:rPr>
                  <m:t>,</m:t>
                </m:r>
              </m:e>
              <m:e>
                <m:r>
                  <m:t> </m:t>
                </m:r>
                <m:sSub>
                  <m:e>
                    <m:r>
                      <m:t>τ</m:t>
                    </m:r>
                  </m:e>
                  <m:sub>
                    <m:r>
                      <m:t>ϕ</m:t>
                    </m:r>
                  </m:sub>
                </m:sSub>
              </m:e>
              <m:e>
                <m:r>
                  <m:rPr>
                    <m:sty m:val="p"/>
                  </m:rPr>
                  <m:t>∼</m:t>
                </m:r>
                <m:sSup>
                  <m:e>
                    <m:r>
                      <m:rPr>
                        <m:sty m:val="p"/>
                        <m:scr m:val="script"/>
                      </m:rPr>
                      <m:t>N</m:t>
                    </m:r>
                  </m:e>
                  <m:sup>
                    <m:r>
                      <m:rPr>
                        <m:sty m:val="p"/>
                      </m:rPr>
                      <m:t>+</m:t>
                    </m:r>
                  </m:sup>
                </m:sSup>
                <m:d>
                  <m:dPr>
                    <m:begChr m:val="("/>
                    <m:sepChr m:val=""/>
                    <m:endChr m:val=")"/>
                    <m:grow/>
                  </m:dPr>
                  <m:e>
                    <m:r>
                      <m:t>0</m:t>
                    </m:r>
                    <m:r>
                      <m:rPr>
                        <m:sty m:val="p"/>
                      </m:rPr>
                      <m:t>,</m:t>
                    </m:r>
                    <m:r>
                      <m:t> </m:t>
                    </m:r>
                    <m:r>
                      <m:t>0.5</m:t>
                    </m:r>
                  </m:e>
                </m:d>
                <m:r>
                  <m:rPr>
                    <m:sty m:val="p"/>
                  </m:rPr>
                  <m:t>,</m:t>
                </m:r>
              </m:e>
            </m:mr>
            <m:mr>
              <m:e>
                <m:sSub>
                  <m:e>
                    <m:r>
                      <m:t>β</m:t>
                    </m:r>
                  </m:e>
                  <m:sub>
                    <m:sSub>
                      <m:e>
                        <m:r>
                          <m:t>τ</m:t>
                        </m:r>
                      </m:e>
                      <m:sub>
                        <m:r>
                          <m:t>η</m:t>
                        </m:r>
                      </m:sub>
                    </m:sSub>
                  </m:sub>
                </m:sSub>
              </m:e>
              <m:e>
                <m:r>
                  <m:rPr>
                    <m:sty m:val="p"/>
                  </m:rPr>
                  <m:t>∼</m:t>
                </m:r>
                <m:r>
                  <m:rPr>
                    <m:sty m:val="p"/>
                    <m:scr m:val="script"/>
                  </m:rPr>
                  <m:t>N</m:t>
                </m:r>
                <m:d>
                  <m:dPr>
                    <m:begChr m:val="("/>
                    <m:sepChr m:val=""/>
                    <m:endChr m:val=")"/>
                    <m:grow/>
                  </m:dPr>
                  <m:e>
                    <m:r>
                      <m:rPr>
                        <m:sty m:val="p"/>
                      </m:rPr>
                      <m:t>log</m:t>
                    </m:r>
                    <m:r>
                      <m:t>0.03</m:t>
                    </m:r>
                    <m:r>
                      <m:rPr>
                        <m:sty m:val="p"/>
                      </m:rPr>
                      <m:t>,</m:t>
                    </m:r>
                    <m:r>
                      <m:t> </m:t>
                    </m:r>
                    <m:r>
                      <m:t>0.6</m:t>
                    </m:r>
                  </m:e>
                </m:d>
                <m:r>
                  <m:rPr>
                    <m:sty m:val="p"/>
                  </m:rPr>
                  <m:t>,</m:t>
                </m:r>
              </m:e>
              <m:e>
                <m:r>
                  <m:t> </m:t>
                </m:r>
                <m:sSub>
                  <m:e>
                    <m:r>
                      <m:t>τ</m:t>
                    </m:r>
                  </m:e>
                  <m:sub>
                    <m:sSub>
                      <m:e>
                        <m:r>
                          <m:t>τ</m:t>
                        </m:r>
                      </m:e>
                      <m:sub>
                        <m:r>
                          <m:t>η</m:t>
                        </m:r>
                      </m:sub>
                    </m:sSub>
                  </m:sub>
                </m:sSub>
              </m:e>
              <m:e>
                <m:r>
                  <m:rPr>
                    <m:sty m:val="p"/>
                  </m:rPr>
                  <m:t>∼</m:t>
                </m:r>
                <m:sSup>
                  <m:e>
                    <m:r>
                      <m:rPr>
                        <m:sty m:val="p"/>
                        <m:scr m:val="script"/>
                      </m:rPr>
                      <m:t>N</m:t>
                    </m:r>
                  </m:e>
                  <m:sup>
                    <m:r>
                      <m:rPr>
                        <m:sty m:val="p"/>
                      </m:rPr>
                      <m:t>+</m:t>
                    </m:r>
                  </m:sup>
                </m:sSup>
                <m:d>
                  <m:dPr>
                    <m:begChr m:val="("/>
                    <m:sepChr m:val=""/>
                    <m:endChr m:val=")"/>
                    <m:grow/>
                  </m:dPr>
                  <m:e>
                    <m:r>
                      <m:t>0</m:t>
                    </m:r>
                    <m:r>
                      <m:rPr>
                        <m:sty m:val="p"/>
                      </m:rPr>
                      <m:t>,</m:t>
                    </m:r>
                    <m:r>
                      <m:t> </m:t>
                    </m:r>
                    <m:r>
                      <m:t>0.3</m:t>
                    </m:r>
                  </m:e>
                </m:d>
                <m:r>
                  <m:rPr>
                    <m:sty m:val="p"/>
                  </m:rPr>
                  <m:t>.</m:t>
                </m:r>
              </m:e>
            </m:mr>
          </m:m>
          <m:r>
            <m:t>  </m:t>
          </m:r>
          <m:d>
            <m:dPr>
              <m:begChr m:val="("/>
              <m:sepChr m:val=""/>
              <m:endChr m:val=")"/>
              <m:grow/>
            </m:dPr>
            <m:e>
              <m:r>
                <m:t>9</m:t>
              </m:r>
            </m:e>
          </m:d>
        </m:oMath>
      </m:oMathPara>
      <w:bookmarkEnd w:id="45"/>
    </w:p>
    <w:p>
      <w:pPr>
        <w:pStyle w:val="FirstParagraph"/>
      </w:pPr>
      <w:r>
        <w:t xml:space="preserve">The per-cell SHASH location</w:t>
      </w:r>
      <w:r>
        <w:t xml:space="preserve"> </w:t>
      </w:r>
      <m:oMath>
        <m:sSub>
          <m:e>
            <m:r>
              <m:t>μ</m:t>
            </m:r>
          </m:e>
          <m:sub>
            <m:r>
              <m:t>r</m:t>
            </m:r>
            <m:r>
              <m:rPr>
                <m:sty m:val="p"/>
              </m:rPr>
              <m:t>,</m:t>
            </m:r>
            <m:r>
              <m:t>y</m:t>
            </m:r>
          </m:sub>
        </m:sSub>
      </m:oMath>
      <w:r>
        <w:t xml:space="preserve"> </w:t>
      </w:r>
      <w:r>
        <w:t xml:space="preserve">is parameterized in terms of</w:t>
      </w:r>
      <w:r>
        <w:t xml:space="preserve"> </w:t>
      </w:r>
      <w:r>
        <w:t xml:space="preserve">the cell’s</w:t>
      </w:r>
      <w:r>
        <w:t xml:space="preserve"> </w:t>
      </w:r>
      <w:r>
        <w:rPr>
          <w:i/>
          <w:iCs/>
        </w:rPr>
        <w:t xml:space="preserve">expected score</w:t>
      </w:r>
      <w:r>
        <w:t xml:space="preserve"> </w:t>
      </w:r>
      <m:oMath>
        <m:sSub>
          <m:e>
            <m:r>
              <m:t>θ</m:t>
            </m:r>
          </m:e>
          <m:sub>
            <m:r>
              <m:t>r</m:t>
            </m:r>
            <m:r>
              <m:rPr>
                <m:sty m:val="p"/>
              </m:rPr>
              <m:t>,</m:t>
            </m:r>
            <m:r>
              <m:t>y</m:t>
            </m:r>
          </m:sub>
        </m:sSub>
        <m:r>
          <m:rPr>
            <m:sty m:val="p"/>
          </m:rPr>
          <m:t>=</m:t>
        </m:r>
        <m:r>
          <m:rPr>
            <m:sty m:val="p"/>
            <m:scr m:val="double-struck"/>
          </m:rPr>
          <m:t>E</m:t>
        </m:r>
        <m:d>
          <m:dPr>
            <m:begChr m:val="["/>
            <m:sepChr m:val=""/>
            <m:endChr m:val="]"/>
            <m:grow/>
          </m:dPr>
          <m:e>
            <m:sSub>
              <m:e>
                <m:r>
                  <m:t>S</m:t>
                </m:r>
              </m:e>
              <m:sub>
                <m:r>
                  <m:t>r</m:t>
                </m:r>
                <m:r>
                  <m:rPr>
                    <m:sty m:val="p"/>
                  </m:rPr>
                  <m:t>,</m:t>
                </m:r>
                <m:r>
                  <m:t>y</m:t>
                </m:r>
              </m:sub>
            </m:sSub>
          </m:e>
        </m:d>
      </m:oMath>
      <w:r>
        <w:t xml:space="preserve">,</w:t>
      </w:r>
      <w:r>
        <w:t xml:space="preserve"> </w:t>
      </w:r>
      <w:r>
        <w:t xml:space="preserve">which is given the prior</w:t>
      </w:r>
      <w:r>
        <w:t xml:space="preserve"> </w:t>
      </w:r>
      <m:oMath>
        <m:sSub>
          <m:e>
            <m:r>
              <m:t>θ</m:t>
            </m:r>
          </m:e>
          <m:sub>
            <m:r>
              <m:t>r</m:t>
            </m:r>
            <m:r>
              <m:rPr>
                <m:sty m:val="p"/>
              </m:rPr>
              <m:t>,</m:t>
            </m:r>
            <m:r>
              <m:t>y</m:t>
            </m:r>
          </m:sub>
        </m:sSub>
        <m:r>
          <m:rPr>
            <m:sty m:val="p"/>
          </m:rPr>
          <m:t>∼</m:t>
        </m:r>
        <m:r>
          <m:rPr>
            <m:sty m:val="p"/>
            <m:scr m:val="script"/>
          </m:rPr>
          <m:t>N</m:t>
        </m:r>
        <m:d>
          <m:dPr>
            <m:begChr m:val="("/>
            <m:sepChr m:val=""/>
            <m:endChr m:val=")"/>
            <m:grow/>
          </m:dPr>
          <m:e>
            <m:r>
              <m:t>1050</m:t>
            </m:r>
            <m:r>
              <m:rPr>
                <m:sty m:val="p"/>
              </m:rPr>
              <m:t>,</m:t>
            </m:r>
            <m:r>
              <m:t>300</m:t>
            </m:r>
          </m:e>
        </m:d>
      </m:oMath>
      <w:r>
        <w:t xml:space="preserve">.</w:t>
      </w:r>
      <w:r>
        <w:t xml:space="preserve"> </w:t>
      </w:r>
      <w:r>
        <w:t xml:space="preserve">This is the</w:t>
      </w:r>
      <w:r>
        <w:t xml:space="preserve"> </w:t>
      </w:r>
      <w:r>
        <w:rPr>
          <w:i/>
          <w:iCs/>
        </w:rPr>
        <w:t xml:space="preserve">centered parameterization</w:t>
      </w:r>
      <w:r>
        <w:t xml:space="preserve"> </w:t>
      </w:r>
      <w:r>
        <w:t xml:space="preserve">of the skew-normal literature</w:t>
      </w:r>
      <w:r>
        <w:t xml:space="preserve"> </w:t>
      </w:r>
      <w:r>
        <w:t xml:space="preserve">(</w:t>
      </w:r>
      <w:hyperlink w:anchor="ref-azzalini1985">
        <w:r>
          <w:rPr>
            <w:rStyle w:val="Hyperlink"/>
          </w:rPr>
          <w:t xml:space="preserve">Azzalini, 1985</w:t>
        </w:r>
      </w:hyperlink>
      <w:r>
        <w:t xml:space="preserve">;</w:t>
      </w:r>
      <w:r>
        <w:t xml:space="preserve"> </w:t>
      </w:r>
      <w:hyperlink w:anchor="ref-azzalini2014">
        <w:r>
          <w:rPr>
            <w:rStyle w:val="Hyperlink"/>
          </w:rPr>
          <w:t xml:space="preserve">Azzalini &amp; Capitanio, 2014</w:t>
        </w:r>
      </w:hyperlink>
      <w:r>
        <w:t xml:space="preserve">)</w:t>
      </w:r>
      <w:r>
        <w:t xml:space="preserve">, which removes a near-singularity in</w:t>
      </w:r>
      <w:r>
        <w:t xml:space="preserve"> </w:t>
      </w:r>
      <w:r>
        <w:t xml:space="preserve">the likelihood, applied here to the sinh-arcsinh family</w:t>
      </w:r>
      <w:r>
        <w:t xml:space="preserve"> </w:t>
      </w:r>
      <w:r>
        <w:t xml:space="preserve">(</w:t>
      </w:r>
      <w:hyperlink w:anchor="ref-jonespewsey2009">
        <w:r>
          <w:rPr>
            <w:rStyle w:val="Hyperlink"/>
          </w:rPr>
          <w:t xml:space="preserve">Jones &amp; Pewsey, 2009</w:t>
        </w:r>
      </w:hyperlink>
      <w:r>
        <w:t xml:space="preserve">)</w:t>
      </w:r>
      <w:r>
        <w:t xml:space="preserve">. The induced raw SHASH location is</w:t>
      </w:r>
      <w:r>
        <w:t xml:space="preserve"> </w:t>
      </w:r>
      <m:oMath>
        <m:sSub>
          <m:e>
            <m:r>
              <m:t>μ</m:t>
            </m:r>
          </m:e>
          <m:sub>
            <m:r>
              <m:t>r</m:t>
            </m:r>
            <m:r>
              <m:rPr>
                <m:sty m:val="p"/>
              </m:rPr>
              <m:t>,</m:t>
            </m:r>
            <m:r>
              <m:t>y</m:t>
            </m:r>
          </m:sub>
        </m:sSub>
        <m:r>
          <m:rPr>
            <m:sty m:val="p"/>
          </m:rPr>
          <m:t>=</m:t>
        </m:r>
        <m:sSub>
          <m:e>
            <m:r>
              <m:t>θ</m:t>
            </m:r>
          </m:e>
          <m:sub>
            <m:r>
              <m:t>r</m:t>
            </m:r>
            <m:r>
              <m:rPr>
                <m:sty m:val="p"/>
              </m:rPr>
              <m:t>,</m:t>
            </m:r>
            <m:r>
              <m:t>y</m:t>
            </m:r>
          </m:sub>
        </m:sSub>
        <m:r>
          <m:rPr>
            <m:sty m:val="p"/>
          </m:rPr>
          <m:t>−</m:t>
        </m:r>
        <m:sSub>
          <m:e>
            <m:r>
              <m:t>σ</m:t>
            </m:r>
          </m:e>
          <m:sub>
            <m:r>
              <m:t>r</m:t>
            </m:r>
            <m:r>
              <m:rPr>
                <m:sty m:val="p"/>
              </m:rPr>
              <m:t>,</m:t>
            </m:r>
            <m:r>
              <m:t>y</m:t>
            </m:r>
          </m:sub>
        </m:sSub>
        <m:r>
          <m:t> </m:t>
        </m:r>
        <m:r>
          <m:t>m</m:t>
        </m:r>
        <m:d>
          <m:dPr>
            <m:begChr m:val="("/>
            <m:sepChr m:val=""/>
            <m:endChr m:val=")"/>
            <m:grow/>
          </m:dPr>
          <m:e>
            <m:sSub>
              <m:e>
                <m:r>
                  <m:t>ϵ</m:t>
                </m:r>
              </m:e>
              <m:sub>
                <m:r>
                  <m:t>r</m:t>
                </m:r>
              </m:sub>
            </m:sSub>
            <m:r>
              <m:rPr>
                <m:sty m:val="p"/>
              </m:rPr>
              <m:t>,</m:t>
            </m:r>
            <m:sSub>
              <m:e>
                <m:r>
                  <m:t>δ</m:t>
                </m:r>
              </m:e>
              <m:sub>
                <m:r>
                  <m:t>r</m:t>
                </m:r>
              </m:sub>
            </m:sSub>
          </m:e>
        </m:d>
      </m:oMath>
      <w:r>
        <w:t xml:space="preserve">,</w:t>
      </w:r>
      <w:r>
        <w:t xml:space="preserve"> </w:t>
      </w:r>
      <w:r>
        <w:t xml:space="preserve">with</w:t>
      </w:r>
      <w:r>
        <w:t xml:space="preserve"> </w:t>
      </w:r>
      <m:oMath>
        <m:r>
          <m:t>m</m:t>
        </m:r>
        <m:d>
          <m:dPr>
            <m:begChr m:val="("/>
            <m:sepChr m:val=""/>
            <m:endChr m:val=")"/>
            <m:grow/>
          </m:dPr>
          <m:e>
            <m:r>
              <m:t>ϵ</m:t>
            </m:r>
            <m:r>
              <m:rPr>
                <m:sty m:val="p"/>
              </m:rPr>
              <m:t>,</m:t>
            </m:r>
            <m:r>
              <m:t>δ</m:t>
            </m:r>
          </m:e>
        </m:d>
        <m:r>
          <m:rPr>
            <m:sty m:val="p"/>
          </m:rPr>
          <m:t>=</m:t>
        </m:r>
        <m:r>
          <m:rPr>
            <m:sty m:val="p"/>
            <m:scr m:val="double-struck"/>
          </m:rPr>
          <m:t>E</m:t>
        </m:r>
        <m:d>
          <m:dPr>
            <m:begChr m:val="["/>
            <m:sepChr m:val=""/>
            <m:endChr m:val="]"/>
            <m:grow/>
          </m:dPr>
          <m:e>
            <m:r>
              <m:t>X</m:t>
            </m:r>
          </m:e>
        </m:d>
      </m:oMath>
      <w:r>
        <w:t xml:space="preserve"> </w:t>
      </w:r>
      <w:r>
        <w:t xml:space="preserve">computed by 24-node</w:t>
      </w:r>
      <w:r>
        <w:t xml:space="preserve"> </w:t>
      </w:r>
      <w:r>
        <w:t xml:space="preserve">Gauss–Hermite quadrature once per group per draw. The per-cell prior</w:t>
      </w:r>
      <w:r>
        <w:t xml:space="preserve"> </w:t>
      </w:r>
      <w:r>
        <w:t xml:space="preserve">mean</w:t>
      </w:r>
      <w:r>
        <w:t xml:space="preserve"> </w:t>
      </w:r>
      <m:oMath>
        <m:r>
          <m:t>1050</m:t>
        </m:r>
      </m:oMath>
      <w:r>
        <w:t xml:space="preserve"> </w:t>
      </w:r>
      <w:r>
        <w:t xml:space="preserve">is the rough overall SAT mean and the spread</w:t>
      </w:r>
      <w:r>
        <w:t xml:space="preserve"> </w:t>
      </w:r>
      <m:oMath>
        <m:r>
          <m:t>300</m:t>
        </m:r>
      </m:oMath>
      <w:r>
        <w:t xml:space="preserve"> </w:t>
      </w:r>
      <w:r>
        <w:t xml:space="preserve">is</w:t>
      </w:r>
      <w:r>
        <w:t xml:space="preserve"> </w:t>
      </w:r>
      <w:r>
        <w:t xml:space="preserve">wide enough to be essentially flat over the range of plausible group</w:t>
      </w:r>
      <w:r>
        <w:t xml:space="preserve"> </w:t>
      </w:r>
      <w:r>
        <w:t xml:space="preserve">means. Its only role is to keep the noisiest small group’s expected</w:t>
      </w:r>
      <w:r>
        <w:t xml:space="preserve"> </w:t>
      </w:r>
      <w:r>
        <w:t xml:space="preserve">score from drifting to implausible values. In the fitted model the</w:t>
      </w:r>
      <w:r>
        <w:t xml:space="preserve"> </w:t>
      </w:r>
      <w:r>
        <w:t xml:space="preserve">posterior median per-cell expected score</w:t>
      </w:r>
      <w:r>
        <w:t xml:space="preserve"> </w:t>
      </w:r>
      <m:oMath>
        <m:sSub>
          <m:e>
            <m:r>
              <m:t>θ</m:t>
            </m:r>
          </m:e>
          <m:sub>
            <m:r>
              <m:t>r</m:t>
            </m:r>
            <m:r>
              <m:rPr>
                <m:sty m:val="p"/>
              </m:rPr>
              <m:t>,</m:t>
            </m:r>
            <m:r>
              <m:t>y</m:t>
            </m:r>
          </m:sub>
        </m:sSub>
      </m:oMath>
      <w:r>
        <w:t xml:space="preserve"> </w:t>
      </w:r>
      <w:r>
        <w:t xml:space="preserve">runs from</w:t>
      </w:r>
      <w:r>
        <w:t xml:space="preserve"> </w:t>
      </w:r>
      <w:r>
        <w:t xml:space="preserve">approximately 873 to 1248 across the eight groups and eight years</w:t>
      </w:r>
      <w:r>
        <w:t xml:space="preserve"> </w:t>
      </w:r>
      <w:r>
        <w:t xml:space="preserve">(within 0.7 prior standard deviations of the prior mean even for the</w:t>
      </w:r>
      <w:r>
        <w:t xml:space="preserve"> </w:t>
      </w:r>
      <w:r>
        <w:t xml:space="preserve">smallest groups), so the prior is essentially flat over the realized</w:t>
      </w:r>
      <w:r>
        <w:t xml:space="preserve"> </w:t>
      </w:r>
      <w:r>
        <w:t xml:space="preserve">support and does not propagate meaningfully into the posterior. For the No response group’s free</w:t>
      </w:r>
      <w:r>
        <w:t xml:space="preserve"> </w:t>
      </w:r>
      <w:r>
        <w:t xml:space="preserve">per-year log scale we take</w:t>
      </w:r>
      <w:r>
        <w:t xml:space="preserve"> </w:t>
      </w:r>
      <m:oMath>
        <m:r>
          <m:rPr>
            <m:sty m:val="p"/>
          </m:rPr>
          <m:t>log</m:t>
        </m:r>
        <m:sSub>
          <m:e>
            <m:r>
              <m:t>σ</m:t>
            </m:r>
          </m:e>
          <m:sub>
            <m:r>
              <m:rPr>
                <m:nor/>
                <m:sty m:val="p"/>
              </m:rPr>
              <m:t>NR</m:t>
            </m:r>
            <m:r>
              <m:rPr>
                <m:sty m:val="p"/>
              </m:rPr>
              <m:t>,</m:t>
            </m:r>
            <m:r>
              <m:t>y</m:t>
            </m:r>
          </m:sub>
        </m:sSub>
        <m:r>
          <m:rPr>
            <m:sty m:val="p"/>
          </m:rPr>
          <m:t>∼</m:t>
        </m:r>
        <m:r>
          <m:rPr>
            <m:sty m:val="p"/>
            <m:scr m:val="script"/>
          </m:rPr>
          <m:t>N</m:t>
        </m:r>
        <m:d>
          <m:dPr>
            <m:begChr m:val="("/>
            <m:sepChr m:val=""/>
            <m:endChr m:val=")"/>
            <m:grow/>
          </m:dPr>
          <m:e>
            <m:r>
              <m:rPr>
                <m:sty m:val="p"/>
              </m:rPr>
              <m:t>log</m:t>
            </m:r>
            <m:r>
              <m:t>230</m:t>
            </m:r>
            <m:r>
              <m:rPr>
                <m:sty m:val="p"/>
              </m:rPr>
              <m:t>,</m:t>
            </m:r>
            <m:r>
              <m:t>0.4</m:t>
            </m:r>
          </m:e>
        </m:d>
      </m:oMath>
      <w:r>
        <w:t xml:space="preserve">,</w:t>
      </w:r>
      <w:r>
        <w:t xml:space="preserve"> </w:t>
      </w:r>
      <w:r>
        <w:t xml:space="preserve">independent across years. The group-level hierarchy is in the</w:t>
      </w:r>
      <w:r>
        <w:t xml:space="preserve"> </w:t>
      </w:r>
      <w:r>
        <w:t xml:space="preserve">non-centered parameterization throughout.</w:t>
      </w:r>
    </w:p>
    <w:p>
      <w:pPr>
        <w:pStyle w:val="BodyText"/>
      </w:pPr>
      <w:r>
        <w:t xml:space="preserve">The model is fit by Hamiltonian Monte Carlo as implemented in Stan</w:t>
      </w:r>
      <w:r>
        <w:t xml:space="preserve"> </w:t>
      </w:r>
      <w:r>
        <w:t xml:space="preserve">(</w:t>
      </w:r>
      <w:hyperlink w:anchor="ref-betancourt2017hmc">
        <w:r>
          <w:rPr>
            <w:rStyle w:val="Hyperlink"/>
          </w:rPr>
          <w:t xml:space="preserve">Betancourt, 2017</w:t>
        </w:r>
      </w:hyperlink>
      <w:r>
        <w:t xml:space="preserve">;</w:t>
      </w:r>
      <w:r>
        <w:t xml:space="preserve"> </w:t>
      </w:r>
      <w:hyperlink w:anchor="ref-carpenter2017stan">
        <w:r>
          <w:rPr>
            <w:rStyle w:val="Hyperlink"/>
          </w:rPr>
          <w:t xml:space="preserve">Carpenter et al., 2017</w:t>
        </w:r>
      </w:hyperlink>
      <w:r>
        <w:t xml:space="preserve">)</w:t>
      </w:r>
      <w:r>
        <w:t xml:space="preserve">, via the cmdstanr</w:t>
      </w:r>
      <w:r>
        <w:t xml:space="preserve"> </w:t>
      </w:r>
      <w:r>
        <w:t xml:space="preserve">interface</w:t>
      </w:r>
      <w:r>
        <w:t xml:space="preserve"> </w:t>
      </w:r>
      <w:r>
        <w:t xml:space="preserve">(</w:t>
      </w:r>
      <w:hyperlink w:anchor="ref-cmdstanr2024">
        <w:r>
          <w:rPr>
            <w:rStyle w:val="Hyperlink"/>
          </w:rPr>
          <w:t xml:space="preserve">Gabry et al., 2024</w:t>
        </w:r>
      </w:hyperlink>
      <w:r>
        <w:t xml:space="preserve">)</w:t>
      </w:r>
      <w:r>
        <w:t xml:space="preserve"> </w:t>
      </w:r>
      <w:r>
        <w:t xml:space="preserve">in R</w:t>
      </w:r>
      <w:r>
        <w:t xml:space="preserve"> </w:t>
      </w:r>
      <w:r>
        <w:t xml:space="preserve">(</w:t>
      </w:r>
      <w:hyperlink w:anchor="ref-rcore2024">
        <w:r>
          <w:rPr>
            <w:rStyle w:val="Hyperlink"/>
          </w:rPr>
          <w:t xml:space="preserve">R Core Team, 2024</w:t>
        </w:r>
      </w:hyperlink>
      <w:r>
        <w:t xml:space="preserve">)</w:t>
      </w:r>
      <w:r>
        <w:t xml:space="preserve">; posterior summaries and</w:t>
      </w:r>
      <w:r>
        <w:t xml:space="preserve"> </w:t>
      </w:r>
      <w:r>
        <w:t xml:space="preserve">diagnostics use the</w:t>
      </w:r>
      <w:r>
        <w:t xml:space="preserve"> </w:t>
      </w:r>
      <w:r>
        <w:rPr>
          <w:i/>
          <w:iCs/>
        </w:rPr>
        <w:t xml:space="preserve">posterior</w:t>
      </w:r>
      <w:r>
        <w:t xml:space="preserve"> </w:t>
      </w:r>
      <w:r>
        <w:t xml:space="preserve">package</w:t>
      </w:r>
      <w:r>
        <w:t xml:space="preserve"> </w:t>
      </w:r>
      <w:r>
        <w:t xml:space="preserve">(</w:t>
      </w:r>
      <w:hyperlink w:anchor="ref-burkner2025posterior">
        <w:r>
          <w:rPr>
            <w:rStyle w:val="Hyperlink"/>
          </w:rPr>
          <w:t xml:space="preserve">Bürkner et al., 2025</w:t>
        </w:r>
      </w:hyperlink>
      <w:r>
        <w:t xml:space="preserve">)</w:t>
      </w:r>
      <w:r>
        <w:t xml:space="preserve">, data</w:t>
      </w:r>
      <w:r>
        <w:t xml:space="preserve"> </w:t>
      </w:r>
      <w:r>
        <w:t xml:space="preserve">manipulation uses</w:t>
      </w:r>
      <w:r>
        <w:t xml:space="preserve"> </w:t>
      </w:r>
      <w:r>
        <w:rPr>
          <w:i/>
          <w:iCs/>
        </w:rPr>
        <w:t xml:space="preserve">dplyr</w:t>
      </w:r>
      <w:r>
        <w:t xml:space="preserve"> </w:t>
      </w:r>
      <w:r>
        <w:t xml:space="preserve">(</w:t>
      </w:r>
      <w:hyperlink w:anchor="ref-wickham2023dplyr">
        <w:r>
          <w:rPr>
            <w:rStyle w:val="Hyperlink"/>
          </w:rPr>
          <w:t xml:space="preserve">Wickham et al., 2023</w:t>
        </w:r>
      </w:hyperlink>
      <w:r>
        <w:t xml:space="preserve">)</w:t>
      </w:r>
      <w:r>
        <w:t xml:space="preserve">, and figures are</w:t>
      </w:r>
      <w:r>
        <w:t xml:space="preserve"> </w:t>
      </w:r>
      <w:r>
        <w:t xml:space="preserve">produced with</w:t>
      </w:r>
      <w:r>
        <w:t xml:space="preserve"> </w:t>
      </w:r>
      <w:r>
        <w:rPr>
          <w:i/>
          <w:iCs/>
        </w:rPr>
        <w:t xml:space="preserve">ggplot2</w:t>
      </w:r>
      <w:r>
        <w:t xml:space="preserve"> </w:t>
      </w:r>
      <w:r>
        <w:t xml:space="preserve">(</w:t>
      </w:r>
      <w:hyperlink w:anchor="ref-wickham2016ggplot2">
        <w:r>
          <w:rPr>
            <w:rStyle w:val="Hyperlink"/>
          </w:rPr>
          <w:t xml:space="preserve">Wickham, 2016</w:t>
        </w:r>
      </w:hyperlink>
      <w:r>
        <w:t xml:space="preserve">)</w:t>
      </w:r>
      <w:r>
        <w:t xml:space="preserve">. The full SHASH+Dirichlet</w:t>
      </w:r>
      <w:r>
        <w:t xml:space="preserve"> </w:t>
      </w:r>
      <w:r>
        <w:t xml:space="preserve">specification is fit independently to each of</w:t>
      </w:r>
      <w:r>
        <w:t xml:space="preserve"> </w:t>
      </w:r>
      <m:oMath>
        <m:r>
          <m:t>M</m:t>
        </m:r>
        <m:r>
          <m:rPr>
            <m:sty m:val="p"/>
          </m:rPr>
          <m:t>=</m:t>
        </m:r>
        <m:r>
          <m:t>50</m:t>
        </m:r>
      </m:oMath>
      <w:r>
        <w:t xml:space="preserve"> </w:t>
      </w:r>
      <w:r>
        <w:t xml:space="preserve">imputed</w:t>
      </w:r>
      <w:r>
        <w:t xml:space="preserve"> </w:t>
      </w:r>
      <w:r>
        <w:t xml:space="preserve">datasets (drawn as described in</w:t>
      </w:r>
      <w:r>
        <w:t xml:space="preserve"> </w:t>
      </w:r>
      <w:r>
        <w:rPr>
          <w:i/>
          <w:iCs/>
        </w:rPr>
        <w:t xml:space="preserve">A Dirichlet Likelihood on Band</w:t>
      </w:r>
      <w:r>
        <w:rPr>
          <w:i/>
          <w:iCs/>
        </w:rPr>
        <w:t xml:space="preserve"> </w:t>
      </w:r>
      <w:r>
        <w:rPr>
          <w:i/>
          <w:iCs/>
        </w:rPr>
        <w:t xml:space="preserve">Proportions</w:t>
      </w:r>
      <w:r>
        <w:t xml:space="preserve"> </w:t>
      </w:r>
      <w:r>
        <w:t xml:space="preserve">above), with two chains, 1,000 warmup, and 1,000 retained</w:t>
      </w:r>
      <w:r>
        <w:t xml:space="preserve"> </w:t>
      </w:r>
      <w:r>
        <w:t xml:space="preserve">iterations per fit at</w:t>
      </w:r>
      <w:r>
        <w:t xml:space="preserve"> </w:t>
      </w:r>
      <w:r>
        <w:rPr>
          <w:rStyle w:val="VerbatimChar"/>
        </w:rPr>
        <w:t xml:space="preserve">adapt_delta</w:t>
      </w:r>
      <w:r>
        <w:t xml:space="preserve"> </w:t>
      </w:r>
      <w:r>
        <w:t xml:space="preserve">= 0.95, yielding 2,000</w:t>
      </w:r>
      <w:r>
        <w:t xml:space="preserve"> </w:t>
      </w:r>
      <w:r>
        <w:t xml:space="preserve">draws per imputation and 100,000 pooled draws in total. We follow the workflow conventions of</w:t>
      </w:r>
      <w:r>
        <w:t xml:space="preserve"> </w:t>
      </w:r>
      <w:r>
        <w:t xml:space="preserve">Gabry et al. (</w:t>
      </w:r>
      <w:hyperlink w:anchor="ref-gabryworkflow2019">
        <w:r>
          <w:rPr>
            <w:rStyle w:val="Hyperlink"/>
          </w:rPr>
          <w:t xml:space="preserve">2019</w:t>
        </w:r>
      </w:hyperlink>
      <w:r>
        <w:t xml:space="preserve">)</w:t>
      </w:r>
      <w:r>
        <w:t xml:space="preserve"> </w:t>
      </w:r>
      <w:r>
        <w:t xml:space="preserve">and</w:t>
      </w:r>
      <w:r>
        <w:t xml:space="preserve"> </w:t>
      </w:r>
      <w:r>
        <w:t xml:space="preserve">Kruschke (</w:t>
      </w:r>
      <w:hyperlink w:anchor="ref-kruschke2014">
        <w:r>
          <w:rPr>
            <w:rStyle w:val="Hyperlink"/>
          </w:rPr>
          <w:t xml:space="preserve">2014</w:t>
        </w:r>
      </w:hyperlink>
      <w:r>
        <w:t xml:space="preserve">)</w:t>
      </w:r>
      <w:r>
        <w:t xml:space="preserve">.</w:t>
      </w:r>
      <w:r>
        <w:t xml:space="preserve"> </w:t>
      </w:r>
      <w:r>
        <w:t xml:space="preserve">Convergence is assessed by the rank-normalized split-</w:t>
      </w:r>
      <m:oMath>
        <m:acc>
          <m:accPr>
            <m:chr m:val="̂"/>
          </m:accPr>
          <m:e>
            <m:r>
              <m:t>R</m:t>
            </m:r>
          </m:e>
        </m:acc>
      </m:oMath>
      <w:r>
        <w:t xml:space="preserve"> </w:t>
      </w:r>
      <w:r>
        <w:t xml:space="preserve">(</w:t>
      </w:r>
      <w:hyperlink w:anchor="ref-vehtari2021rhat">
        <w:r>
          <w:rPr>
            <w:rStyle w:val="Hyperlink"/>
          </w:rPr>
          <w:t xml:space="preserve">Vehtari et al., 2021</w:t>
        </w:r>
      </w:hyperlink>
      <w:r>
        <w:t xml:space="preserve">)</w:t>
      </w:r>
      <w:r>
        <w:t xml:space="preserve"> </w:t>
      </w:r>
      <w:r>
        <w:t xml:space="preserve">and the effective sample size. Model fit is</w:t>
      </w:r>
      <w:r>
        <w:t xml:space="preserve"> </w:t>
      </w:r>
      <w:r>
        <w:t xml:space="preserve">assessed by posterior predictive checks</w:t>
      </w:r>
      <w:r>
        <w:t xml:space="preserve"> </w:t>
      </w:r>
      <w:r>
        <w:t xml:space="preserve">(</w:t>
      </w:r>
      <w:hyperlink w:anchor="ref-gelman1996ppc">
        <w:r>
          <w:rPr>
            <w:rStyle w:val="Hyperlink"/>
          </w:rPr>
          <w:t xml:space="preserve">Gelman et al., 1996</w:t>
        </w:r>
      </w:hyperlink>
      <w:r>
        <w:t xml:space="preserve">;</w:t>
      </w:r>
      <w:r>
        <w:t xml:space="preserve"> </w:t>
      </w:r>
      <w:hyperlink w:anchor="ref-gelman2013bda">
        <w:r>
          <w:rPr>
            <w:rStyle w:val="Hyperlink"/>
          </w:rPr>
          <w:t xml:space="preserve">Gelman et al., 2013</w:t>
        </w:r>
      </w:hyperlink>
      <w:r>
        <w:t xml:space="preserve">;</w:t>
      </w:r>
      <w:r>
        <w:t xml:space="preserve"> </w:t>
      </w:r>
      <w:hyperlink w:anchor="ref-meng1994posterior">
        <w:r>
          <w:rPr>
            <w:rStyle w:val="Hyperlink"/>
          </w:rPr>
          <w:t xml:space="preserve">Meng, 1994</w:t>
        </w:r>
      </w:hyperlink>
      <w:r>
        <w:t xml:space="preserve">;</w:t>
      </w:r>
      <w:r>
        <w:t xml:space="preserve"> </w:t>
      </w:r>
      <w:hyperlink w:anchor="ref-rubin1984bayesianly">
        <w:r>
          <w:rPr>
            <w:rStyle w:val="Hyperlink"/>
          </w:rPr>
          <w:t xml:space="preserve">Rubin, 1984</w:t>
        </w:r>
      </w:hyperlink>
      <w:r>
        <w:t xml:space="preserve">)</w:t>
      </w:r>
      <w:r>
        <w:t xml:space="preserve"> </w:t>
      </w:r>
      <w:r>
        <w:t xml:space="preserve">and out-of-sample agreement with held-out summaries. We report 95%</w:t>
      </w:r>
      <w:r>
        <w:t xml:space="preserve"> </w:t>
      </w:r>
      <w:r>
        <w:t xml:space="preserve">credible intervals for the substantive headline quantities (Black</w:t>
      </w:r>
      <w:r>
        <w:t xml:space="preserve"> </w:t>
      </w:r>
      <w:r>
        <w:t xml:space="preserve">shares, the Asian-to-Black ratio, cohort summaries in the validation</w:t>
      </w:r>
      <w:r>
        <w:t xml:space="preserve"> </w:t>
      </w:r>
      <w:r>
        <w:t xml:space="preserve">figures) and 90% credible intervals for the per-group parameters in</w:t>
      </w:r>
      <w:r>
        <w:t xml:space="preserve"> </w:t>
      </w:r>
      <w:r>
        <w:t xml:space="preserve">the diagnostic tables, following common convention in each setting.</w:t>
      </w:r>
      <w:r>
        <w:t xml:space="preserve"> </w:t>
      </w:r>
      <w:r>
        <w:t xml:space="preserve">All code and data are available (see the closing note).</w:t>
      </w:r>
    </w:p>
    <w:bookmarkEnd w:id="46"/>
    <w:bookmarkEnd w:id="47"/>
    <w:bookmarkStart w:id="75" w:name="results"/>
    <w:p>
      <w:pPr>
        <w:pStyle w:val="Heading1"/>
      </w:pPr>
      <w:r>
        <w:t xml:space="preserve">Results</w:t>
      </w:r>
    </w:p>
    <w:bookmarkStart w:id="51" w:name="fit-and-identification"/>
    <w:p>
      <w:pPr>
        <w:pStyle w:val="Heading2"/>
      </w:pPr>
      <w:r>
        <w:t xml:space="preserve">Fit and Identification</w:t>
      </w:r>
    </w:p>
    <w:p>
      <w:pPr>
        <w:pStyle w:val="FirstParagraph"/>
      </w:pPr>
      <w:r>
        <w:t xml:space="preserve">Per-imputation convergence diagnostics are in</w:t>
      </w:r>
      <w:r>
        <w:t xml:space="preserve"> </w:t>
      </w:r>
      <w:hyperlink w:anchor="tbl-diag">
        <w:r>
          <w:rPr>
            <w:rStyle w:val="Hyperlink"/>
          </w:rPr>
          <w:t xml:space="preserve">Table 2</w:t>
        </w:r>
      </w:hyperlink>
      <w:r>
        <w:t xml:space="preserve">. Raising</w:t>
      </w:r>
      <w:r>
        <w:t xml:space="preserve"> </w:t>
      </w:r>
      <w:r>
        <w:t xml:space="preserve">the HMC adaptation target to</w:t>
      </w:r>
      <w:r>
        <w:t xml:space="preserve"> </w:t>
      </w:r>
      <w:r>
        <w:rPr>
          <w:rStyle w:val="VerbatimChar"/>
        </w:rPr>
        <w:t xml:space="preserve">adapt_delta</w:t>
      </w:r>
      <w:r>
        <w:t xml:space="preserve"> </w:t>
      </w:r>
      <w:r>
        <w:t xml:space="preserve">= 0.95 from the</w:t>
      </w:r>
      <w:r>
        <w:t xml:space="preserve"> </w:t>
      </w:r>
      <w:r>
        <w:t xml:space="preserve">cmdstanr default of 0.8 cut the divergence count across the 50</w:t>
      </w:r>
      <w:r>
        <w:t xml:space="preserve"> </w:t>
      </w:r>
      <w:r>
        <w:t xml:space="preserve">imputations from a few hundred to around a dozen — well under 0.1% of</w:t>
      </w:r>
      <w:r>
        <w:t xml:space="preserve"> </w:t>
      </w:r>
      <w:r>
        <w:t xml:space="preserve">pooled iterations — without materially shifting the headline. The</w:t>
      </w:r>
      <w:r>
        <w:t xml:space="preserve"> </w:t>
      </w:r>
      <w:r>
        <w:t xml:space="preserve">worst-case</w:t>
      </w:r>
      <w:r>
        <w:t xml:space="preserve"> </w:t>
      </w:r>
      <m:oMath>
        <m:acc>
          <m:accPr>
            <m:chr m:val="̂"/>
          </m:accPr>
          <m:e>
            <m:r>
              <m:t>R</m:t>
            </m:r>
          </m:e>
        </m:acc>
      </m:oMath>
      <w:r>
        <w:t xml:space="preserve"> </w:t>
      </w:r>
      <w:r>
        <w:t xml:space="preserve">and ESS</w:t>
      </w:r>
      <w:r>
        <w:t xml:space="preserve"> </w:t>
      </w:r>
      <w:r>
        <w:t xml:space="preserve">(</w:t>
      </w:r>
      <w:hyperlink w:anchor="ref-vehtari2021rhat">
        <w:r>
          <w:rPr>
            <w:rStyle w:val="Hyperlink"/>
          </w:rPr>
          <w:t xml:space="preserve">Vehtari et al., 2021</w:t>
        </w:r>
      </w:hyperlink>
      <w:r>
        <w:t xml:space="preserve">)</w:t>
      </w:r>
      <w:r>
        <w:t xml:space="preserve"> </w:t>
      </w:r>
      <w:r>
        <w:t xml:space="preserve">across all 50</w:t>
      </w:r>
      <w:r>
        <w:t xml:space="preserve"> </w:t>
      </w:r>
      <w:r>
        <w:t xml:space="preserve">imputations sit slightly outside the conventional thresholds, with</w:t>
      </w:r>
      <w:r>
        <w:t xml:space="preserve"> </w:t>
      </w:r>
      <w:r>
        <w:t xml:space="preserve">the affected parameters concentrated at the top of the hierarchy</w:t>
      </w:r>
      <w:r>
        <w:t xml:space="preserve"> </w:t>
      </w:r>
      <w:r>
        <w:t xml:space="preserve">(the cross-group hyperparameter means) and in the No response</w:t>
      </w:r>
      <w:r>
        <w:t xml:space="preserve"> </w:t>
      </w:r>
      <w:r>
        <w:t xml:space="preserve">group. The per-cell quantities that bear on the headline</w:t>
      </w:r>
      <w:r>
        <w:t xml:space="preserve"> </w:t>
      </w:r>
      <w:r>
        <w:t xml:space="preserve">(</w:t>
      </w:r>
      <m:oMath>
        <m:sSub>
          <m:e>
            <m:r>
              <m:t>μ</m:t>
            </m:r>
          </m:e>
          <m:sub>
            <m:r>
              <m:t>r</m:t>
            </m:r>
            <m:r>
              <m:rPr>
                <m:sty m:val="p"/>
              </m:rPr>
              <m:t>,</m:t>
            </m:r>
            <m:r>
              <m:t>y</m:t>
            </m:r>
          </m:sub>
        </m:sSub>
      </m:oMath>
      <w:r>
        <w:t xml:space="preserve">,</w:t>
      </w:r>
      <w:r>
        <w:t xml:space="preserve"> </w:t>
      </w:r>
      <m:oMath>
        <m:sSub>
          <m:e>
            <m:r>
              <m:t>σ</m:t>
            </m:r>
          </m:e>
          <m:sub>
            <m:r>
              <m:t>r</m:t>
            </m:r>
            <m:r>
              <m:rPr>
                <m:sty m:val="p"/>
              </m:rPr>
              <m:t>,</m:t>
            </m:r>
            <m:r>
              <m:t>y</m:t>
            </m:r>
          </m:sub>
        </m:sSub>
      </m:oMath>
      <w:r>
        <w:t xml:space="preserve"> </w:t>
      </w:r>
      <w:r>
        <w:t xml:space="preserve">for the named groups) have ESS bulk in</w:t>
      </w:r>
      <w:r>
        <w:t xml:space="preserve"> </w:t>
      </w:r>
      <w:r>
        <w:t xml:space="preserve">the low thousands and</w:t>
      </w:r>
      <w:r>
        <w:t xml:space="preserve"> </w:t>
      </w:r>
      <m:oMath>
        <m:acc>
          <m:accPr>
            <m:chr m:val="̂"/>
          </m:accPr>
          <m:e>
            <m:r>
              <m:t>R</m:t>
            </m:r>
          </m:e>
        </m:acc>
      </m:oMath>
      <w:r>
        <w:t xml:space="preserve"> </w:t>
      </w:r>
      <w:r>
        <w:t xml:space="preserve">at most 1.01. We treat the</w:t>
      </w:r>
      <w:r>
        <w:t xml:space="preserve"> </w:t>
      </w:r>
      <w:r>
        <w:t xml:space="preserve">pooled posterior as well-resolved.</w:t>
      </w:r>
    </w:p>
    <w:tbl>
      <w:tblPr>
        <w:tblStyle w:val="Table"/>
        <w:tblW w:type="pct" w:w="5000"/>
        <w:tblLayout w:type="fixed"/>
        <w:tblLook w:firstRow="0" w:lastRow="0" w:firstColumn="0" w:lastColumn="0" w:noHBand="0" w:noVBand="0" w:val="0000"/>
      </w:tblPr>
      <w:tblGrid>
        <w:gridCol w:w="7920"/>
      </w:tblGrid>
      <w:tr>
        <w:tc>
          <w:tcPr/>
          <w:bookmarkStart w:id="48" w:name="tbl-diag"/>
          <w:p>
            <w:pPr>
              <w:jc w:val="center"/>
            </w:pPr>
            <w:pPr>
              <w:jc w:val="left"/>
              <w:spacing w:before="200"/>
              <w:pStyle w:val="ImageCaption"/>
            </w:pPr>
            <w:r>
              <w:t xml:space="preserve">Table 2:</w:t>
            </w:r>
            <w:r>
              <w:t xml:space="preserve"> </w:t>
            </w:r>
            <w:r>
              <w:rPr>
                <w:b/>
                <w:bCs/>
              </w:rPr>
              <w:t xml:space="preserve">Convergence Diagnostics across Imputations.</w:t>
            </w:r>
            <w:r>
              <w:t xml:space="preserve"> </w:t>
            </w:r>
            <w:r>
              <w:t xml:space="preserve">Aggregated across the M = 50 imputations. Maximum rank-normalized split-</w:t>
            </w:r>
            <m:oMath>
              <m:acc>
                <m:accPr>
                  <m:chr m:val="̂"/>
                </m:accPr>
                <m:e>
                  <m:r>
                    <m:t>R</m:t>
                  </m:r>
                </m:e>
              </m:acc>
            </m:oMath>
            <w:r>
              <w:t xml:space="preserve"> </w:t>
            </w:r>
            <w:r>
              <w:t xml:space="preserve">and minimum effective sample sizes are taken over per-imputation values; divergent transitions are summed.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Diagnostic</w:t>
                  </w:r>
                </w:p>
              </w:tc>
              <w:tc>
                <w:tcPr/>
                <w:p>
                  <w:pPr>
                    <w:pStyle w:val="Compact"/>
                    <w:jc w:val="right"/>
                    <w:jc w:val="center"/>
                  </w:pPr>
                  <w:r>
                    <w:t xml:space="preserve">Value</w:t>
                  </w:r>
                </w:p>
              </w:tc>
            </w:tr>
            <w:tr>
              <w:tc>
                <w:tcPr/>
                <w:p>
                  <w:pPr>
                    <w:pStyle w:val="Compact"/>
                    <w:jc w:val="left"/>
                    <w:jc w:val="center"/>
                  </w:pPr>
                  <w:r>
                    <w:t xml:space="preserve">Maximum rank-normalized split-</w:t>
                  </w:r>
                  <m:oMath>
                    <m:acc>
                      <m:accPr>
                        <m:chr m:val="̂"/>
                      </m:accPr>
                      <m:e>
                        <m:r>
                          <m:t>R</m:t>
                        </m:r>
                      </m:e>
                    </m:acc>
                  </m:oMath>
                  <w:r>
                    <w:t xml:space="preserve"> </w:t>
                  </w:r>
                  <w:r>
                    <w:t xml:space="preserve">across imputations</w:t>
                  </w:r>
                </w:p>
              </w:tc>
              <w:tc>
                <w:tcPr/>
                <w:p>
                  <w:pPr>
                    <w:pStyle w:val="Compact"/>
                    <w:jc w:val="right"/>
                    <w:jc w:val="center"/>
                  </w:pPr>
                  <w:r>
                    <w:t xml:space="preserve">1.017</w:t>
                  </w:r>
                </w:p>
              </w:tc>
            </w:tr>
            <w:tr>
              <w:tc>
                <w:tcPr/>
                <w:p>
                  <w:pPr>
                    <w:pStyle w:val="Compact"/>
                    <w:jc w:val="left"/>
                    <w:jc w:val="center"/>
                  </w:pPr>
                  <w:r>
                    <w:t xml:space="preserve">Minimum bulk effective sample size across imputations</w:t>
                  </w:r>
                </w:p>
              </w:tc>
              <w:tc>
                <w:tcPr/>
                <w:p>
                  <w:pPr>
                    <w:pStyle w:val="Compact"/>
                    <w:jc w:val="right"/>
                    <w:jc w:val="center"/>
                  </w:pPr>
                  <w:r>
                    <w:t xml:space="preserve">237</w:t>
                  </w:r>
                </w:p>
              </w:tc>
            </w:tr>
            <w:tr>
              <w:tc>
                <w:tcPr/>
                <w:p>
                  <w:pPr>
                    <w:pStyle w:val="Compact"/>
                    <w:jc w:val="left"/>
                    <w:jc w:val="center"/>
                  </w:pPr>
                  <w:r>
                    <w:t xml:space="preserve">Minimum tail effective sample size across imputations</w:t>
                  </w:r>
                </w:p>
              </w:tc>
              <w:tc>
                <w:tcPr/>
                <w:p>
                  <w:pPr>
                    <w:pStyle w:val="Compact"/>
                    <w:jc w:val="right"/>
                    <w:jc w:val="center"/>
                  </w:pPr>
                  <w:r>
                    <w:t xml:space="preserve">396</w:t>
                  </w:r>
                </w:p>
              </w:tc>
            </w:tr>
            <w:tr>
              <w:tc>
                <w:tcPr/>
                <w:p>
                  <w:pPr>
                    <w:pStyle w:val="Compact"/>
                    <w:jc w:val="left"/>
                    <w:jc w:val="center"/>
                  </w:pPr>
                  <w:r>
                    <w:t xml:space="preserve">Divergent transitions (of 100,000 pooled iterations)</w:t>
                  </w:r>
                </w:p>
              </w:tc>
              <w:tc>
                <w:tcPr/>
                <w:p>
                  <w:pPr>
                    <w:pStyle w:val="Compact"/>
                    <w:jc w:val="right"/>
                    <w:jc w:val="center"/>
                  </w:pPr>
                  <w:r>
                    <w:t xml:space="preserve">13</w:t>
                  </w:r>
                </w:p>
              </w:tc>
            </w:tr>
          </w:tbl>
          <w:bookmarkEnd w:id="48"/>
          <w:p/>
        </w:tc>
      </w:tr>
    </w:tbl>
    <w:p>
      <w:pPr>
        <w:pStyle w:val="BodyText"/>
      </w:pPr>
      <w:hyperlink w:anchor="tbl-diag-shape">
        <w:r>
          <w:rPr>
            <w:rStyle w:val="Hyperlink"/>
          </w:rPr>
          <w:t xml:space="preserve">Table 3</w:t>
        </w:r>
      </w:hyperlink>
      <w:r>
        <w:t xml:space="preserve"> </w:t>
      </w:r>
      <w:r>
        <w:t xml:space="preserve">gives per-parameter diagnostics for the cross-group</w:t>
      </w:r>
      <w:r>
        <w:t xml:space="preserve"> </w:t>
      </w:r>
      <w:r>
        <w:t xml:space="preserve">hyperparameter means and for the per-group tail-weights</w:t>
      </w:r>
      <w:r>
        <w:t xml:space="preserve"> </w:t>
      </w:r>
      <m:oMath>
        <m:sSub>
          <m:e>
            <m:r>
              <m:t>δ</m:t>
            </m:r>
          </m:e>
          <m:sub>
            <m:r>
              <m:t>r</m:t>
            </m:r>
          </m:sub>
        </m:sSub>
      </m:oMath>
      <w:r>
        <w:t xml:space="preserve"> </w:t>
      </w:r>
      <w:r>
        <w:t xml:space="preserve">and skewnesses</w:t>
      </w:r>
      <w:r>
        <w:t xml:space="preserve"> </w:t>
      </w:r>
      <m:oMath>
        <m:sSub>
          <m:e>
            <m:r>
              <m:t>ϵ</m:t>
            </m:r>
          </m:e>
          <m:sub>
            <m:r>
              <m:t>r</m:t>
            </m:r>
          </m:sub>
        </m:sSub>
      </m:oMath>
      <w:r>
        <w:t xml:space="preserve">. Across all 50 imputations the</w:t>
      </w:r>
      <w:r>
        <w:t xml:space="preserve"> </w:t>
      </w:r>
      <w:r>
        <w:t xml:space="preserve">per-group</w:t>
      </w:r>
      <w:r>
        <w:t xml:space="preserve"> </w:t>
      </w:r>
      <m:oMath>
        <m:sSub>
          <m:e>
            <m:r>
              <m:t>δ</m:t>
            </m:r>
          </m:e>
          <m:sub>
            <m:r>
              <m:t>r</m:t>
            </m:r>
          </m:sub>
        </m:sSub>
      </m:oMath>
      <w:r>
        <w:t xml:space="preserve"> </w:t>
      </w:r>
      <w:r>
        <w:t xml:space="preserve">and</w:t>
      </w:r>
      <w:r>
        <w:t xml:space="preserve"> </w:t>
      </w:r>
      <m:oMath>
        <m:sSub>
          <m:e>
            <m:r>
              <m:t>ϵ</m:t>
            </m:r>
          </m:e>
          <m:sub>
            <m:r>
              <m:t>r</m:t>
            </m:r>
          </m:sub>
        </m:sSub>
      </m:oMath>
      <w:r>
        <w:t xml:space="preserve"> </w:t>
      </w:r>
      <w:r>
        <w:t xml:space="preserve">have</w:t>
      </w:r>
      <w:r>
        <w:t xml:space="preserve"> </w:t>
      </w:r>
      <m:oMath>
        <m:acc>
          <m:accPr>
            <m:chr m:val="̂"/>
          </m:accPr>
          <m:e>
            <m:r>
              <m:t>R</m:t>
            </m:r>
          </m:e>
        </m:acc>
      </m:oMath>
      <w:r>
        <w:t xml:space="preserve"> </w:t>
      </w:r>
      <w:r>
        <w:t xml:space="preserve">at most</w:t>
      </w:r>
      <w:r>
        <w:t xml:space="preserve"> </w:t>
      </w:r>
      <w:r>
        <w:t xml:space="preserve">around 1.01 and bulk ESS comfortably in the hundreds. The</w:t>
      </w:r>
      <w:r>
        <w:t xml:space="preserve"> </w:t>
      </w:r>
      <w:r>
        <w:t xml:space="preserve">cross-group hyperparameter means mix slowest, with the worst-case</w:t>
      </w:r>
      <w:r>
        <w:t xml:space="preserve"> </w:t>
      </w:r>
      <m:oMath>
        <m:acc>
          <m:accPr>
            <m:chr m:val="̂"/>
          </m:accPr>
          <m:e>
            <m:r>
              <m:t>R</m:t>
            </m:r>
          </m:e>
        </m:acc>
      </m:oMath>
      <w:r>
        <w:t xml:space="preserve"> </w:t>
      </w:r>
      <w:r>
        <w:t xml:space="preserve">values sitting just above 1.01 and bulk ESS in the low</w:t>
      </w:r>
      <w:r>
        <w:t xml:space="preserve"> </w:t>
      </w:r>
      <w:r>
        <w:t xml:space="preserve">hundreds in the worst-mixing imputations; that slow mixing at the</w:t>
      </w:r>
      <w:r>
        <w:t xml:space="preserve"> </w:t>
      </w:r>
      <w:r>
        <w:t xml:space="preserve">top of the hierarchy does not propagate to the per-group skewnesses</w:t>
      </w:r>
      <w:r>
        <w:t xml:space="preserve"> </w:t>
      </w:r>
      <w:r>
        <w:t xml:space="preserve">and tail-weights underneath, the parameters that carry the</w:t>
      </w:r>
      <w:r>
        <w:t xml:space="preserve"> </w:t>
      </w:r>
      <w:r>
        <w:t xml:space="preserve">substantive between-group separation.</w:t>
      </w:r>
    </w:p>
    <w:tbl>
      <w:tblPr>
        <w:tblStyle w:val="Table"/>
        <w:tblW w:type="pct" w:w="5000"/>
        <w:tblLayout w:type="fixed"/>
        <w:tblLook w:firstRow="0" w:lastRow="0" w:firstColumn="0" w:lastColumn="0" w:noHBand="0" w:noVBand="0" w:val="0000"/>
      </w:tblPr>
      <w:tblGrid>
        <w:gridCol w:w="7920"/>
      </w:tblGrid>
      <w:tr>
        <w:tc>
          <w:tcPr/>
          <w:bookmarkStart w:id="49" w:name="tbl-diag-shape"/>
          <w:p>
            <w:pPr>
              <w:jc w:val="center"/>
            </w:pPr>
            <w:pPr>
              <w:jc w:val="left"/>
              <w:spacing w:before="200"/>
              <w:pStyle w:val="ImageCaption"/>
            </w:pPr>
            <w:r>
              <w:t xml:space="preserve">Table 3:</w:t>
            </w:r>
            <w:r>
              <w:t xml:space="preserve"> </w:t>
            </w:r>
            <w:r>
              <w:rPr>
                <w:b/>
                <w:bCs/>
              </w:rPr>
              <w:t xml:space="preserve">Per-Parameter Convergence Diagnostics.</w:t>
            </w:r>
            <w:r>
              <w:t xml:space="preserve"> </w:t>
            </w:r>
            <w:r>
              <w:t xml:space="preserve">Top-of-hierarchy hyperparameter means, plus the per-group skewnesses</w:t>
            </w:r>
            <w:r>
              <w:t xml:space="preserve"> </w:t>
            </w:r>
            <m:oMath>
              <m:sSub>
                <m:e>
                  <m:r>
                    <m:t>ϵ</m:t>
                  </m:r>
                </m:e>
                <m:sub>
                  <m:r>
                    <m:t>r</m:t>
                  </m:r>
                </m:sub>
              </m:sSub>
            </m:oMath>
            <w:r>
              <w:t xml:space="preserve"> </w:t>
            </w:r>
            <w:r>
              <w:t xml:space="preserve">and tail-weights</w:t>
            </w:r>
            <w:r>
              <w:t xml:space="preserve"> </w:t>
            </w:r>
            <m:oMath>
              <m:sSub>
                <m:e>
                  <m:r>
                    <m:t>δ</m:t>
                  </m:r>
                </m:e>
                <m:sub>
                  <m:r>
                    <m:t>r</m:t>
                  </m:r>
                </m:sub>
              </m:sSub>
            </m:oMath>
            <w:r>
              <w:t xml:space="preserve">. The remaining hierarchy parameters (</w:t>
            </w:r>
            <m:oMath>
              <m:sSub>
                <m:e>
                  <m:r>
                    <m:t>β</m:t>
                  </m:r>
                </m:e>
                <m:sub>
                  <m:r>
                    <m:t>σ</m:t>
                  </m:r>
                </m:sub>
              </m:sSub>
            </m:oMath>
            <w:r>
              <w:t xml:space="preserve"> </w:t>
            </w:r>
            <w:r>
              <w:t xml:space="preserve">and all hierarchy spreads</w:t>
            </w:r>
            <w:r>
              <w:t xml:space="preserve"> </w:t>
            </w:r>
            <m:oMath>
              <m:sSub>
                <m:e>
                  <m:r>
                    <m:t>τ</m:t>
                  </m:r>
                </m:e>
                <m:sub>
                  <m:r>
                    <m:rPr>
                      <m:sty m:val="p"/>
                    </m:rPr>
                    <m:t>•</m:t>
                  </m:r>
                </m:sub>
              </m:sSub>
            </m:oMath>
            <w:r>
              <w:t xml:space="preserve">) are well-resolved in every imputation and are captured by the aggregate maximum</w:t>
            </w:r>
            <w:r>
              <w:t xml:space="preserve"> </w:t>
            </w:r>
            <m:oMath>
              <m:acc>
                <m:accPr>
                  <m:chr m:val="̂"/>
                </m:accPr>
                <m:e>
                  <m:r>
                    <m:t>R</m:t>
                  </m:r>
                </m:e>
              </m:acc>
            </m:oMath>
            <w:r>
              <w:t xml:space="preserve"> </w:t>
            </w:r>
            <w:r>
              <w:t xml:space="preserve">in</w:t>
            </w:r>
            <w:r>
              <w:t xml:space="preserve"> </w:t>
            </w:r>
            <w:hyperlink w:anchor="tbl-diag">
              <w:r>
                <w:rPr>
                  <w:rStyle w:val="Hyperlink"/>
                </w:rPr>
                <w:t xml:space="preserve">Table 2</w:t>
              </w:r>
            </w:hyperlink>
            <w:r>
              <w:t xml:space="preserve">. Reported values are the worst case (maximum</w:t>
            </w:r>
            <w:r>
              <w:t xml:space="preserve"> </w:t>
            </w:r>
            <m:oMath>
              <m:acc>
                <m:accPr>
                  <m:chr m:val="̂"/>
                </m:accPr>
                <m:e>
                  <m:r>
                    <m:t>R</m:t>
                  </m:r>
                </m:e>
              </m:acc>
            </m:oMath>
            <w:r>
              <w:t xml:space="preserve">, minimum bulk ESS, minimum tail ESS) across the 50 imputations.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Parameter</w:t>
                  </w:r>
                </w:p>
              </w:tc>
              <w:tc>
                <w:tcPr/>
                <w:p>
                  <w:pPr>
                    <w:pStyle w:val="Compact"/>
                    <w:jc w:val="right"/>
                    <w:jc w:val="center"/>
                  </w:pPr>
                  <m:oMath>
                    <m:acc>
                      <m:accPr>
                        <m:chr m:val="̂"/>
                      </m:accPr>
                      <m:e>
                        <m:r>
                          <m:t>R</m:t>
                        </m:r>
                      </m:e>
                    </m:acc>
                  </m:oMath>
                </w:p>
              </w:tc>
              <w:tc>
                <w:tcPr/>
                <w:p>
                  <w:pPr>
                    <w:pStyle w:val="Compact"/>
                    <w:jc w:val="right"/>
                    <w:jc w:val="center"/>
                  </w:pPr>
                  <w:r>
                    <w:t xml:space="preserve">Bulk ESS</w:t>
                  </w:r>
                </w:p>
              </w:tc>
              <w:tc>
                <w:tcPr/>
                <w:p>
                  <w:pPr>
                    <w:pStyle w:val="Compact"/>
                    <w:jc w:val="right"/>
                    <w:jc w:val="center"/>
                  </w:pPr>
                  <w:r>
                    <w:t xml:space="preserve">Tail ESS</w:t>
                  </w:r>
                </w:p>
              </w:tc>
            </w:tr>
            <w:tr>
              <w:tc>
                <w:tcPr/>
                <w:p>
                  <w:pPr>
                    <w:pStyle w:val="Compact"/>
                    <w:jc w:val="left"/>
                    <w:jc w:val="center"/>
                  </w:pPr>
                  <m:oMath>
                    <m:sSub>
                      <m:e>
                        <m:r>
                          <m:t>β</m:t>
                        </m:r>
                      </m:e>
                      <m:sub>
                        <m:r>
                          <m:t>ϵ</m:t>
                        </m:r>
                      </m:sub>
                    </m:sSub>
                  </m:oMath>
                </w:p>
              </w:tc>
              <w:tc>
                <w:tcPr/>
                <w:p>
                  <w:pPr>
                    <w:pStyle w:val="Compact"/>
                    <w:jc w:val="right"/>
                    <w:jc w:val="center"/>
                  </w:pPr>
                  <w:r>
                    <w:t xml:space="preserve">1.014</w:t>
                  </w:r>
                </w:p>
              </w:tc>
              <w:tc>
                <w:tcPr/>
                <w:p>
                  <w:pPr>
                    <w:pStyle w:val="Compact"/>
                    <w:jc w:val="right"/>
                    <w:jc w:val="center"/>
                  </w:pPr>
                  <w:r>
                    <w:t xml:space="preserve">237</w:t>
                  </w:r>
                </w:p>
              </w:tc>
              <w:tc>
                <w:tcPr/>
                <w:p>
                  <w:pPr>
                    <w:pStyle w:val="Compact"/>
                    <w:jc w:val="right"/>
                    <w:jc w:val="center"/>
                  </w:pPr>
                  <w:r>
                    <w:t xml:space="preserve">445</w:t>
                  </w:r>
                </w:p>
              </w:tc>
            </w:tr>
            <w:tr>
              <w:tc>
                <w:tcPr/>
                <w:p>
                  <w:pPr>
                    <w:pStyle w:val="Compact"/>
                    <w:jc w:val="left"/>
                    <w:jc w:val="center"/>
                  </w:pPr>
                  <m:oMath>
                    <m:sSub>
                      <m:e>
                        <m:r>
                          <m:t>β</m:t>
                        </m:r>
                      </m:e>
                      <m:sub>
                        <m:r>
                          <m:t>δ</m:t>
                        </m:r>
                      </m:sub>
                    </m:sSub>
                  </m:oMath>
                </w:p>
              </w:tc>
              <w:tc>
                <w:tcPr/>
                <w:p>
                  <w:pPr>
                    <w:pStyle w:val="Compact"/>
                    <w:jc w:val="right"/>
                    <w:jc w:val="center"/>
                  </w:pPr>
                  <w:r>
                    <w:t xml:space="preserve">1.005</w:t>
                  </w:r>
                </w:p>
              </w:tc>
              <w:tc>
                <w:tcPr/>
                <w:p>
                  <w:pPr>
                    <w:pStyle w:val="Compact"/>
                    <w:jc w:val="right"/>
                    <w:jc w:val="center"/>
                  </w:pPr>
                  <w:r>
                    <w:t xml:space="preserve">826</w:t>
                  </w:r>
                </w:p>
              </w:tc>
              <w:tc>
                <w:tcPr/>
                <w:p>
                  <w:pPr>
                    <w:pStyle w:val="Compact"/>
                    <w:jc w:val="right"/>
                    <w:jc w:val="center"/>
                  </w:pPr>
                  <w:r>
                    <w:t xml:space="preserve">589</w:t>
                  </w:r>
                </w:p>
              </w:tc>
            </w:tr>
            <w:tr>
              <w:tc>
                <w:tcPr/>
                <w:p>
                  <w:pPr>
                    <w:pStyle w:val="Compact"/>
                    <w:jc w:val="left"/>
                    <w:jc w:val="center"/>
                  </w:pPr>
                  <m:oMath>
                    <m:sSub>
                      <m:e>
                        <m:r>
                          <m:t>β</m:t>
                        </m:r>
                      </m:e>
                      <m:sub>
                        <m:r>
                          <m:t>ϕ</m:t>
                        </m:r>
                      </m:sub>
                    </m:sSub>
                  </m:oMath>
                </w:p>
              </w:tc>
              <w:tc>
                <w:tcPr/>
                <w:p>
                  <w:pPr>
                    <w:pStyle w:val="Compact"/>
                    <w:jc w:val="right"/>
                    <w:jc w:val="center"/>
                  </w:pPr>
                  <w:r>
                    <w:t xml:space="preserve">1.017</w:t>
                  </w:r>
                </w:p>
              </w:tc>
              <w:tc>
                <w:tcPr/>
                <w:p>
                  <w:pPr>
                    <w:pStyle w:val="Compact"/>
                    <w:jc w:val="right"/>
                    <w:jc w:val="center"/>
                  </w:pPr>
                  <w:r>
                    <w:t xml:space="preserve">401</w:t>
                  </w:r>
                </w:p>
              </w:tc>
              <w:tc>
                <w:tcPr/>
                <w:p>
                  <w:pPr>
                    <w:pStyle w:val="Compact"/>
                    <w:jc w:val="right"/>
                    <w:jc w:val="center"/>
                  </w:pPr>
                  <w:r>
                    <w:t xml:space="preserve">580</w:t>
                  </w:r>
                </w:p>
              </w:tc>
            </w:tr>
            <w:tr>
              <w:tc>
                <w:tcPr/>
                <w:p>
                  <w:pPr>
                    <w:pStyle w:val="Compact"/>
                    <w:jc w:val="left"/>
                    <w:jc w:val="center"/>
                  </w:pPr>
                  <m:oMath>
                    <m:sSub>
                      <m:e>
                        <m:r>
                          <m:t>β</m:t>
                        </m:r>
                      </m:e>
                      <m:sub>
                        <m:sSub>
                          <m:e>
                            <m:r>
                              <m:t>τ</m:t>
                            </m:r>
                          </m:e>
                          <m:sub>
                            <m:r>
                              <m:t>η</m:t>
                            </m:r>
                          </m:sub>
                        </m:sSub>
                      </m:sub>
                    </m:sSub>
                  </m:oMath>
                </w:p>
              </w:tc>
              <w:tc>
                <w:tcPr/>
                <w:p>
                  <w:pPr>
                    <w:pStyle w:val="Compact"/>
                    <w:jc w:val="right"/>
                    <w:jc w:val="center"/>
                  </w:pPr>
                  <w:r>
                    <w:t xml:space="preserve">1.006</w:t>
                  </w:r>
                </w:p>
              </w:tc>
              <w:tc>
                <w:tcPr/>
                <w:p>
                  <w:pPr>
                    <w:pStyle w:val="Compact"/>
                    <w:jc w:val="right"/>
                    <w:jc w:val="center"/>
                  </w:pPr>
                  <w:r>
                    <w:t xml:space="preserve">664</w:t>
                  </w:r>
                </w:p>
              </w:tc>
              <w:tc>
                <w:tcPr/>
                <w:p>
                  <w:pPr>
                    <w:pStyle w:val="Compact"/>
                    <w:jc w:val="right"/>
                    <w:jc w:val="center"/>
                  </w:pPr>
                  <w:r>
                    <w:t xml:space="preserve">896</w:t>
                  </w:r>
                </w:p>
              </w:tc>
            </w:tr>
            <w:tr>
              <w:tc>
                <w:tcPr/>
                <w:p>
                  <w:pPr>
                    <w:pStyle w:val="Compact"/>
                    <w:jc w:val="left"/>
                    <w:jc w:val="center"/>
                  </w:pPr>
                  <m:oMath>
                    <m:sSub>
                      <m:e>
                        <m:r>
                          <m:t>β</m:t>
                        </m:r>
                      </m:e>
                      <m:sub>
                        <m:r>
                          <m:t>λ</m:t>
                        </m:r>
                      </m:sub>
                    </m:sSub>
                  </m:oMath>
                </w:p>
              </w:tc>
              <w:tc>
                <w:tcPr/>
                <w:p>
                  <w:pPr>
                    <w:pStyle w:val="Compact"/>
                    <w:jc w:val="right"/>
                    <w:jc w:val="center"/>
                  </w:pPr>
                  <w:r>
                    <w:t xml:space="preserve">1.005</w:t>
                  </w:r>
                </w:p>
              </w:tc>
              <w:tc>
                <w:tcPr/>
                <w:p>
                  <w:pPr>
                    <w:pStyle w:val="Compact"/>
                    <w:jc w:val="right"/>
                    <w:jc w:val="center"/>
                  </w:pPr>
                  <w:r>
                    <w:t xml:space="preserve">630</w:t>
                  </w:r>
                </w:p>
              </w:tc>
              <w:tc>
                <w:tcPr/>
                <w:p>
                  <w:pPr>
                    <w:pStyle w:val="Compact"/>
                    <w:jc w:val="right"/>
                    <w:jc w:val="center"/>
                  </w:pPr>
                  <w:r>
                    <w:t xml:space="preserve">396</w:t>
                  </w:r>
                </w:p>
              </w:tc>
            </w:tr>
            <w:tr>
              <w:tc>
                <w:tcPr/>
                <w:p>
                  <w:pPr>
                    <w:pStyle w:val="Compact"/>
                    <w:jc w:val="left"/>
                    <w:jc w:val="center"/>
                  </w:pPr>
                  <m:oMath>
                    <m:sSub>
                      <m:e>
                        <m:r>
                          <m:t>ϵ</m:t>
                        </m:r>
                      </m:e>
                      <m:sub>
                        <m:r>
                          <m:rPr>
                            <m:nor/>
                            <m:sty m:val="p"/>
                          </m:rPr>
                          <m:t>White</m:t>
                        </m:r>
                      </m:sub>
                    </m:sSub>
                  </m:oMath>
                </w:p>
              </w:tc>
              <w:tc>
                <w:tcPr/>
                <w:p>
                  <w:pPr>
                    <w:pStyle w:val="Compact"/>
                    <w:jc w:val="right"/>
                    <w:jc w:val="center"/>
                  </w:pPr>
                  <w:r>
                    <w:t xml:space="preserve">1.005</w:t>
                  </w:r>
                </w:p>
              </w:tc>
              <w:tc>
                <w:tcPr/>
                <w:p>
                  <w:pPr>
                    <w:pStyle w:val="Compact"/>
                    <w:jc w:val="right"/>
                    <w:jc w:val="center"/>
                  </w:pPr>
                  <w:r>
                    <w:t xml:space="preserve">1,661</w:t>
                  </w:r>
                </w:p>
              </w:tc>
              <w:tc>
                <w:tcPr/>
                <w:p>
                  <w:pPr>
                    <w:pStyle w:val="Compact"/>
                    <w:jc w:val="right"/>
                    <w:jc w:val="center"/>
                  </w:pPr>
                  <w:r>
                    <w:t xml:space="preserve">1,339</w:t>
                  </w:r>
                </w:p>
              </w:tc>
            </w:tr>
            <w:tr>
              <w:tc>
                <w:tcPr/>
                <w:p>
                  <w:pPr>
                    <w:pStyle w:val="Compact"/>
                    <w:jc w:val="left"/>
                    <w:jc w:val="center"/>
                  </w:pPr>
                  <m:oMath>
                    <m:sSub>
                      <m:e>
                        <m:r>
                          <m:t>ϵ</m:t>
                        </m:r>
                      </m:e>
                      <m:sub>
                        <m:r>
                          <m:rPr>
                            <m:nor/>
                            <m:sty m:val="p"/>
                          </m:rPr>
                          <m:t>Hispanic/Latino</m:t>
                        </m:r>
                      </m:sub>
                    </m:sSub>
                  </m:oMath>
                </w:p>
              </w:tc>
              <w:tc>
                <w:tcPr/>
                <w:p>
                  <w:pPr>
                    <w:pStyle w:val="Compact"/>
                    <w:jc w:val="right"/>
                    <w:jc w:val="center"/>
                  </w:pPr>
                  <w:r>
                    <w:t xml:space="preserve">1.003</w:t>
                  </w:r>
                </w:p>
              </w:tc>
              <w:tc>
                <w:tcPr/>
                <w:p>
                  <w:pPr>
                    <w:pStyle w:val="Compact"/>
                    <w:jc w:val="right"/>
                    <w:jc w:val="center"/>
                  </w:pPr>
                  <w:r>
                    <w:t xml:space="preserve">1,587</w:t>
                  </w:r>
                </w:p>
              </w:tc>
              <w:tc>
                <w:tcPr/>
                <w:p>
                  <w:pPr>
                    <w:pStyle w:val="Compact"/>
                    <w:jc w:val="right"/>
                    <w:jc w:val="center"/>
                  </w:pPr>
                  <w:r>
                    <w:t xml:space="preserve">1,106</w:t>
                  </w:r>
                </w:p>
              </w:tc>
            </w:tr>
            <w:tr>
              <w:tc>
                <w:tcPr/>
                <w:p>
                  <w:pPr>
                    <w:pStyle w:val="Compact"/>
                    <w:jc w:val="left"/>
                    <w:jc w:val="center"/>
                  </w:pPr>
                  <m:oMath>
                    <m:sSub>
                      <m:e>
                        <m:r>
                          <m:t>ϵ</m:t>
                        </m:r>
                      </m:e>
                      <m:sub>
                        <m:r>
                          <m:rPr>
                            <m:nor/>
                            <m:sty m:val="p"/>
                          </m:rPr>
                          <m:t>Black</m:t>
                        </m:r>
                      </m:sub>
                    </m:sSub>
                  </m:oMath>
                </w:p>
              </w:tc>
              <w:tc>
                <w:tcPr/>
                <w:p>
                  <w:pPr>
                    <w:pStyle w:val="Compact"/>
                    <w:jc w:val="right"/>
                    <w:jc w:val="center"/>
                  </w:pPr>
                  <w:r>
                    <w:t xml:space="preserve">1.002</w:t>
                  </w:r>
                </w:p>
              </w:tc>
              <w:tc>
                <w:tcPr/>
                <w:p>
                  <w:pPr>
                    <w:pStyle w:val="Compact"/>
                    <w:jc w:val="right"/>
                    <w:jc w:val="center"/>
                  </w:pPr>
                  <w:r>
                    <w:t xml:space="preserve">1,701</w:t>
                  </w:r>
                </w:p>
              </w:tc>
              <w:tc>
                <w:tcPr/>
                <w:p>
                  <w:pPr>
                    <w:pStyle w:val="Compact"/>
                    <w:jc w:val="right"/>
                    <w:jc w:val="center"/>
                  </w:pPr>
                  <w:r>
                    <w:t xml:space="preserve">1,504</w:t>
                  </w:r>
                </w:p>
              </w:tc>
            </w:tr>
            <w:tr>
              <w:tc>
                <w:tcPr/>
                <w:p>
                  <w:pPr>
                    <w:pStyle w:val="Compact"/>
                    <w:jc w:val="left"/>
                    <w:jc w:val="center"/>
                  </w:pPr>
                  <m:oMath>
                    <m:sSub>
                      <m:e>
                        <m:r>
                          <m:t>ϵ</m:t>
                        </m:r>
                      </m:e>
                      <m:sub>
                        <m:r>
                          <m:rPr>
                            <m:nor/>
                            <m:sty m:val="p"/>
                          </m:rPr>
                          <m:t>Asian</m:t>
                        </m:r>
                      </m:sub>
                    </m:sSub>
                  </m:oMath>
                </w:p>
              </w:tc>
              <w:tc>
                <w:tcPr/>
                <w:p>
                  <w:pPr>
                    <w:pStyle w:val="Compact"/>
                    <w:jc w:val="right"/>
                    <w:jc w:val="center"/>
                  </w:pPr>
                  <w:r>
                    <w:t xml:space="preserve">1.004</w:t>
                  </w:r>
                </w:p>
              </w:tc>
              <w:tc>
                <w:tcPr/>
                <w:p>
                  <w:pPr>
                    <w:pStyle w:val="Compact"/>
                    <w:jc w:val="right"/>
                    <w:jc w:val="center"/>
                  </w:pPr>
                  <w:r>
                    <w:t xml:space="preserve">637</w:t>
                  </w:r>
                </w:p>
              </w:tc>
              <w:tc>
                <w:tcPr/>
                <w:p>
                  <w:pPr>
                    <w:pStyle w:val="Compact"/>
                    <w:jc w:val="right"/>
                    <w:jc w:val="center"/>
                  </w:pPr>
                  <w:r>
                    <w:t xml:space="preserve">1,084</w:t>
                  </w:r>
                </w:p>
              </w:tc>
            </w:tr>
            <w:tr>
              <w:tc>
                <w:tcPr/>
                <w:p>
                  <w:pPr>
                    <w:pStyle w:val="Compact"/>
                    <w:jc w:val="left"/>
                    <w:jc w:val="center"/>
                  </w:pPr>
                  <m:oMath>
                    <m:sSub>
                      <m:e>
                        <m:r>
                          <m:t>ϵ</m:t>
                        </m:r>
                      </m:e>
                      <m:sub>
                        <m:r>
                          <m:rPr>
                            <m:nor/>
                            <m:sty m:val="p"/>
                          </m:rPr>
                          <m:t>Two or more</m:t>
                        </m:r>
                      </m:sub>
                    </m:sSub>
                  </m:oMath>
                </w:p>
              </w:tc>
              <w:tc>
                <w:tcPr/>
                <w:p>
                  <w:pPr>
                    <w:pStyle w:val="Compact"/>
                    <w:jc w:val="right"/>
                    <w:jc w:val="center"/>
                  </w:pPr>
                  <w:r>
                    <w:t xml:space="preserve">1.005</w:t>
                  </w:r>
                </w:p>
              </w:tc>
              <w:tc>
                <w:tcPr/>
                <w:p>
                  <w:pPr>
                    <w:pStyle w:val="Compact"/>
                    <w:jc w:val="right"/>
                    <w:jc w:val="center"/>
                  </w:pPr>
                  <w:r>
                    <w:t xml:space="preserve">1,403</w:t>
                  </w:r>
                </w:p>
              </w:tc>
              <w:tc>
                <w:tcPr/>
                <w:p>
                  <w:pPr>
                    <w:pStyle w:val="Compact"/>
                    <w:jc w:val="right"/>
                    <w:jc w:val="center"/>
                  </w:pPr>
                  <w:r>
                    <w:t xml:space="preserve">1,160</w:t>
                  </w:r>
                </w:p>
              </w:tc>
            </w:tr>
            <w:tr>
              <w:tc>
                <w:tcPr/>
                <w:p>
                  <w:pPr>
                    <w:pStyle w:val="Compact"/>
                    <w:jc w:val="left"/>
                    <w:jc w:val="center"/>
                  </w:pPr>
                  <m:oMath>
                    <m:sSub>
                      <m:e>
                        <m:r>
                          <m:t>ϵ</m:t>
                        </m:r>
                      </m:e>
                      <m:sub>
                        <m:r>
                          <m:rPr>
                            <m:nor/>
                            <m:sty m:val="p"/>
                          </m:rPr>
                          <m:t>Am. Indian</m:t>
                        </m:r>
                      </m:sub>
                    </m:sSub>
                  </m:oMath>
                </w:p>
              </w:tc>
              <w:tc>
                <w:tcPr/>
                <w:p>
                  <w:pPr>
                    <w:pStyle w:val="Compact"/>
                    <w:jc w:val="right"/>
                    <w:jc w:val="center"/>
                  </w:pPr>
                  <w:r>
                    <w:t xml:space="preserve">1.003</w:t>
                  </w:r>
                </w:p>
              </w:tc>
              <w:tc>
                <w:tcPr/>
                <w:p>
                  <w:pPr>
                    <w:pStyle w:val="Compact"/>
                    <w:jc w:val="right"/>
                    <w:jc w:val="center"/>
                  </w:pPr>
                  <w:r>
                    <w:t xml:space="preserve">1,659</w:t>
                  </w:r>
                </w:p>
              </w:tc>
              <w:tc>
                <w:tcPr/>
                <w:p>
                  <w:pPr>
                    <w:pStyle w:val="Compact"/>
                    <w:jc w:val="right"/>
                    <w:jc w:val="center"/>
                  </w:pPr>
                  <w:r>
                    <w:t xml:space="preserve">1,238</w:t>
                  </w:r>
                </w:p>
              </w:tc>
            </w:tr>
            <w:tr>
              <w:tc>
                <w:tcPr/>
                <w:p>
                  <w:pPr>
                    <w:pStyle w:val="Compact"/>
                    <w:jc w:val="left"/>
                    <w:jc w:val="center"/>
                  </w:pPr>
                  <m:oMath>
                    <m:sSub>
                      <m:e>
                        <m:r>
                          <m:t>ϵ</m:t>
                        </m:r>
                      </m:e>
                      <m:sub>
                        <m:r>
                          <m:rPr>
                            <m:nor/>
                            <m:sty m:val="p"/>
                          </m:rPr>
                          <m:t>Pacific Isl.</m:t>
                        </m:r>
                      </m:sub>
                    </m:sSub>
                  </m:oMath>
                </w:p>
              </w:tc>
              <w:tc>
                <w:tcPr/>
                <w:p>
                  <w:pPr>
                    <w:pStyle w:val="Compact"/>
                    <w:jc w:val="right"/>
                    <w:jc w:val="center"/>
                  </w:pPr>
                  <w:r>
                    <w:t xml:space="preserve">1.004</w:t>
                  </w:r>
                </w:p>
              </w:tc>
              <w:tc>
                <w:tcPr/>
                <w:p>
                  <w:pPr>
                    <w:pStyle w:val="Compact"/>
                    <w:jc w:val="right"/>
                    <w:jc w:val="center"/>
                  </w:pPr>
                  <w:r>
                    <w:t xml:space="preserve">1,563</w:t>
                  </w:r>
                </w:p>
              </w:tc>
              <w:tc>
                <w:tcPr/>
                <w:p>
                  <w:pPr>
                    <w:pStyle w:val="Compact"/>
                    <w:jc w:val="right"/>
                    <w:jc w:val="center"/>
                  </w:pPr>
                  <w:r>
                    <w:t xml:space="preserve">1,373</w:t>
                  </w:r>
                </w:p>
              </w:tc>
            </w:tr>
            <w:tr>
              <w:tc>
                <w:tcPr/>
                <w:p>
                  <w:pPr>
                    <w:pStyle w:val="Compact"/>
                    <w:jc w:val="left"/>
                    <w:jc w:val="center"/>
                  </w:pPr>
                  <m:oMath>
                    <m:sSub>
                      <m:e>
                        <m:r>
                          <m:t>ϵ</m:t>
                        </m:r>
                      </m:e>
                      <m:sub>
                        <m:r>
                          <m:rPr>
                            <m:nor/>
                            <m:sty m:val="p"/>
                          </m:rPr>
                          <m:t>No response</m:t>
                        </m:r>
                      </m:sub>
                    </m:sSub>
                  </m:oMath>
                </w:p>
              </w:tc>
              <w:tc>
                <w:tcPr/>
                <w:p>
                  <w:pPr>
                    <w:pStyle w:val="Compact"/>
                    <w:jc w:val="right"/>
                    <w:jc w:val="center"/>
                  </w:pPr>
                  <w:r>
                    <w:t xml:space="preserve">1.003</w:t>
                  </w:r>
                </w:p>
              </w:tc>
              <w:tc>
                <w:tcPr/>
                <w:p>
                  <w:pPr>
                    <w:pStyle w:val="Compact"/>
                    <w:jc w:val="right"/>
                    <w:jc w:val="center"/>
                  </w:pPr>
                  <w:r>
                    <w:t xml:space="preserve">1,062</w:t>
                  </w:r>
                </w:p>
              </w:tc>
              <w:tc>
                <w:tcPr/>
                <w:p>
                  <w:pPr>
                    <w:pStyle w:val="Compact"/>
                    <w:jc w:val="right"/>
                    <w:jc w:val="center"/>
                  </w:pPr>
                  <w:r>
                    <w:t xml:space="preserve">1,221</w:t>
                  </w:r>
                </w:p>
              </w:tc>
            </w:tr>
            <w:tr>
              <w:tc>
                <w:tcPr/>
                <w:p>
                  <w:pPr>
                    <w:pStyle w:val="Compact"/>
                    <w:jc w:val="left"/>
                    <w:jc w:val="center"/>
                  </w:pPr>
                  <m:oMath>
                    <m:sSub>
                      <m:e>
                        <m:r>
                          <m:t>δ</m:t>
                        </m:r>
                      </m:e>
                      <m:sub>
                        <m:r>
                          <m:rPr>
                            <m:nor/>
                            <m:sty m:val="p"/>
                          </m:rPr>
                          <m:t>White</m:t>
                        </m:r>
                      </m:sub>
                    </m:sSub>
                  </m:oMath>
                </w:p>
              </w:tc>
              <w:tc>
                <w:tcPr/>
                <w:p>
                  <w:pPr>
                    <w:pStyle w:val="Compact"/>
                    <w:jc w:val="right"/>
                    <w:jc w:val="center"/>
                  </w:pPr>
                  <w:r>
                    <w:t xml:space="preserve">1.004</w:t>
                  </w:r>
                </w:p>
              </w:tc>
              <w:tc>
                <w:tcPr/>
                <w:p>
                  <w:pPr>
                    <w:pStyle w:val="Compact"/>
                    <w:jc w:val="right"/>
                    <w:jc w:val="center"/>
                  </w:pPr>
                  <w:r>
                    <w:t xml:space="preserve">1,319</w:t>
                  </w:r>
                </w:p>
              </w:tc>
              <w:tc>
                <w:tcPr/>
                <w:p>
                  <w:pPr>
                    <w:pStyle w:val="Compact"/>
                    <w:jc w:val="right"/>
                    <w:jc w:val="center"/>
                  </w:pPr>
                  <w:r>
                    <w:t xml:space="preserve">1,258</w:t>
                  </w:r>
                </w:p>
              </w:tc>
            </w:tr>
            <w:tr>
              <w:tc>
                <w:tcPr/>
                <w:p>
                  <w:pPr>
                    <w:pStyle w:val="Compact"/>
                    <w:jc w:val="left"/>
                    <w:jc w:val="center"/>
                  </w:pPr>
                  <m:oMath>
                    <m:sSub>
                      <m:e>
                        <m:r>
                          <m:t>δ</m:t>
                        </m:r>
                      </m:e>
                      <m:sub>
                        <m:r>
                          <m:rPr>
                            <m:nor/>
                            <m:sty m:val="p"/>
                          </m:rPr>
                          <m:t>Hispanic/Latino</m:t>
                        </m:r>
                      </m:sub>
                    </m:sSub>
                  </m:oMath>
                </w:p>
              </w:tc>
              <w:tc>
                <w:tcPr/>
                <w:p>
                  <w:pPr>
                    <w:pStyle w:val="Compact"/>
                    <w:jc w:val="right"/>
                    <w:jc w:val="center"/>
                  </w:pPr>
                  <w:r>
                    <w:t xml:space="preserve">1.005</w:t>
                  </w:r>
                </w:p>
              </w:tc>
              <w:tc>
                <w:tcPr/>
                <w:p>
                  <w:pPr>
                    <w:pStyle w:val="Compact"/>
                    <w:jc w:val="right"/>
                    <w:jc w:val="center"/>
                  </w:pPr>
                  <w:r>
                    <w:t xml:space="preserve">923</w:t>
                  </w:r>
                </w:p>
              </w:tc>
              <w:tc>
                <w:tcPr/>
                <w:p>
                  <w:pPr>
                    <w:pStyle w:val="Compact"/>
                    <w:jc w:val="right"/>
                    <w:jc w:val="center"/>
                  </w:pPr>
                  <w:r>
                    <w:t xml:space="preserve">1,101</w:t>
                  </w:r>
                </w:p>
              </w:tc>
            </w:tr>
            <w:tr>
              <w:tc>
                <w:tcPr/>
                <w:p>
                  <w:pPr>
                    <w:pStyle w:val="Compact"/>
                    <w:jc w:val="left"/>
                    <w:jc w:val="center"/>
                  </w:pPr>
                  <m:oMath>
                    <m:sSub>
                      <m:e>
                        <m:r>
                          <m:t>δ</m:t>
                        </m:r>
                      </m:e>
                      <m:sub>
                        <m:r>
                          <m:rPr>
                            <m:nor/>
                            <m:sty m:val="p"/>
                          </m:rPr>
                          <m:t>Black</m:t>
                        </m:r>
                      </m:sub>
                    </m:sSub>
                  </m:oMath>
                </w:p>
              </w:tc>
              <w:tc>
                <w:tcPr/>
                <w:p>
                  <w:pPr>
                    <w:pStyle w:val="Compact"/>
                    <w:jc w:val="right"/>
                    <w:jc w:val="center"/>
                  </w:pPr>
                  <w:r>
                    <w:t xml:space="preserve">1.004</w:t>
                  </w:r>
                </w:p>
              </w:tc>
              <w:tc>
                <w:tcPr/>
                <w:p>
                  <w:pPr>
                    <w:pStyle w:val="Compact"/>
                    <w:jc w:val="right"/>
                    <w:jc w:val="center"/>
                  </w:pPr>
                  <w:r>
                    <w:t xml:space="preserve">1,073</w:t>
                  </w:r>
                </w:p>
              </w:tc>
              <w:tc>
                <w:tcPr/>
                <w:p>
                  <w:pPr>
                    <w:pStyle w:val="Compact"/>
                    <w:jc w:val="right"/>
                    <w:jc w:val="center"/>
                  </w:pPr>
                  <w:r>
                    <w:t xml:space="preserve">1,273</w:t>
                  </w:r>
                </w:p>
              </w:tc>
            </w:tr>
            <w:tr>
              <w:tc>
                <w:tcPr/>
                <w:p>
                  <w:pPr>
                    <w:pStyle w:val="Compact"/>
                    <w:jc w:val="left"/>
                    <w:jc w:val="center"/>
                  </w:pPr>
                  <m:oMath>
                    <m:sSub>
                      <m:e>
                        <m:r>
                          <m:t>δ</m:t>
                        </m:r>
                      </m:e>
                      <m:sub>
                        <m:r>
                          <m:rPr>
                            <m:nor/>
                            <m:sty m:val="p"/>
                          </m:rPr>
                          <m:t>Asian</m:t>
                        </m:r>
                      </m:sub>
                    </m:sSub>
                  </m:oMath>
                </w:p>
              </w:tc>
              <w:tc>
                <w:tcPr/>
                <w:p>
                  <w:pPr>
                    <w:pStyle w:val="Compact"/>
                    <w:jc w:val="right"/>
                    <w:jc w:val="center"/>
                  </w:pPr>
                  <w:r>
                    <w:t xml:space="preserve">1.004</w:t>
                  </w:r>
                </w:p>
              </w:tc>
              <w:tc>
                <w:tcPr/>
                <w:p>
                  <w:pPr>
                    <w:pStyle w:val="Compact"/>
                    <w:jc w:val="right"/>
                    <w:jc w:val="center"/>
                  </w:pPr>
                  <w:r>
                    <w:t xml:space="preserve">574</w:t>
                  </w:r>
                </w:p>
              </w:tc>
              <w:tc>
                <w:tcPr/>
                <w:p>
                  <w:pPr>
                    <w:pStyle w:val="Compact"/>
                    <w:jc w:val="right"/>
                    <w:jc w:val="center"/>
                  </w:pPr>
                  <w:r>
                    <w:t xml:space="preserve">1,155</w:t>
                  </w:r>
                </w:p>
              </w:tc>
            </w:tr>
            <w:tr>
              <w:tc>
                <w:tcPr/>
                <w:p>
                  <w:pPr>
                    <w:pStyle w:val="Compact"/>
                    <w:jc w:val="left"/>
                    <w:jc w:val="center"/>
                  </w:pPr>
                  <m:oMath>
                    <m:sSub>
                      <m:e>
                        <m:r>
                          <m:t>δ</m:t>
                        </m:r>
                      </m:e>
                      <m:sub>
                        <m:r>
                          <m:rPr>
                            <m:nor/>
                            <m:sty m:val="p"/>
                          </m:rPr>
                          <m:t>Two or more</m:t>
                        </m:r>
                      </m:sub>
                    </m:sSub>
                  </m:oMath>
                </w:p>
              </w:tc>
              <w:tc>
                <w:tcPr/>
                <w:p>
                  <w:pPr>
                    <w:pStyle w:val="Compact"/>
                    <w:jc w:val="right"/>
                    <w:jc w:val="center"/>
                  </w:pPr>
                  <w:r>
                    <w:t xml:space="preserve">1.004</w:t>
                  </w:r>
                </w:p>
              </w:tc>
              <w:tc>
                <w:tcPr/>
                <w:p>
                  <w:pPr>
                    <w:pStyle w:val="Compact"/>
                    <w:jc w:val="right"/>
                    <w:jc w:val="center"/>
                  </w:pPr>
                  <w:r>
                    <w:t xml:space="preserve">1,071</w:t>
                  </w:r>
                </w:p>
              </w:tc>
              <w:tc>
                <w:tcPr/>
                <w:p>
                  <w:pPr>
                    <w:pStyle w:val="Compact"/>
                    <w:jc w:val="right"/>
                    <w:jc w:val="center"/>
                  </w:pPr>
                  <w:r>
                    <w:t xml:space="preserve">1,217</w:t>
                  </w:r>
                </w:p>
              </w:tc>
            </w:tr>
            <w:tr>
              <w:tc>
                <w:tcPr/>
                <w:p>
                  <w:pPr>
                    <w:pStyle w:val="Compact"/>
                    <w:jc w:val="left"/>
                    <w:jc w:val="center"/>
                  </w:pPr>
                  <m:oMath>
                    <m:sSub>
                      <m:e>
                        <m:r>
                          <m:t>δ</m:t>
                        </m:r>
                      </m:e>
                      <m:sub>
                        <m:r>
                          <m:rPr>
                            <m:nor/>
                            <m:sty m:val="p"/>
                          </m:rPr>
                          <m:t>Am. Indian</m:t>
                        </m:r>
                      </m:sub>
                    </m:sSub>
                  </m:oMath>
                </w:p>
              </w:tc>
              <w:tc>
                <w:tcPr/>
                <w:p>
                  <w:pPr>
                    <w:pStyle w:val="Compact"/>
                    <w:jc w:val="right"/>
                    <w:jc w:val="center"/>
                  </w:pPr>
                  <w:r>
                    <w:t xml:space="preserve">1.004</w:t>
                  </w:r>
                </w:p>
              </w:tc>
              <w:tc>
                <w:tcPr/>
                <w:p>
                  <w:pPr>
                    <w:pStyle w:val="Compact"/>
                    <w:jc w:val="right"/>
                    <w:jc w:val="center"/>
                  </w:pPr>
                  <w:r>
                    <w:t xml:space="preserve">1,645</w:t>
                  </w:r>
                </w:p>
              </w:tc>
              <w:tc>
                <w:tcPr/>
                <w:p>
                  <w:pPr>
                    <w:pStyle w:val="Compact"/>
                    <w:jc w:val="right"/>
                    <w:jc w:val="center"/>
                  </w:pPr>
                  <w:r>
                    <w:t xml:space="preserve">1,240</w:t>
                  </w:r>
                </w:p>
              </w:tc>
            </w:tr>
            <w:tr>
              <w:tc>
                <w:tcPr/>
                <w:p>
                  <w:pPr>
                    <w:pStyle w:val="Compact"/>
                    <w:jc w:val="left"/>
                    <w:jc w:val="center"/>
                  </w:pPr>
                  <m:oMath>
                    <m:sSub>
                      <m:e>
                        <m:r>
                          <m:t>δ</m:t>
                        </m:r>
                      </m:e>
                      <m:sub>
                        <m:r>
                          <m:rPr>
                            <m:nor/>
                            <m:sty m:val="p"/>
                          </m:rPr>
                          <m:t>Pacific Isl.</m:t>
                        </m:r>
                      </m:sub>
                    </m:sSub>
                  </m:oMath>
                </w:p>
              </w:tc>
              <w:tc>
                <w:tcPr/>
                <w:p>
                  <w:pPr>
                    <w:pStyle w:val="Compact"/>
                    <w:jc w:val="right"/>
                    <w:jc w:val="center"/>
                  </w:pPr>
                  <w:r>
                    <w:t xml:space="preserve">1.003</w:t>
                  </w:r>
                </w:p>
              </w:tc>
              <w:tc>
                <w:tcPr/>
                <w:p>
                  <w:pPr>
                    <w:pStyle w:val="Compact"/>
                    <w:jc w:val="right"/>
                    <w:jc w:val="center"/>
                  </w:pPr>
                  <w:r>
                    <w:t xml:space="preserve">1,455</w:t>
                  </w:r>
                </w:p>
              </w:tc>
              <w:tc>
                <w:tcPr/>
                <w:p>
                  <w:pPr>
                    <w:pStyle w:val="Compact"/>
                    <w:jc w:val="right"/>
                    <w:jc w:val="center"/>
                  </w:pPr>
                  <w:r>
                    <w:t xml:space="preserve">1,269</w:t>
                  </w:r>
                </w:p>
              </w:tc>
            </w:tr>
            <w:tr>
              <w:tc>
                <w:tcPr/>
                <w:p>
                  <w:pPr>
                    <w:pStyle w:val="Compact"/>
                    <w:jc w:val="left"/>
                    <w:jc w:val="center"/>
                  </w:pPr>
                  <m:oMath>
                    <m:sSub>
                      <m:e>
                        <m:r>
                          <m:t>δ</m:t>
                        </m:r>
                      </m:e>
                      <m:sub>
                        <m:r>
                          <m:rPr>
                            <m:nor/>
                            <m:sty m:val="p"/>
                          </m:rPr>
                          <m:t>No response</m:t>
                        </m:r>
                      </m:sub>
                    </m:sSub>
                  </m:oMath>
                </w:p>
              </w:tc>
              <w:tc>
                <w:tcPr/>
                <w:p>
                  <w:pPr>
                    <w:pStyle w:val="Compact"/>
                    <w:jc w:val="right"/>
                    <w:jc w:val="center"/>
                  </w:pPr>
                  <w:r>
                    <w:t xml:space="preserve">1.010</w:t>
                  </w:r>
                </w:p>
              </w:tc>
              <w:tc>
                <w:tcPr/>
                <w:p>
                  <w:pPr>
                    <w:pStyle w:val="Compact"/>
                    <w:jc w:val="right"/>
                    <w:jc w:val="center"/>
                  </w:pPr>
                  <w:r>
                    <w:t xml:space="preserve">546</w:t>
                  </w:r>
                </w:p>
              </w:tc>
              <w:tc>
                <w:tcPr/>
                <w:p>
                  <w:pPr>
                    <w:pStyle w:val="Compact"/>
                    <w:jc w:val="right"/>
                    <w:jc w:val="center"/>
                  </w:pPr>
                  <w:r>
                    <w:t xml:space="preserve">522</w:t>
                  </w:r>
                </w:p>
              </w:tc>
            </w:tr>
          </w:tbl>
          <w:bookmarkEnd w:id="49"/>
          <w:p/>
        </w:tc>
      </w:tr>
    </w:tbl>
    <w:p>
      <w:pPr>
        <w:pStyle w:val="BodyText"/>
      </w:pPr>
      <w:r>
        <w:t xml:space="preserve">The common scale-trend rate posterior median is small and positive,</w:t>
      </w:r>
      <w:r>
        <w:t xml:space="preserve"> </w:t>
      </w:r>
      <w:r>
        <w:t xml:space="preserve">implying a scale roughly 10% wider in 2025 than</w:t>
      </w:r>
      <w:r>
        <w:t xml:space="preserve"> </w:t>
      </w:r>
      <w:r>
        <w:t xml:space="preserve">in 2018, with the per-group rates in a narrow band around it and the</w:t>
      </w:r>
      <w:r>
        <w:t xml:space="preserve"> </w:t>
      </w:r>
      <w:r>
        <w:t xml:space="preserve">per-cell residuals small (per-group scale-residual SDs on the order</w:t>
      </w:r>
      <w:r>
        <w:t xml:space="preserve"> </w:t>
      </w:r>
      <w:r>
        <w:t xml:space="preserve">of one percent of the cell scale). The per-group Dirichlet</w:t>
      </w:r>
      <w:r>
        <w:t xml:space="preserve"> </w:t>
      </w:r>
      <w:r>
        <w:t xml:space="preserve">concentrations imply a band-proportion scatter of about</w:t>
      </w:r>
      <w:r>
        <w:t xml:space="preserve"> </w:t>
      </w:r>
      <w:r>
        <w:t xml:space="preserve">2 percentage points. With rounding noise handled</w:t>
      </w:r>
      <w:r>
        <w:t xml:space="preserve"> </w:t>
      </w:r>
      <w:r>
        <w:t xml:space="preserve">upstream by the imputation layer, this residual scatter is the</w:t>
      </w:r>
      <w:r>
        <w:t xml:space="preserve"> </w:t>
      </w:r>
      <w:r>
        <w:t xml:space="preserve">year-to-year shape drift the year-constant skewness and tail-weight</w:t>
      </w:r>
      <w:r>
        <w:t xml:space="preserve"> </w:t>
      </w:r>
      <w:r>
        <w:t xml:space="preserve">cannot absorb.</w:t>
      </w:r>
    </w:p>
    <w:p>
      <w:pPr>
        <w:pStyle w:val="BodyText"/>
      </w:pPr>
      <w:hyperlink w:anchor="tbl-params">
        <w:r>
          <w:rPr>
            <w:rStyle w:val="Hyperlink"/>
          </w:rPr>
          <w:t xml:space="preserve">Table 4</w:t>
        </w:r>
      </w:hyperlink>
      <w:r>
        <w:t xml:space="preserve"> </w:t>
      </w:r>
      <w:r>
        <w:t xml:space="preserve">gives the per-group parameters. Scales span</w:t>
      </w:r>
      <w:r>
        <w:t xml:space="preserve"> </w:t>
      </w:r>
      <w:r>
        <w:t xml:space="preserve">approximately 188–276 across the seven named groups. The per-group</w:t>
      </w:r>
      <w:r>
        <w:t xml:space="preserve"> </w:t>
      </w:r>
      <w:r>
        <w:t xml:space="preserve">tail-weights all sit just above one, so the tails are nearly</w:t>
      </w:r>
      <w:r>
        <w:t xml:space="preserve"> </w:t>
      </w:r>
      <w:r>
        <w:t xml:space="preserve">Gaussian for every group. What</w:t>
      </w:r>
      <w:r>
        <w:t xml:space="preserve"> </w:t>
      </w:r>
      <w:r>
        <w:t xml:space="preserve">separates the groups is the skewness: small but positive for White</w:t>
      </w:r>
      <w:r>
        <w:t xml:space="preserve"> </w:t>
      </w:r>
      <w:r>
        <w:t xml:space="preserve">(about 0.06), slightly negative for Asian (concentrated near the</w:t>
      </w:r>
      <w:r>
        <w:t xml:space="preserve"> </w:t>
      </w:r>
      <w:r>
        <w:t xml:space="preserve">1600 ceiling, with a left-trailing tail), and approximately 0.4–0.5</w:t>
      </w:r>
      <w:r>
        <w:t xml:space="preserve"> </w:t>
      </w:r>
      <w:r>
        <w:t xml:space="preserve">for the lower-mean groups (a dense lower bulk with a thin tail of</w:t>
      </w:r>
      <w:r>
        <w:t xml:space="preserve"> </w:t>
      </w:r>
      <w:r>
        <w:t xml:space="preserve">high scorers). The scale-growth rates are all small and similar. The differences in</w:t>
      </w:r>
      <w:r>
        <w:t xml:space="preserve"> </w:t>
      </w:r>
      <w:r>
        <w:rPr>
          <w:i/>
          <w:iCs/>
        </w:rPr>
        <w:t xml:space="preserve">shape</w:t>
      </w:r>
      <w:r>
        <w:t xml:space="preserve"> </w:t>
      </w:r>
      <w:r>
        <w:t xml:space="preserve">across groups</w:t>
      </w:r>
      <w:r>
        <w:t xml:space="preserve"> </w:t>
      </w:r>
      <w:r>
        <w:t xml:space="preserve">are therefore modest. The large disparities in the</w:t>
      </w:r>
      <w:r>
        <w:t xml:space="preserve"> </w:t>
      </w:r>
      <w:r>
        <w:rPr>
          <w:i/>
          <w:iCs/>
        </w:rPr>
        <w:t xml:space="preserve">composition</w:t>
      </w:r>
      <w:r>
        <w:t xml:space="preserve"> </w:t>
      </w:r>
      <w:r>
        <w:t xml:space="preserve">of</w:t>
      </w:r>
      <w:r>
        <w:t xml:space="preserve"> </w:t>
      </w:r>
      <w:r>
        <w:t xml:space="preserve">the high-scoring pool seen below are not the product of any group</w:t>
      </w:r>
      <w:r>
        <w:t xml:space="preserve"> </w:t>
      </w:r>
      <w:r>
        <w:t xml:space="preserve">having an exotic distribution, but the ordinary tail-divergence</w:t>
      </w:r>
      <w:r>
        <w:t xml:space="preserve"> </w:t>
      </w:r>
      <w:r>
        <w:t xml:space="preserve">consequence of the differences in means, which the model recovers</w:t>
      </w:r>
      <w:r>
        <w:t xml:space="preserve"> </w:t>
      </w:r>
      <w:r>
        <w:t xml:space="preserve">from the band data alone (the published means play no part).</w:t>
      </w:r>
    </w:p>
    <w:tbl>
      <w:tblPr>
        <w:tblStyle w:val="Table"/>
        <w:tblW w:type="pct" w:w="5000"/>
        <w:tblLayout w:type="fixed"/>
        <w:tblLook w:firstRow="0" w:lastRow="0" w:firstColumn="0" w:lastColumn="0" w:noHBand="0" w:noVBand="0" w:val="0000"/>
      </w:tblPr>
      <w:tblGrid>
        <w:gridCol w:w="7920"/>
      </w:tblGrid>
      <w:tr>
        <w:tc>
          <w:tcPr/>
          <w:bookmarkStart w:id="50" w:name="tbl-params"/>
          <w:p>
            <w:pPr>
              <w:jc w:val="center"/>
            </w:pPr>
            <w:pPr>
              <w:jc w:val="left"/>
              <w:spacing w:before="200"/>
              <w:pStyle w:val="ImageCaption"/>
            </w:pPr>
            <w:r>
              <w:t xml:space="preserve">Table 4:</w:t>
            </w:r>
            <w:r>
              <w:t xml:space="preserve"> </w:t>
            </w:r>
            <w:r>
              <w:rPr>
                <w:b/>
                <w:bCs/>
              </w:rPr>
              <w:t xml:space="preserve">Per-Group Posterior Parameters for the Seven Named Groups.</w:t>
            </w:r>
            <w:r>
              <w:t xml:space="preserve"> </w:t>
            </w:r>
            <w:r>
              <w:t xml:space="preserve">Each cell shows the posterior median with the 90% credible interval in brackets.</w:t>
            </w:r>
            <w:r>
              <w:t xml:space="preserve"> </w:t>
            </w:r>
            <m:oMath>
              <m:sSub>
                <m:e>
                  <m:r>
                    <m:t>σ</m:t>
                  </m:r>
                </m:e>
                <m:sub>
                  <m:r>
                    <m:t>r</m:t>
                  </m:r>
                </m:sub>
              </m:sSub>
            </m:oMath>
            <w:r>
              <w:t xml:space="preserve"> </w:t>
            </w:r>
            <w:r>
              <w:t xml:space="preserve">is the mid-period scale;</w:t>
            </w:r>
            <w:r>
              <w:t xml:space="preserve"> </w:t>
            </w:r>
            <m:oMath>
              <m:sSub>
                <m:e>
                  <m:r>
                    <m:t>ϵ</m:t>
                  </m:r>
                </m:e>
                <m:sub>
                  <m:r>
                    <m:t>r</m:t>
                  </m:r>
                </m:sub>
              </m:sSub>
            </m:oMath>
            <w:r>
              <w:t xml:space="preserve"> </w:t>
            </w:r>
            <w:r>
              <w:t xml:space="preserve">the (year-constant) skewness;</w:t>
            </w:r>
            <w:r>
              <w:t xml:space="preserve"> </w:t>
            </w:r>
            <m:oMath>
              <m:sSub>
                <m:e>
                  <m:r>
                    <m:t>δ</m:t>
                  </m:r>
                </m:e>
                <m:sub>
                  <m:r>
                    <m:t>r</m:t>
                  </m:r>
                </m:sub>
              </m:sSub>
            </m:oMath>
            <w:r>
              <w:t xml:space="preserve"> </w:t>
            </w:r>
            <w:r>
              <w:t xml:space="preserve">the (year-constant) tail-weight;</w:t>
            </w:r>
            <w:r>
              <w:t xml:space="preserve"> </w:t>
            </w:r>
            <m:oMath>
              <m:sSub>
                <m:e>
                  <m:r>
                    <m:t>λ</m:t>
                  </m:r>
                </m:e>
                <m:sub>
                  <m:r>
                    <m:t>r</m:t>
                  </m:r>
                </m:sub>
              </m:sSub>
            </m:oMath>
            <w:r>
              <w:t xml:space="preserve"> </w:t>
            </w:r>
            <w:r>
              <w:t xml:space="preserve">the scale-growth rate, with</w:t>
            </w:r>
            <w:r>
              <w:t xml:space="preserve"> </w:t>
            </w:r>
            <m:oMath>
              <m:sSub>
                <m:e>
                  <m:r>
                    <m:t>σ</m:t>
                  </m:r>
                </m:e>
                <m:sub>
                  <m:r>
                    <m:t>r</m:t>
                  </m:r>
                  <m:r>
                    <m:rPr>
                      <m:sty m:val="p"/>
                    </m:rPr>
                    <m:t>,</m:t>
                  </m:r>
                  <m:r>
                    <m:t>y</m:t>
                  </m:r>
                </m:sub>
              </m:sSub>
              <m:r>
                <m:rPr>
                  <m:sty m:val="p"/>
                </m:rPr>
                <m:t>=</m:t>
              </m:r>
              <m:sSub>
                <m:e>
                  <m:r>
                    <m:t>σ</m:t>
                  </m:r>
                </m:e>
                <m:sub>
                  <m:r>
                    <m:t>r</m:t>
                  </m:r>
                </m:sub>
              </m:sSub>
              <m:r>
                <m:rPr>
                  <m:sty m:val="p"/>
                </m:rPr>
                <m:t>exp</m:t>
              </m:r>
              <m:d>
                <m:dPr>
                  <m:begChr m:val="("/>
                  <m:sepChr m:val=""/>
                  <m:endChr m:val=")"/>
                  <m:grow/>
                </m:dPr>
                <m:e>
                  <m:sSub>
                    <m:e>
                      <m:r>
                        <m:t>λ</m:t>
                      </m:r>
                    </m:e>
                    <m:sub>
                      <m:r>
                        <m:t>r</m:t>
                      </m:r>
                    </m:sub>
                  </m:sSub>
                  <m:sSub>
                    <m:e>
                      <m:r>
                        <m:t>z</m:t>
                      </m:r>
                    </m:e>
                    <m:sub>
                      <m:r>
                        <m:t>y</m:t>
                      </m:r>
                    </m:sub>
                  </m:sSub>
                  <m:r>
                    <m:rPr>
                      <m:sty m:val="p"/>
                    </m:rPr>
                    <m:t>+</m:t>
                  </m:r>
                  <m:sSub>
                    <m:e>
                      <m:r>
                        <m:t>η</m:t>
                      </m:r>
                    </m:e>
                    <m:sub>
                      <m:r>
                        <m:t>r</m:t>
                      </m:r>
                      <m:r>
                        <m:rPr>
                          <m:sty m:val="p"/>
                        </m:rPr>
                        <m:t>,</m:t>
                      </m:r>
                      <m:r>
                        <m:t>y</m:t>
                      </m:r>
                    </m:sub>
                  </m:sSub>
                </m:e>
              </m:d>
            </m:oMath>
            <w:r>
              <w:t xml:space="preserve">. The No response group is in the same skewness, tail-weight, and concentration hierarchies as the named groups (with</w:t>
            </w:r>
            <w:r>
              <w:t xml:space="preserve"> </w:t>
            </w:r>
            <m:oMath>
              <m:sSub>
                <m:e>
                  <m:r>
                    <m:t>δ</m:t>
                  </m:r>
                </m:e>
                <m:sub>
                  <m:r>
                    <m:rPr>
                      <m:nor/>
                      <m:sty m:val="p"/>
                    </m:rPr>
                    <m:t>NR</m:t>
                  </m:r>
                </m:sub>
              </m:sSub>
              <m:r>
                <m:rPr>
                  <m:sty m:val="p"/>
                </m:rPr>
                <m:t>≈</m:t>
              </m:r>
              <m:r>
                <m:t>1.13</m:t>
              </m:r>
            </m:oMath>
            <w:r>
              <w:t xml:space="preserve">, comparable to the named-group range), but its scale is free per year rather than parameterized by a</w:t>
            </w:r>
            <w:r>
              <w:t xml:space="preserve"> </w:t>
            </w:r>
            <m:oMath>
              <m:d>
                <m:dPr>
                  <m:begChr m:val="("/>
                  <m:sepChr m:val=""/>
                  <m:endChr m:val=")"/>
                  <m:grow/>
                </m:dPr>
                <m:e>
                  <m:sSub>
                    <m:e>
                      <m:r>
                        <m:t>σ</m:t>
                      </m:r>
                    </m:e>
                    <m:sub>
                      <m:r>
                        <m:t>r</m:t>
                      </m:r>
                    </m:sub>
                  </m:sSub>
                  <m:r>
                    <m:rPr>
                      <m:sty m:val="p"/>
                    </m:rPr>
                    <m:t>,</m:t>
                  </m:r>
                  <m:sSub>
                    <m:e>
                      <m:r>
                        <m:t>λ</m:t>
                      </m:r>
                    </m:e>
                    <m:sub>
                      <m:r>
                        <m:t>r</m:t>
                      </m:r>
                    </m:sub>
                  </m:sSub>
                </m:e>
              </m:d>
            </m:oMath>
            <w:r>
              <w:t xml:space="preserve"> </w:t>
            </w:r>
            <w:r>
              <w:t xml:space="preserve">pair (see Methods) and so it is not shown here.</w:t>
            </w:r>
          </w:p>
          <w:tbl>
            <w:tblPr>
              <w:tblStyle w:val="Table"/>
              <w:tblW w:type="pct" w:w="5000"/>
              <w:tblLayout w:type="fixed"/>
              <w:tblLook w:firstRow="1" w:lastRow="0" w:firstColumn="0" w:lastColumn="0" w:noHBand="0" w:noVBand="0" w:val="0020"/>
            </w:tblPr>
            <w:tblGrid>
              <w:gridCol w:w="1362"/>
              <w:gridCol w:w="1277"/>
              <w:gridCol w:w="1703"/>
              <w:gridCol w:w="1788"/>
              <w:gridCol w:w="1788"/>
            </w:tblGrid>
            <w:tr>
              <w:trPr>
                <w:tblHeader w:val="on"/>
              </w:trPr>
              <w:tc>
                <w:tcPr/>
                <w:p>
                  <w:pPr>
                    <w:pStyle w:val="Compact"/>
                    <w:jc w:val="left"/>
                    <w:jc w:val="center"/>
                  </w:pPr>
                  <w:r>
                    <w:t xml:space="preserve">Group</w:t>
                  </w:r>
                </w:p>
              </w:tc>
              <w:tc>
                <w:tcPr/>
                <w:p>
                  <w:pPr>
                    <w:pStyle w:val="Compact"/>
                    <w:jc w:val="right"/>
                    <w:jc w:val="center"/>
                  </w:pPr>
                  <m:oMath>
                    <m:sSub>
                      <m:e>
                        <m:r>
                          <m:t>σ</m:t>
                        </m:r>
                      </m:e>
                      <m:sub>
                        <m:r>
                          <m:t>r</m:t>
                        </m:r>
                      </m:sub>
                    </m:sSub>
                  </m:oMath>
                </w:p>
              </w:tc>
              <w:tc>
                <w:tcPr/>
                <w:p>
                  <w:pPr>
                    <w:pStyle w:val="Compact"/>
                    <w:jc w:val="right"/>
                    <w:jc w:val="center"/>
                  </w:pPr>
                  <m:oMath>
                    <m:sSub>
                      <m:e>
                        <m:r>
                          <m:t>ϵ</m:t>
                        </m:r>
                      </m:e>
                      <m:sub>
                        <m:r>
                          <m:t>r</m:t>
                        </m:r>
                      </m:sub>
                    </m:sSub>
                  </m:oMath>
                </w:p>
              </w:tc>
              <w:tc>
                <w:tcPr/>
                <w:p>
                  <w:pPr>
                    <w:pStyle w:val="Compact"/>
                    <w:jc w:val="right"/>
                    <w:jc w:val="center"/>
                  </w:pPr>
                  <m:oMath>
                    <m:sSub>
                      <m:e>
                        <m:r>
                          <m:t>δ</m:t>
                        </m:r>
                      </m:e>
                      <m:sub>
                        <m:r>
                          <m:t>r</m:t>
                        </m:r>
                      </m:sub>
                    </m:sSub>
                  </m:oMath>
                </w:p>
              </w:tc>
              <w:tc>
                <w:tcPr/>
                <w:p>
                  <w:pPr>
                    <w:pStyle w:val="Compact"/>
                    <w:jc w:val="right"/>
                    <w:jc w:val="center"/>
                  </w:pPr>
                  <m:oMath>
                    <m:sSub>
                      <m:e>
                        <m:r>
                          <m:t>λ</m:t>
                        </m:r>
                      </m:e>
                      <m:sub>
                        <m:r>
                          <m:t>r</m:t>
                        </m:r>
                      </m:sub>
                    </m:sSub>
                  </m:oMath>
                </w:p>
              </w:tc>
            </w:tr>
            <w:tr>
              <w:tc>
                <w:tcPr/>
                <w:p>
                  <w:pPr>
                    <w:pStyle w:val="Compact"/>
                    <w:jc w:val="left"/>
                    <w:jc w:val="center"/>
                  </w:pPr>
                  <w:r>
                    <w:t xml:space="preserve">White</w:t>
                  </w:r>
                </w:p>
              </w:tc>
              <w:tc>
                <w:tcPr/>
                <w:p>
                  <w:pPr>
                    <w:pStyle w:val="Compact"/>
                    <w:jc w:val="right"/>
                    <w:jc w:val="center"/>
                  </w:pPr>
                  <w:r>
                    <w:t xml:space="preserve">229 [213, 244]</w:t>
                  </w:r>
                </w:p>
              </w:tc>
              <w:tc>
                <w:tcPr/>
                <w:p>
                  <w:pPr>
                    <w:pStyle w:val="Compact"/>
                    <w:jc w:val="right"/>
                    <w:jc w:val="center"/>
                  </w:pPr>
                  <w:r>
                    <w:t xml:space="preserve">0.06 [0.01, 0.10]</w:t>
                  </w:r>
                </w:p>
              </w:tc>
              <w:tc>
                <w:tcPr/>
                <w:p>
                  <w:pPr>
                    <w:pStyle w:val="Compact"/>
                    <w:jc w:val="right"/>
                    <w:jc w:val="center"/>
                  </w:pPr>
                  <w:r>
                    <w:t xml:space="preserve">1.115 [1.056, 1.167]</w:t>
                  </w:r>
                </w:p>
              </w:tc>
              <w:tc>
                <w:tcPr/>
                <w:p>
                  <w:pPr>
                    <w:pStyle w:val="Compact"/>
                    <w:jc w:val="right"/>
                    <w:jc w:val="center"/>
                  </w:pPr>
                  <w:r>
                    <w:t xml:space="preserve">0.032 [0.018, 0.045]</w:t>
                  </w:r>
                </w:p>
              </w:tc>
            </w:tr>
            <w:tr>
              <w:tc>
                <w:tcPr/>
                <w:p>
                  <w:pPr>
                    <w:pStyle w:val="Compact"/>
                    <w:jc w:val="left"/>
                    <w:jc w:val="center"/>
                  </w:pPr>
                  <w:r>
                    <w:t xml:space="preserve">Hispanic/Latino</w:t>
                  </w:r>
                </w:p>
              </w:tc>
              <w:tc>
                <w:tcPr/>
                <w:p>
                  <w:pPr>
                    <w:pStyle w:val="Compact"/>
                    <w:jc w:val="right"/>
                    <w:jc w:val="center"/>
                  </w:pPr>
                  <w:r>
                    <w:t xml:space="preserve">208 [195, 225]</w:t>
                  </w:r>
                </w:p>
              </w:tc>
              <w:tc>
                <w:tcPr/>
                <w:p>
                  <w:pPr>
                    <w:pStyle w:val="Compact"/>
                    <w:jc w:val="right"/>
                    <w:jc w:val="center"/>
                  </w:pPr>
                  <w:r>
                    <w:t xml:space="preserve">0.44 [0.38, 0.52]</w:t>
                  </w:r>
                </w:p>
              </w:tc>
              <w:tc>
                <w:tcPr/>
                <w:p>
                  <w:pPr>
                    <w:pStyle w:val="Compact"/>
                    <w:jc w:val="right"/>
                    <w:jc w:val="center"/>
                  </w:pPr>
                  <w:r>
                    <w:t xml:space="preserve">1.137 [1.088, 1.207]</w:t>
                  </w:r>
                </w:p>
              </w:tc>
              <w:tc>
                <w:tcPr/>
                <w:p>
                  <w:pPr>
                    <w:pStyle w:val="Compact"/>
                    <w:jc w:val="right"/>
                    <w:jc w:val="center"/>
                  </w:pPr>
                  <w:r>
                    <w:t xml:space="preserve">0.033 [0.019, 0.050]</w:t>
                  </w:r>
                </w:p>
              </w:tc>
            </w:tr>
            <w:tr>
              <w:tc>
                <w:tcPr/>
                <w:p>
                  <w:pPr>
                    <w:pStyle w:val="Compact"/>
                    <w:jc w:val="left"/>
                    <w:jc w:val="center"/>
                  </w:pPr>
                  <w:r>
                    <w:t xml:space="preserve">Black</w:t>
                  </w:r>
                </w:p>
              </w:tc>
              <w:tc>
                <w:tcPr/>
                <w:p>
                  <w:pPr>
                    <w:pStyle w:val="Compact"/>
                    <w:jc w:val="right"/>
                    <w:jc w:val="center"/>
                  </w:pPr>
                  <w:r>
                    <w:t xml:space="preserve">191 [178, 205]</w:t>
                  </w:r>
                </w:p>
              </w:tc>
              <w:tc>
                <w:tcPr/>
                <w:p>
                  <w:pPr>
                    <w:pStyle w:val="Compact"/>
                    <w:jc w:val="right"/>
                    <w:jc w:val="center"/>
                  </w:pPr>
                  <w:r>
                    <w:t xml:space="preserve">0.44 [0.38, 0.51]</w:t>
                  </w:r>
                </w:p>
              </w:tc>
              <w:tc>
                <w:tcPr/>
                <w:p>
                  <w:pPr>
                    <w:pStyle w:val="Compact"/>
                    <w:jc w:val="right"/>
                    <w:jc w:val="center"/>
                  </w:pPr>
                  <w:r>
                    <w:t xml:space="preserve">1.118 [1.060, 1.171]</w:t>
                  </w:r>
                </w:p>
              </w:tc>
              <w:tc>
                <w:tcPr/>
                <w:p>
                  <w:pPr>
                    <w:pStyle w:val="Compact"/>
                    <w:jc w:val="right"/>
                    <w:jc w:val="center"/>
                  </w:pPr>
                  <w:r>
                    <w:t xml:space="preserve">0.035 [0.022, 0.053]</w:t>
                  </w:r>
                </w:p>
              </w:tc>
            </w:tr>
            <w:tr>
              <w:tc>
                <w:tcPr/>
                <w:p>
                  <w:pPr>
                    <w:pStyle w:val="Compact"/>
                    <w:jc w:val="left"/>
                    <w:jc w:val="center"/>
                  </w:pPr>
                  <w:r>
                    <w:t xml:space="preserve">Asian</w:t>
                  </w:r>
                </w:p>
              </w:tc>
              <w:tc>
                <w:tcPr/>
                <w:p>
                  <w:pPr>
                    <w:pStyle w:val="Compact"/>
                    <w:jc w:val="right"/>
                    <w:jc w:val="center"/>
                  </w:pPr>
                  <w:r>
                    <w:t xml:space="preserve">276 [260, 300]</w:t>
                  </w:r>
                </w:p>
              </w:tc>
              <w:tc>
                <w:tcPr/>
                <w:p>
                  <w:pPr>
                    <w:pStyle w:val="Compact"/>
                    <w:jc w:val="right"/>
                    <w:jc w:val="center"/>
                  </w:pPr>
                  <w:r>
                    <w:t xml:space="preserve">-0.08 [-0.16, 0.00]</w:t>
                  </w:r>
                </w:p>
              </w:tc>
              <w:tc>
                <w:tcPr/>
                <w:p>
                  <w:pPr>
                    <w:pStyle w:val="Compact"/>
                    <w:jc w:val="right"/>
                    <w:jc w:val="center"/>
                  </w:pPr>
                  <w:r>
                    <w:t xml:space="preserve">1.134 [1.080, 1.224]</w:t>
                  </w:r>
                </w:p>
              </w:tc>
              <w:tc>
                <w:tcPr/>
                <w:p>
                  <w:pPr>
                    <w:pStyle w:val="Compact"/>
                    <w:jc w:val="right"/>
                    <w:jc w:val="center"/>
                  </w:pPr>
                  <w:r>
                    <w:t xml:space="preserve">0.029 [0.013, 0.041]</w:t>
                  </w:r>
                </w:p>
              </w:tc>
            </w:tr>
            <w:tr>
              <w:tc>
                <w:tcPr/>
                <w:p>
                  <w:pPr>
                    <w:pStyle w:val="Compact"/>
                    <w:jc w:val="left"/>
                    <w:jc w:val="center"/>
                  </w:pPr>
                  <w:r>
                    <w:t xml:space="preserve">Two or more</w:t>
                  </w:r>
                </w:p>
              </w:tc>
              <w:tc>
                <w:tcPr/>
                <w:p>
                  <w:pPr>
                    <w:pStyle w:val="Compact"/>
                    <w:jc w:val="right"/>
                    <w:jc w:val="center"/>
                  </w:pPr>
                  <w:r>
                    <w:t xml:space="preserve">251 [236, 271]</w:t>
                  </w:r>
                </w:p>
              </w:tc>
              <w:tc>
                <w:tcPr/>
                <w:p>
                  <w:pPr>
                    <w:pStyle w:val="Compact"/>
                    <w:jc w:val="right"/>
                    <w:jc w:val="center"/>
                  </w:pPr>
                  <w:r>
                    <w:t xml:space="preserve">0.20 [0.16, 0.25]</w:t>
                  </w:r>
                </w:p>
              </w:tc>
              <w:tc>
                <w:tcPr/>
                <w:p>
                  <w:pPr>
                    <w:pStyle w:val="Compact"/>
                    <w:jc w:val="right"/>
                    <w:jc w:val="center"/>
                  </w:pPr>
                  <w:r>
                    <w:t xml:space="preserve">1.132 [1.084, 1.198]</w:t>
                  </w:r>
                </w:p>
              </w:tc>
              <w:tc>
                <w:tcPr/>
                <w:p>
                  <w:pPr>
                    <w:pStyle w:val="Compact"/>
                    <w:jc w:val="right"/>
                    <w:jc w:val="center"/>
                  </w:pPr>
                  <w:r>
                    <w:t xml:space="preserve">0.037 [0.024, 0.055]</w:t>
                  </w:r>
                </w:p>
              </w:tc>
            </w:tr>
            <w:tr>
              <w:tc>
                <w:tcPr/>
                <w:p>
                  <w:pPr>
                    <w:pStyle w:val="Compact"/>
                    <w:jc w:val="left"/>
                    <w:jc w:val="center"/>
                  </w:pPr>
                  <w:r>
                    <w:t xml:space="preserve">Am. Indian</w:t>
                  </w:r>
                </w:p>
              </w:tc>
              <w:tc>
                <w:tcPr/>
                <w:p>
                  <w:pPr>
                    <w:pStyle w:val="Compact"/>
                    <w:jc w:val="right"/>
                    <w:jc w:val="center"/>
                  </w:pPr>
                  <w:r>
                    <w:t xml:space="preserve">188 [174, 202]</w:t>
                  </w:r>
                </w:p>
              </w:tc>
              <w:tc>
                <w:tcPr/>
                <w:p>
                  <w:pPr>
                    <w:pStyle w:val="Compact"/>
                    <w:jc w:val="right"/>
                    <w:jc w:val="center"/>
                  </w:pPr>
                  <w:r>
                    <w:t xml:space="preserve">0.50 [0.44, 0.58]</w:t>
                  </w:r>
                </w:p>
              </w:tc>
              <w:tc>
                <w:tcPr/>
                <w:p>
                  <w:pPr>
                    <w:pStyle w:val="Compact"/>
                    <w:jc w:val="right"/>
                    <w:jc w:val="center"/>
                  </w:pPr>
                  <w:r>
                    <w:t xml:space="preserve">1.120 [1.062, 1.177]</w:t>
                  </w:r>
                </w:p>
              </w:tc>
              <w:tc>
                <w:tcPr/>
                <w:p>
                  <w:pPr>
                    <w:pStyle w:val="Compact"/>
                    <w:jc w:val="right"/>
                    <w:jc w:val="center"/>
                  </w:pPr>
                  <w:r>
                    <w:t xml:space="preserve">0.027 [0.004, 0.041]</w:t>
                  </w:r>
                </w:p>
              </w:tc>
            </w:tr>
            <w:tr>
              <w:tc>
                <w:tcPr/>
                <w:p>
                  <w:pPr>
                    <w:pStyle w:val="Compact"/>
                    <w:jc w:val="left"/>
                    <w:jc w:val="center"/>
                  </w:pPr>
                  <w:r>
                    <w:t xml:space="preserve">Pacific Isl.</w:t>
                  </w:r>
                </w:p>
              </w:tc>
              <w:tc>
                <w:tcPr/>
                <w:p>
                  <w:pPr>
                    <w:pStyle w:val="Compact"/>
                    <w:jc w:val="right"/>
                    <w:jc w:val="center"/>
                  </w:pPr>
                  <w:r>
                    <w:t xml:space="preserve">199 [185, 215]</w:t>
                  </w:r>
                </w:p>
              </w:tc>
              <w:tc>
                <w:tcPr/>
                <w:p>
                  <w:pPr>
                    <w:pStyle w:val="Compact"/>
                    <w:jc w:val="right"/>
                    <w:jc w:val="center"/>
                  </w:pPr>
                  <w:r>
                    <w:t xml:space="preserve">0.50 [0.42, 0.60]</w:t>
                  </w:r>
                </w:p>
              </w:tc>
              <w:tc>
                <w:tcPr/>
                <w:p>
                  <w:pPr>
                    <w:pStyle w:val="Compact"/>
                    <w:jc w:val="right"/>
                    <w:jc w:val="center"/>
                  </w:pPr>
                  <w:r>
                    <w:t xml:space="preserve">1.126 [1.071, 1.190]</w:t>
                  </w:r>
                </w:p>
              </w:tc>
              <w:tc>
                <w:tcPr/>
                <w:p>
                  <w:pPr>
                    <w:pStyle w:val="Compact"/>
                    <w:jc w:val="right"/>
                    <w:jc w:val="center"/>
                  </w:pPr>
                  <w:r>
                    <w:t xml:space="preserve">0.030 [0.011, 0.046]</w:t>
                  </w:r>
                </w:p>
              </w:tc>
            </w:tr>
          </w:tbl>
          <w:bookmarkEnd w:id="50"/>
          <w:p/>
        </w:tc>
      </w:tr>
    </w:tbl>
    <w:bookmarkEnd w:id="51"/>
    <w:bookmarkStart w:id="56" w:name="posterior-predictive-check"/>
    <w:p>
      <w:pPr>
        <w:pStyle w:val="Heading2"/>
      </w:pPr>
      <w:r>
        <w:t xml:space="preserve">Posterior Predictive Check</w:t>
      </w:r>
    </w:p>
    <w:p>
      <w:pPr>
        <w:pStyle w:val="FirstParagraph"/>
      </w:pPr>
      <w:r>
        <w:t xml:space="preserve">If the model is calibrated, about 90% of the observed band proportions</w:t>
      </w:r>
      <w:r>
        <w:t xml:space="preserve"> </w:t>
      </w:r>
      <w:r>
        <w:t xml:space="preserve">should lie inside their 90% posterior-predictive intervals. Drawing</w:t>
      </w:r>
      <w:r>
        <w:t xml:space="preserve"> </w:t>
      </w:r>
      <w:r>
        <w:t xml:space="preserve">replicate proportions</w:t>
      </w:r>
      <w:r>
        <w:t xml:space="preserve"> </w:t>
      </w:r>
      <m:oMath>
        <m:sSub>
          <m:e>
            <m:acc>
              <m:accPr>
                <m:chr m:val="̃"/>
              </m:accPr>
              <m:e>
                <m:r>
                  <m:t>p</m:t>
                </m:r>
              </m:e>
            </m:acc>
          </m:e>
          <m:sub>
            <m:r>
              <m:t>r</m:t>
            </m:r>
            <m:r>
              <m:rPr>
                <m:sty m:val="p"/>
              </m:rPr>
              <m:t>,</m:t>
            </m:r>
            <m:r>
              <m:t>y</m:t>
            </m:r>
            <m:r>
              <m:rPr>
                <m:sty m:val="p"/>
              </m:rPr>
              <m:t>,</m:t>
            </m:r>
            <m:r>
              <m:rPr>
                <m:sty m:val="p"/>
              </m:rPr>
              <m:t>•</m:t>
            </m:r>
          </m:sub>
        </m:sSub>
        <m:r>
          <m:rPr>
            <m:sty m:val="p"/>
          </m:rPr>
          <m:t>∼</m:t>
        </m:r>
        <m:r>
          <m:rPr>
            <m:nor/>
            <m:sty m:val="p"/>
          </m:rPr>
          <m:t>Dirichlet</m:t>
        </m:r>
        <m:d>
          <m:dPr>
            <m:begChr m:val="("/>
            <m:sepChr m:val=""/>
            <m:endChr m:val=")"/>
            <m:grow/>
          </m:dPr>
          <m:e>
            <m:r>
              <m:t>ϕ</m:t>
            </m:r>
            <m:r>
              <m:t> </m:t>
            </m:r>
            <m:sSub>
              <m:e>
                <m:r>
                  <m:t>π</m:t>
                </m:r>
              </m:e>
              <m:sub>
                <m:r>
                  <m:t>r</m:t>
                </m:r>
                <m:r>
                  <m:rPr>
                    <m:sty m:val="p"/>
                  </m:rPr>
                  <m:t>,</m:t>
                </m:r>
                <m:r>
                  <m:t>y</m:t>
                </m:r>
                <m:r>
                  <m:rPr>
                    <m:sty m:val="p"/>
                  </m:rPr>
                  <m:t>,</m:t>
                </m:r>
                <m:r>
                  <m:rPr>
                    <m:sty m:val="p"/>
                  </m:rPr>
                  <m:t>•</m:t>
                </m:r>
              </m:sub>
            </m:sSub>
          </m:e>
        </m:d>
      </m:oMath>
      <w:r>
        <w:t xml:space="preserve"> </w:t>
      </w:r>
      <w:r>
        <w:t xml:space="preserve">for each of the</w:t>
      </w:r>
      <w:r>
        <w:t xml:space="preserve"> </w:t>
      </w:r>
      <m:oMath>
        <m:r>
          <m:t>8</m:t>
        </m:r>
        <m:r>
          <m:rPr>
            <m:sty m:val="p"/>
          </m:rPr>
          <m:t>×</m:t>
        </m:r>
        <m:r>
          <m:t>8</m:t>
        </m:r>
        <m:r>
          <m:rPr>
            <m:sty m:val="p"/>
          </m:rPr>
          <m:t>×</m:t>
        </m:r>
        <m:r>
          <m:t>6</m:t>
        </m:r>
        <m:r>
          <m:rPr>
            <m:sty m:val="p"/>
          </m:rPr>
          <m:t>=</m:t>
        </m:r>
        <m:r>
          <m:t>384</m:t>
        </m:r>
      </m:oMath>
      <w:r>
        <w:t xml:space="preserve"> </w:t>
      </w:r>
      <w:r>
        <w:t xml:space="preserve">cells:</w:t>
      </w:r>
    </w:p>
    <w:p>
      <w:pPr>
        <w:pStyle w:val="BodyText"/>
      </w:pPr>
      <w:r>
        <w:t xml:space="preserve">The aggregate coverage of the 384 cells is close to the nominal 90%.</w:t>
      </w:r>
      <w:r>
        <w:t xml:space="preserve"> </w:t>
      </w:r>
      <w:r>
        <w:t xml:space="preserve">The standardized residuals (observed minus predictive median, over</w:t>
      </w:r>
      <w:r>
        <w:t xml:space="preserve"> </w:t>
      </w:r>
      <w:r>
        <w:t xml:space="preserve">predictive SD) are centered, with spread noticeably below one — the</w:t>
      </w:r>
      <w:r>
        <w:t xml:space="preserve"> </w:t>
      </w:r>
      <w:r>
        <w:t xml:space="preserve">Dirichlet predictive intervals are</w:t>
      </w:r>
      <w:r>
        <w:t xml:space="preserve"> </w:t>
      </w:r>
      <w:r>
        <w:rPr>
          <w:i/>
          <w:iCs/>
        </w:rPr>
        <w:t xml:space="preserve">wider</w:t>
      </w:r>
      <w:r>
        <w:t xml:space="preserve"> </w:t>
      </w:r>
      <w:r>
        <w:t xml:space="preserve">than the actual residuals</w:t>
      </w:r>
      <w:r>
        <w:t xml:space="preserve"> </w:t>
      </w:r>
      <w:r>
        <w:t xml:space="preserve">warrant in many cells, particularly in the upper bands (the</w:t>
      </w:r>
      <w:r>
        <w:t xml:space="preserve"> </w:t>
      </w:r>
      <w:r>
        <w:t xml:space="preserve">1400–1600 band’s z-SD</w:t>
      </w:r>
      <w:r>
        <w:t xml:space="preserve"> </w:t>
      </w:r>
      <m:oMath>
        <m:r>
          <m:rPr>
            <m:sty m:val="p"/>
          </m:rPr>
          <m:t>≈</m:t>
        </m:r>
        <m:r>
          <m:t>0.4</m:t>
        </m:r>
      </m:oMath>
      <w:r>
        <w:t xml:space="preserve">). A single per-group</w:t>
      </w:r>
      <w:r>
        <w:t xml:space="preserve"> </w:t>
      </w:r>
      <w:r>
        <w:t xml:space="preserve">concentration cannot match both the wide central bands and the</w:t>
      </w:r>
      <w:r>
        <w:t xml:space="preserve"> </w:t>
      </w:r>
      <w:r>
        <w:t xml:space="preserve">narrow tail bands at once, and the model errs toward the wide side;</w:t>
      </w:r>
      <w:r>
        <w:t xml:space="preserve"> </w:t>
      </w:r>
      <w:r>
        <w:t xml:space="preserve">a per-band concentration would tighten the tail-band intervals.</w:t>
      </w:r>
    </w:p>
    <w:p>
      <w:pPr>
        <w:pStyle w:val="BodyText"/>
      </w:pPr>
      <w:r>
        <w:t xml:space="preserve">The cohort</w:t>
      </w:r>
      <w:r>
        <w:t xml:space="preserve"> </w:t>
      </w:r>
      <w:r>
        <w:rPr>
          <w:i/>
          <w:iCs/>
        </w:rPr>
        <w:t xml:space="preserve">aggregate</w:t>
      </w:r>
      <w:r>
        <w:t xml:space="preserve"> </w:t>
      </w:r>
      <w:r>
        <w:t xml:space="preserve">of the fitted band proportions agrees with</w:t>
      </w:r>
      <w:r>
        <w:t xml:space="preserve"> </w:t>
      </w:r>
      <w:r>
        <w:t xml:space="preserve">the cohort aggregate of the observed ones to within a couple of</w:t>
      </w:r>
      <w:r>
        <w:t xml:space="preserve"> </w:t>
      </w:r>
      <w:r>
        <w:t xml:space="preserve">percentage points everywhere, ruling out a bias</w:t>
      </w:r>
      <w:r>
        <w:t xml:space="preserve"> </w:t>
      </w:r>
      <w:r>
        <w:rPr>
          <w:i/>
          <w:iCs/>
        </w:rPr>
        <w:t xml:space="preserve">shared</w:t>
      </w:r>
      <w:r>
        <w:t xml:space="preserve"> </w:t>
      </w:r>
      <w:r>
        <w:t xml:space="preserve">across</w:t>
      </w:r>
      <w:r>
        <w:t xml:space="preserve"> </w:t>
      </w:r>
      <w:r>
        <w:t xml:space="preserve">groups within a year that the cell-by-cell check could miss.</w:t>
      </w:r>
      <w:r>
        <w:t xml:space="preserve"> </w:t>
      </w:r>
      <w:hyperlink w:anchor="fig-ppc-resid">
        <w:r>
          <w:rPr>
            <w:rStyle w:val="Hyperlink"/>
          </w:rPr>
          <w:t xml:space="preserve">Figure 3</w:t>
        </w:r>
      </w:hyperlink>
      <w:r>
        <w:t xml:space="preserve"> </w:t>
      </w:r>
      <w:r>
        <w:t xml:space="preserve">plots the standardized residual for every (group,</w:t>
      </w:r>
      <w:r>
        <w:t xml:space="preserve"> </w:t>
      </w:r>
      <w:r>
        <w:t xml:space="preserve">year, band) cell. Most scatter around zero with spread noticeably</w:t>
      </w:r>
      <w:r>
        <w:t xml:space="preserve"> </w:t>
      </w:r>
      <w:r>
        <w:t xml:space="preserve">below one, consistent with the over-coverage just noted.</w:t>
      </w:r>
    </w:p>
    <w:p>
      <w:pPr>
        <w:pStyle w:val="BodyText"/>
      </w:pPr>
      <w:r>
        <w:t xml:space="preserve">Most of the named-group breaches concentrate in the 2025 cohort: a</w:t>
      </w:r>
      <w:r>
        <w:t xml:space="preserve"> </w:t>
      </w:r>
      <w:r>
        <w:t xml:space="preserve">positive (under-predicted) cluster in the lowest band (400–590) for</w:t>
      </w:r>
      <w:r>
        <w:t xml:space="preserve"> </w:t>
      </w:r>
      <w:r>
        <w:t xml:space="preserve">the lower-mean groups, where the model under-predicts the observed</w:t>
      </w:r>
      <w:r>
        <w:t xml:space="preserve"> </w:t>
      </w:r>
      <w:r>
        <w:t xml:space="preserve">mass by about a percentage point, and a negative (over-predicted)</w:t>
      </w:r>
      <w:r>
        <w:t xml:space="preserve"> </w:t>
      </w:r>
      <w:r>
        <w:t xml:space="preserve">cluster in the adjacent 600–790 band for the same broad set, where</w:t>
      </w:r>
      <w:r>
        <w:t xml:space="preserve"> </w:t>
      </w:r>
      <w:r>
        <w:t xml:space="preserve">the model over-predicts by a comparable amount. Both patterns are</w:t>
      </w:r>
      <w:r>
        <w:t xml:space="preserve"> </w:t>
      </w:r>
      <w:r>
        <w:t xml:space="preserve">consistent with a recent-cohort shift of mass leftward in those</w:t>
      </w:r>
      <w:r>
        <w:t xml:space="preserve"> </w:t>
      </w:r>
      <w:r>
        <w:t xml:space="preserve">groups that the year-constant skewness cannot accommodate.</w:t>
      </w:r>
    </w:p>
    <w:p>
      <w:pPr>
        <w:pStyle w:val="BodyText"/>
      </w:pPr>
      <w:r>
        <w:t xml:space="preserve">The No response breaches are all in the lowest band (400–590) and</w:t>
      </w:r>
      <w:r>
        <w:t xml:space="preserve"> </w:t>
      </w:r>
      <w:r>
        <w:t xml:space="preserve">include the figure’s two largest residuals, both in the earlier</w:t>
      </w:r>
      <w:r>
        <w:t xml:space="preserve"> </w:t>
      </w:r>
      <w:r>
        <w:t xml:space="preserve">cohorts (2018–2019), where the observed mass sits well above what a</w:t>
      </w:r>
      <w:r>
        <w:t xml:space="preserve"> </w:t>
      </w:r>
      <w:r>
        <w:t xml:space="preserve">smooth SHASH curve fitted to the rest of that group’s band</w:t>
      </w:r>
      <w:r>
        <w:t xml:space="preserve"> </w:t>
      </w:r>
      <w:r>
        <w:t xml:space="preserve">proportions will accept. The remaining No response residuals sit</w:t>
      </w:r>
      <w:r>
        <w:t xml:space="preserve"> </w:t>
      </w:r>
      <w:r>
        <w:t xml:space="preserve">closer to the named-group spread but are still slightly noisier,</w:t>
      </w:r>
      <w:r>
        <w:t xml:space="preserve"> </w:t>
      </w:r>
      <w:r>
        <w:t xml:space="preserve">consistent with the empirical volatility of the raw No response</w:t>
      </w:r>
      <w:r>
        <w:t xml:space="preserve"> </w:t>
      </w:r>
      <w:r>
        <w:t xml:space="preserve">numbers, which is also why that group is given its own free per-year</w:t>
      </w:r>
      <w:r>
        <w:t xml:space="preserve"> </w:t>
      </w:r>
      <w:r>
        <w:t xml:space="preserve">scale.</w:t>
      </w:r>
    </w:p>
    <w:tbl>
      <w:tblPr>
        <w:tblStyle w:val="Table"/>
        <w:tblW w:type="pct" w:w="5000"/>
        <w:tblLayout w:type="fixed"/>
        <w:tblLook w:firstRow="0" w:lastRow="0" w:firstColumn="0" w:lastColumn="0" w:noHBand="0" w:noVBand="0" w:val="0000"/>
      </w:tblPr>
      <w:tblGrid>
        <w:gridCol w:w="7920"/>
      </w:tblGrid>
      <w:tr>
        <w:tc>
          <w:tcPr/>
          <w:bookmarkStart w:id="55" w:name="fig-ppc-resid"/>
          <w:p>
            <w:pPr>
              <w:pStyle w:val="Compact"/>
              <w:jc w:val="center"/>
            </w:pPr>
            <w:r>
              <w:drawing>
                <wp:inline>
                  <wp:extent cx="5334000" cy="2823882"/>
                  <wp:effectExtent b="0" l="0" r="0" t="0"/>
                  <wp:docPr descr="" title="" id="53" name="Picture"/>
                  <a:graphic>
                    <a:graphicData uri="http://schemas.openxmlformats.org/drawingml/2006/picture">
                      <pic:pic>
                        <pic:nvPicPr>
                          <pic:cNvPr descr="sat_model_files/figure-docx/fig-ppc-resid-1.png" id="54" name="Picture"/>
                          <pic:cNvPicPr>
                            <a:picLocks noChangeArrowheads="1" noChangeAspect="1"/>
                          </pic:cNvPicPr>
                        </pic:nvPicPr>
                        <pic:blipFill>
                          <a:blip r:embed="rId52"/>
                          <a:stretch>
                            <a:fillRect/>
                          </a:stretch>
                        </pic:blipFill>
                        <pic:spPr bwMode="auto">
                          <a:xfrm>
                            <a:off x="0" y="0"/>
                            <a:ext cx="5334000" cy="2823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Standardized Posterior-Predictive Residuals by Group and Band.</w:t>
            </w:r>
            <w:r>
              <w:t xml:space="preserve"> </w:t>
            </w:r>
            <w:r>
              <w:t xml:space="preserve">Each point is one (group, year, band) cell. Dashed lines mark</w:t>
            </w:r>
            <w:r>
              <w:t xml:space="preserve"> </w:t>
            </w:r>
            <m:oMath>
              <m:r>
                <m:rPr>
                  <m:sty m:val="p"/>
                </m:rPr>
                <m:t>±</m:t>
              </m:r>
              <m:r>
                <m:t>1.645</m:t>
              </m:r>
            </m:oMath>
            <w:r>
              <w:t xml:space="preserve">, the Gaussian 90% reference under a calibrated model; the asymmetric Dirichlet 90% predictive intervals reported as the coverage statistic in the text are not identical to this Gaussian cut, so the count of points outside the dashed lines need not equal the cell count outside the coverage intervals. Color encodes the score band.</w:t>
            </w:r>
          </w:p>
          <w:bookmarkEnd w:id="55"/>
        </w:tc>
      </w:tr>
    </w:tbl>
    <w:bookmarkEnd w:id="56"/>
    <w:bookmarkStart w:id="69" w:name="sec-validation"/>
    <w:p>
      <w:pPr>
        <w:pStyle w:val="Heading2"/>
      </w:pPr>
      <w:r>
        <w:t xml:space="preserve">Validation</w:t>
      </w:r>
    </w:p>
    <w:p>
      <w:pPr>
        <w:pStyle w:val="FirstParagraph"/>
      </w:pPr>
      <w:r>
        <w:t xml:space="preserve">Each annual report prints, alongside the band breakdown the model is</w:t>
      </w:r>
      <w:r>
        <w:t xml:space="preserve"> </w:t>
      </w:r>
      <w:r>
        <w:t xml:space="preserve">fit to, five further cohort numbers: the Total-score mean, the</w:t>
      </w:r>
      <w:r>
        <w:t xml:space="preserve"> </w:t>
      </w:r>
      <w:r>
        <w:t xml:space="preserve">standard deviation, and the 25th, 50th, and 75th percentile scores.</w:t>
      </w:r>
      <w:r>
        <w:t xml:space="preserve"> </w:t>
      </w:r>
      <w:r>
        <w:t xml:space="preserve">None of these enters the model. The five differ in the strength of</w:t>
      </w:r>
      <w:r>
        <w:t xml:space="preserve"> </w:t>
      </w:r>
      <w:r>
        <w:t xml:space="preserve">the check they provide. The cohort mean is a weighted moment of the</w:t>
      </w:r>
      <w:r>
        <w:t xml:space="preserve"> </w:t>
      </w:r>
      <w:r>
        <w:t xml:space="preserve">same band proportions the model fits, so any model that matches the</w:t>
      </w:r>
      <w:r>
        <w:t xml:space="preserve"> </w:t>
      </w:r>
      <w:r>
        <w:t xml:space="preserve">band proportions well will recover the cohort mean close to</w:t>
      </w:r>
      <w:r>
        <w:t xml:space="preserve"> </w:t>
      </w:r>
      <w:r>
        <w:t xml:space="preserve">mechanically (up to a skewness correction inside each top band); its</w:t>
      </w:r>
      <w:r>
        <w:t xml:space="preserve"> </w:t>
      </w:r>
      <w:r>
        <w:t xml:space="preserve">posterior is identified essentially by the band proportions, and a</w:t>
      </w:r>
      <w:r>
        <w:t xml:space="preserve"> </w:t>
      </w:r>
      <w:r>
        <w:t xml:space="preserve">small recovery error is a basic consistency check rather than a</w:t>
      </w:r>
      <w:r>
        <w:t xml:space="preserve"> </w:t>
      </w:r>
      <w:r>
        <w:t xml:space="preserve">predictive test. The cohort SD is somewhat freer: the per-group</w:t>
      </w:r>
      <w:r>
        <w:t xml:space="preserve"> </w:t>
      </w:r>
      <w:r>
        <w:t xml:space="preserve">log-linear scale trend and the per-cell scale residuals give the</w:t>
      </w:r>
      <w:r>
        <w:t xml:space="preserve"> </w:t>
      </w:r>
      <w:r>
        <w:t xml:space="preserve">model flexibility to fit the cohort SD to within a few score points</w:t>
      </w:r>
      <w:r>
        <w:t xml:space="preserve"> </w:t>
      </w:r>
      <w:r>
        <w:t xml:space="preserve">without that fit being mechanically pinned by the bands. The</w:t>
      </w:r>
      <w:r>
        <w:t xml:space="preserve"> </w:t>
      </w:r>
      <w:r>
        <w:rPr>
          <w:i/>
          <w:iCs/>
        </w:rPr>
        <w:t xml:space="preserve">quartiles</w:t>
      </w:r>
      <w:r>
        <w:t xml:space="preserve">, by contrast, are a genuine out-of-sample test of the</w:t>
      </w:r>
      <w:r>
        <w:t xml:space="preserve"> </w:t>
      </w:r>
      <w:r>
        <w:t xml:space="preserve">shape in the body of the distribution: the bands constrain the</w:t>
      </w:r>
      <w:r>
        <w:t xml:space="preserve"> </w:t>
      </w:r>
      <w:r>
        <w:t xml:space="preserve">cumulative distribution at the five interior cut points (595, 795,</w:t>
      </w:r>
      <w:r>
        <w:t xml:space="preserve"> </w:t>
      </w:r>
      <w:r>
        <w:t xml:space="preserve">995, 1195, 1395), and where those cut points fall relative to the</w:t>
      </w:r>
      <w:r>
        <w:t xml:space="preserve"> </w:t>
      </w:r>
      <w:r>
        <w:t xml:space="preserve">published</w:t>
      </w:r>
      <w:r>
        <w:t xml:space="preserve"> </w:t>
      </w:r>
      <m:oMath>
        <m:sSub>
          <m:e>
            <m:r>
              <m:t>p</m:t>
            </m:r>
          </m:e>
          <m:sub>
            <m:r>
              <m:t>25</m:t>
            </m:r>
          </m:sub>
        </m:sSub>
      </m:oMath>
      <w:r>
        <w:t xml:space="preserve">,</w:t>
      </w:r>
      <w:r>
        <w:t xml:space="preserve"> </w:t>
      </w:r>
      <m:oMath>
        <m:sSub>
          <m:e>
            <m:r>
              <m:t>p</m:t>
            </m:r>
          </m:e>
          <m:sub>
            <m:r>
              <m:t>50</m:t>
            </m:r>
          </m:sub>
        </m:sSub>
      </m:oMath>
      <w:r>
        <w:t xml:space="preserve">,</w:t>
      </w:r>
      <w:r>
        <w:t xml:space="preserve"> </w:t>
      </w:r>
      <m:oMath>
        <m:sSub>
          <m:e>
            <m:r>
              <m:t>p</m:t>
            </m:r>
          </m:e>
          <m:sub>
            <m:r>
              <m:t>75</m:t>
            </m:r>
          </m:sub>
        </m:sSub>
      </m:oMath>
      <w:r>
        <w:t xml:space="preserve"> </w:t>
      </w:r>
      <w:r>
        <w:t xml:space="preserve">depends on the parametric form</w:t>
      </w:r>
      <w:r>
        <w:t xml:space="preserve"> </w:t>
      </w:r>
      <w:r>
        <w:t xml:space="preserve">between them. Across 2018–2025 that is</w:t>
      </w:r>
      <w:r>
        <w:t xml:space="preserve"> </w:t>
      </w:r>
      <m:oMath>
        <m:r>
          <m:t>5</m:t>
        </m:r>
        <m:r>
          <m:rPr>
            <m:sty m:val="p"/>
          </m:rPr>
          <m:t>×</m:t>
        </m:r>
        <m:r>
          <m:t>8</m:t>
        </m:r>
        <m:r>
          <m:rPr>
            <m:sty m:val="p"/>
          </m:rPr>
          <m:t>=</m:t>
        </m:r>
        <m:r>
          <m:t>40</m:t>
        </m:r>
      </m:oMath>
      <w:r>
        <w:t xml:space="preserve"> </w:t>
      </w:r>
      <w:r>
        <w:t xml:space="preserve">cohort</w:t>
      </w:r>
      <w:r>
        <w:t xml:space="preserve"> </w:t>
      </w:r>
      <w:r>
        <w:t xml:space="preserve">numbers, of which the 24 quartile cells are the operative</w:t>
      </w:r>
      <w:r>
        <w:t xml:space="preserve"> </w:t>
      </w:r>
      <w:r>
        <w:t xml:space="preserve">out-of-sample evidence.</w:t>
      </w:r>
    </w:p>
    <w:p>
      <w:pPr>
        <w:pStyle w:val="BodyText"/>
      </w:pPr>
      <w:r>
        <w:t xml:space="preserve">The mean and SD are compared in score points (</w:t>
      </w:r>
      <w:hyperlink w:anchor="fig-cohort-mean-sd">
        <w:r>
          <w:rPr>
            <w:rStyle w:val="Hyperlink"/>
          </w:rPr>
          <w:t xml:space="preserve">Figure 4</w:t>
        </w:r>
      </w:hyperlink>
      <w:r>
        <w:t xml:space="preserve">).</w:t>
      </w:r>
      <w:r>
        <w:t xml:space="preserve"> </w:t>
      </w:r>
      <w:r>
        <w:t xml:space="preserve">Reported quartile</w:t>
      </w:r>
      <w:r>
        <w:t xml:space="preserve"> </w:t>
      </w:r>
      <w:r>
        <w:rPr>
          <w:i/>
          <w:iCs/>
        </w:rPr>
        <w:t xml:space="preserve">scores</w:t>
      </w:r>
      <w:r>
        <w:t xml:space="preserve"> </w:t>
      </w:r>
      <w:r>
        <w:t xml:space="preserve">live on the 10-point grid, so we compare</w:t>
      </w:r>
      <w:r>
        <w:t xml:space="preserve"> </w:t>
      </w:r>
      <w:r>
        <w:t xml:space="preserve">in the dual direction: the model’s posterior rank of each published</w:t>
      </w:r>
      <w:r>
        <w:t xml:space="preserve"> </w:t>
      </w:r>
      <w:r>
        <w:t xml:space="preserve">quartile, which varies smoothly and should equal the nominal 0.25,</w:t>
      </w:r>
      <w:r>
        <w:t xml:space="preserve"> </w:t>
      </w:r>
      <w:r>
        <w:t xml:space="preserve">0.50, or 0.75 (</w:t>
      </w:r>
      <w:hyperlink w:anchor="fig-cohort-quartile-ranks">
        <w:r>
          <w:rPr>
            <w:rStyle w:val="Hyperlink"/>
          </w:rPr>
          <w:t xml:space="preserve">Figure 5</w:t>
        </w:r>
      </w:hyperlink>
      <w:r>
        <w:t xml:space="preserve">).</w:t>
      </w:r>
    </w:p>
    <w:p>
      <w:pPr>
        <w:pStyle w:val="BodyText"/>
      </w:pPr>
      <w:r>
        <w:t xml:space="preserve">The mean is the result that matters most. Locating each curve from</w:t>
      </w:r>
      <w:r>
        <w:t xml:space="preserve"> </w:t>
      </w:r>
      <w:r>
        <w:t xml:space="preserve">the bands alone, the model’s recovered cohort mean is within a few</w:t>
      </w:r>
      <w:r>
        <w:t xml:space="preserve"> </w:t>
      </w:r>
      <w:r>
        <w:t xml:space="preserve">points of the published value every year, and per group as well.</w:t>
      </w:r>
      <w:r>
        <w:t xml:space="preserve"> </w:t>
      </w:r>
      <w:r>
        <w:t xml:space="preserve">Across the 56 named-group cells the recovered mean is within a point</w:t>
      </w:r>
      <w:r>
        <w:t xml:space="preserve"> </w:t>
      </w:r>
      <w:r>
        <w:t xml:space="preserve">or two of the published one at the median, and the published value</w:t>
      </w:r>
      <w:r>
        <w:t xml:space="preserve"> </w:t>
      </w:r>
      <w:r>
        <w:t xml:space="preserve">lies inside the model’s 95% interval in nearly all of them. Only the</w:t>
      </w:r>
      <w:r>
        <w:t xml:space="preserve"> </w:t>
      </w:r>
      <w:r>
        <w:t xml:space="preserve">No response group falls clearly outside the interval, by tens of</w:t>
      </w:r>
      <w:r>
        <w:t xml:space="preserve"> </w:t>
      </w:r>
      <w:r>
        <w:t xml:space="preserve">points in some years: its mean is exactly derivable from the cohort</w:t>
      </w:r>
      <w:r>
        <w:t xml:space="preserve"> </w:t>
      </w:r>
      <w:r>
        <w:t xml:space="preserve">and named-group means by subtraction, but the band-proportion fit is</w:t>
      </w:r>
      <w:r>
        <w:t xml:space="preserve"> </w:t>
      </w:r>
      <w:r>
        <w:t xml:space="preserve">looser because of the empirical volatility shown in</w:t>
      </w:r>
      <w:r>
        <w:t xml:space="preserve"> </w:t>
      </w:r>
      <w:hyperlink w:anchor="fig-data-trends">
        <w:r>
          <w:rPr>
            <w:rStyle w:val="Hyperlink"/>
          </w:rPr>
          <w:t xml:space="preserve">Figure 1</w:t>
        </w:r>
      </w:hyperlink>
      <w:r>
        <w:t xml:space="preserve">. The SD rises</w:t>
      </w:r>
      <w:r>
        <w:t xml:space="preserve"> </w:t>
      </w:r>
      <w:r>
        <w:t xml:space="preserve">from approximately 209 in 2018 to approximately 239 in 2025,</w:t>
      </w:r>
      <w:r>
        <w:t xml:space="preserve"> </w:t>
      </w:r>
      <w:r>
        <w:t xml:space="preserve">running about 4–5 points above the published rise from approximately</w:t>
      </w:r>
      <w:r>
        <w:t xml:space="preserve"> </w:t>
      </w:r>
      <w:r>
        <w:t xml:space="preserve">204 to 235 throughout. The small per-cell residual lets it track</w:t>
      </w:r>
      <w:r>
        <w:t xml:space="preserve"> </w:t>
      </w:r>
      <w:r>
        <w:t xml:space="preserve">the year-to-year fluctuations but not entirely (2018 and 2022 sit</w:t>
      </w:r>
      <w:r>
        <w:t xml:space="preserve"> </w:t>
      </w:r>
      <w:r>
        <w:t xml:space="preserve">just outside the posterior). These are the two years where the</w:t>
      </w:r>
      <w:r>
        <w:t xml:space="preserve"> </w:t>
      </w:r>
      <w:r>
        <w:t xml:space="preserve">published cohort SD departs furthest from a smooth trend: 2018 sits</w:t>
      </w:r>
      <w:r>
        <w:t xml:space="preserve"> </w:t>
      </w:r>
      <w:r>
        <w:t xml:space="preserve">about 6 points below the trajectory the later years define (a</w:t>
      </w:r>
      <w:r>
        <w:t xml:space="preserve"> </w:t>
      </w:r>
      <w:r>
        <w:t xml:space="preserve">plausible reading is an early-redesign test-taker cohort not yet</w:t>
      </w:r>
      <w:r>
        <w:t xml:space="preserve"> </w:t>
      </w:r>
      <w:r>
        <w:t xml:space="preserve">settled to its later composition, but the public record does not</w:t>
      </w:r>
      <w:r>
        <w:t xml:space="preserve"> </w:t>
      </w:r>
      <w:r>
        <w:t xml:space="preserve">document a specific cause), and 2022 fell by one point against an</w:t>
      </w:r>
      <w:r>
        <w:t xml:space="preserve"> </w:t>
      </w:r>
      <w:r>
        <w:t xml:space="preserve">otherwise monotone rise (the class of 2022 was the first to have</w:t>
      </w:r>
      <w:r>
        <w:t xml:space="preserve"> </w:t>
      </w:r>
      <w:r>
        <w:t xml:space="preserve">been through its junior-year SAT window with the standardized-test</w:t>
      </w:r>
      <w:r>
        <w:t xml:space="preserve"> </w:t>
      </w:r>
      <w:r>
        <w:t xml:space="preserve">requirement eliminated at almost all colleges, leaving a more</w:t>
      </w:r>
      <w:r>
        <w:t xml:space="preserve"> </w:t>
      </w:r>
      <w:r>
        <w:t xml:space="preserve">selectively self-chosen cohort). The model’s per-group log-linear</w:t>
      </w:r>
      <w:r>
        <w:t xml:space="preserve"> </w:t>
      </w:r>
      <w:r>
        <w:t xml:space="preserve">scale trend with a tight residual cannot reproduce departures of</w:t>
      </w:r>
      <w:r>
        <w:t xml:space="preserve"> </w:t>
      </w:r>
      <w:r>
        <w:t xml:space="preserve">either size. The quartiles sit close to the nominal line: the</w:t>
      </w:r>
      <w:r>
        <w:t xml:space="preserve"> </w:t>
      </w:r>
      <w:r>
        <w:t xml:space="preserve">median within about a percentage point in most years (with</w:t>
      </w:r>
      <w:r>
        <w:t xml:space="preserve"> </w:t>
      </w:r>
      <m:oMath>
        <m:r>
          <m:rPr>
            <m:sty m:val="p"/>
          </m:rPr>
          <m:t>+</m:t>
        </m:r>
        <m:r>
          <m:t>1.5</m:t>
        </m:r>
      </m:oMath>
      <w:r>
        <w:t xml:space="preserve"> </w:t>
      </w:r>
      <w:r>
        <w:t xml:space="preserve">pp deviations in 2018 and 2019),</w:t>
      </w:r>
      <w:r>
        <w:t xml:space="preserve"> </w:t>
      </w:r>
      <m:oMath>
        <m:sSub>
          <m:e>
            <m:r>
              <m:t>p</m:t>
            </m:r>
          </m:e>
          <m:sub>
            <m:r>
              <m:t>25</m:t>
            </m:r>
          </m:sub>
        </m:sSub>
      </m:oMath>
      <w:r>
        <w:t xml:space="preserve"> </w:t>
      </w:r>
      <w:r>
        <w:t xml:space="preserve">within about a percentage</w:t>
      </w:r>
      <w:r>
        <w:t xml:space="preserve"> </w:t>
      </w:r>
      <w:r>
        <w:t xml:space="preserve">point in most years (rising to</w:t>
      </w:r>
      <w:r>
        <w:t xml:space="preserve"> </w:t>
      </w:r>
      <m:oMath>
        <m:r>
          <m:rPr>
            <m:sty m:val="p"/>
          </m:rPr>
          <m:t>+</m:t>
        </m:r>
        <m:r>
          <m:t>2.5</m:t>
        </m:r>
      </m:oMath>
      <w:r>
        <w:t xml:space="preserve"> </w:t>
      </w:r>
      <w:r>
        <w:t xml:space="preserve">pp in 2018), and</w:t>
      </w:r>
      <w:r>
        <w:t xml:space="preserve"> </w:t>
      </w:r>
      <m:oMath>
        <m:sSub>
          <m:e>
            <m:r>
              <m:t>p</m:t>
            </m:r>
          </m:e>
          <m:sub>
            <m:r>
              <m:t>75</m:t>
            </m:r>
          </m:sub>
        </m:sSub>
      </m:oMath>
      <w:r>
        <w:t xml:space="preserve"> </w:t>
      </w:r>
      <w:r>
        <w:t xml:space="preserve">within about a percentage point but running slightly</w:t>
      </w:r>
      <w:r>
        <w:t xml:space="preserve"> </w:t>
      </w:r>
      <w:r>
        <w:rPr>
          <w:i/>
          <w:iCs/>
        </w:rPr>
        <w:t xml:space="preserve">high</w:t>
      </w:r>
      <w:r>
        <w:t xml:space="preserve"> </w:t>
      </w:r>
      <w:r>
        <w:t xml:space="preserve">in</w:t>
      </w:r>
      <w:r>
        <w:t xml:space="preserve"> </w:t>
      </w:r>
      <w:r>
        <w:t xml:space="preserve">2024–2025 (the same recent-cohort right-skew residual). Overall, the</w:t>
      </w:r>
      <w:r>
        <w:t xml:space="preserve"> </w:t>
      </w:r>
      <w:r>
        <w:t xml:space="preserve">target lies inside the model’s 95% interval in roughly nine of every</w:t>
      </w:r>
      <w:r>
        <w:t xml:space="preserve"> </w:t>
      </w:r>
      <w:r>
        <w:t xml:space="preserve">ten of the 40 cells, with the bulk of the misses in the SD and</w:t>
      </w:r>
      <w:r>
        <w:t xml:space="preserve"> </w:t>
      </w:r>
      <w:r>
        <w:t xml:space="preserve">quartile checks rather than the means. The misses themselves are</w:t>
      </w:r>
      <w:r>
        <w:t xml:space="preserve"> </w:t>
      </w:r>
      <w:r>
        <w:t xml:space="preserve">small and mostly at the interval’s edge. The 24</w:t>
      </w:r>
      <w:r>
        <w:t xml:space="preserve"> </w:t>
      </w:r>
      <w:r>
        <w:t xml:space="preserve">quartile-rank checks, which exercise the shape of the cohort</w:t>
      </w:r>
      <w:r>
        <w:t xml:space="preserve"> </w:t>
      </w:r>
      <w:r>
        <w:t xml:space="preserve">distribution at three interior points that the band proportions</w:t>
      </w:r>
      <w:r>
        <w:t xml:space="preserve"> </w:t>
      </w:r>
      <w:r>
        <w:t xml:space="preserve">constrain only through the parametric form, are the operative</w:t>
      </w:r>
      <w:r>
        <w:t xml:space="preserve"> </w:t>
      </w:r>
      <w:r>
        <w:t xml:space="preserve">out-of-sample validation. The cohort mean check is a near-mechanical</w:t>
      </w:r>
      <w:r>
        <w:t xml:space="preserve"> </w:t>
      </w:r>
      <w:r>
        <w:t xml:space="preserve">consistency check of the same fit; the SD check is somewhat freer</w:t>
      </w:r>
      <w:r>
        <w:t xml:space="preserve"> </w:t>
      </w:r>
      <w:r>
        <w:t xml:space="preserve">(the within-group variances depend on the SHASH shape the model</w:t>
      </w:r>
      <w:r>
        <w:t xml:space="preserve"> </w:t>
      </w:r>
      <w:r>
        <w:t xml:space="preserve">estimates), but in practice the bands constrain it tightly enough</w:t>
      </w:r>
      <w:r>
        <w:t xml:space="preserve"> </w:t>
      </w:r>
      <w:r>
        <w:t xml:space="preserve">that it tracks the published cohort SD to within a few points.</w:t>
      </w:r>
    </w:p>
    <w:tbl>
      <w:tblPr>
        <w:tblStyle w:val="Table"/>
        <w:tblW w:type="pct" w:w="5000"/>
        <w:tblLayout w:type="fixed"/>
        <w:tblLook w:firstRow="0" w:lastRow="0" w:firstColumn="0" w:lastColumn="0" w:noHBand="0" w:noVBand="0" w:val="0000"/>
      </w:tblPr>
      <w:tblGrid>
        <w:gridCol w:w="7920"/>
      </w:tblGrid>
      <w:tr>
        <w:tc>
          <w:tcPr/>
          <w:bookmarkStart w:id="60" w:name="fig-cohort-mean-sd"/>
          <w:p>
            <w:pPr>
              <w:pStyle w:val="Compact"/>
              <w:jc w:val="center"/>
            </w:pPr>
            <w:r>
              <w:drawing>
                <wp:inline>
                  <wp:extent cx="5334000" cy="2587625"/>
                  <wp:effectExtent b="0" l="0" r="0" t="0"/>
                  <wp:docPr descr="" title="" id="58" name="Picture"/>
                  <a:graphic>
                    <a:graphicData uri="http://schemas.openxmlformats.org/drawingml/2006/picture">
                      <pic:pic>
                        <pic:nvPicPr>
                          <pic:cNvPr descr="sat_model_files/figure-docx/fig-cohort-mean-sd-1.png" id="59" name="Picture"/>
                          <pic:cNvPicPr>
                            <a:picLocks noChangeArrowheads="1" noChangeAspect="1"/>
                          </pic:cNvPicPr>
                        </pic:nvPicPr>
                        <pic:blipFill>
                          <a:blip r:embed="rId57"/>
                          <a:stretch>
                            <a:fillRect/>
                          </a:stretch>
                        </pic:blipFill>
                        <pic:spPr bwMode="auto">
                          <a:xfrm>
                            <a:off x="0" y="0"/>
                            <a:ext cx="5334000" cy="2587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Held-Out Cross-Check of the Cohort Mean and Standard Deviation.</w:t>
            </w:r>
            <w:r>
              <w:t xml:space="preserve"> </w:t>
            </w:r>
            <w:r>
              <w:t xml:space="preserve">By graduating-class year. Neither summary was used in fitting: the model was fit only to the six per-(race, year) banded percentages, and the implied cohort mean and SD are then computed as population-weighted moments of the fitted per-group score distributions. Blue line: posterior median of the model’s implied cohort value; shaded band: 95% credible interval. Black points: the College Board’s published cohort value. Y-axes differ between panels.</w:t>
            </w:r>
          </w:p>
          <w:bookmarkEnd w:id="60"/>
        </w:tc>
      </w:tr>
    </w:tbl>
    <w:tbl>
      <w:tblPr>
        <w:tblStyle w:val="Table"/>
        <w:tblW w:type="pct" w:w="5000"/>
        <w:tblLayout w:type="fixed"/>
        <w:tblLook w:firstRow="0" w:lastRow="0" w:firstColumn="0" w:lastColumn="0" w:noHBand="0" w:noVBand="0" w:val="0000"/>
      </w:tblPr>
      <w:tblGrid>
        <w:gridCol w:w="7920"/>
      </w:tblGrid>
      <w:tr>
        <w:tc>
          <w:tcPr/>
          <w:bookmarkStart w:id="64" w:name="fig-cohort-quartile-ranks"/>
          <w:p>
            <w:pPr>
              <w:pStyle w:val="Compact"/>
              <w:jc w:val="center"/>
            </w:pPr>
            <w:r>
              <w:drawing>
                <wp:inline>
                  <wp:extent cx="5334000" cy="2587625"/>
                  <wp:effectExtent b="0" l="0" r="0" t="0"/>
                  <wp:docPr descr="" title="" id="62" name="Picture"/>
                  <a:graphic>
                    <a:graphicData uri="http://schemas.openxmlformats.org/drawingml/2006/picture">
                      <pic:pic>
                        <pic:nvPicPr>
                          <pic:cNvPr descr="sat_model_files/figure-docx/fig-cohort-quartile-ranks-1.png" id="63" name="Picture"/>
                          <pic:cNvPicPr>
                            <a:picLocks noChangeArrowheads="1" noChangeAspect="1"/>
                          </pic:cNvPicPr>
                        </pic:nvPicPr>
                        <pic:blipFill>
                          <a:blip r:embed="rId61"/>
                          <a:stretch>
                            <a:fillRect/>
                          </a:stretch>
                        </pic:blipFill>
                        <pic:spPr bwMode="auto">
                          <a:xfrm>
                            <a:off x="0" y="0"/>
                            <a:ext cx="5334000" cy="2587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b/>
                <w:bCs/>
              </w:rPr>
              <w:t xml:space="preserve">Held-Out Cross-Check of the Published Cohort Quartile Scores.</w:t>
            </w:r>
            <w:r>
              <w:t xml:space="preserve"> </w:t>
            </w:r>
            <w:r>
              <w:t xml:space="preserve">By graduating-class year. For each year the College Board reports the score at the cohort’s 25th, 50th, and 75th percentile. We plug each of those three reported scores into the model’s posterior cumulative distribution to get the percentile the model itself assigns to that score (the model’s</w:t>
            </w:r>
            <w:r>
              <w:t xml:space="preserve"> </w:t>
            </w:r>
            <w:r>
              <w:t xml:space="preserve">‘implied rank’</w:t>
            </w:r>
            <w:r>
              <w:t xml:space="preserve">). A perfectly calibrated model places the published 25th-percentile score at percentile 25, the median score at 50, and the 75th-percentile score at 75. The vertical axis shows the model’s implied rank minus the nominal value; zero (dashed) is perfect agreement, identical across panels so the three checks line up visually. Blue line: posterior median; shaded band: 95% credible interval. None of the three published quartiles was used in fitting.</w:t>
            </w:r>
          </w:p>
          <w:bookmarkEnd w:id="64"/>
        </w:tc>
      </w:tr>
    </w:tbl>
    <w:p>
      <w:pPr>
        <w:pStyle w:val="BodyText"/>
      </w:pPr>
      <w:r>
        <w:t xml:space="preserve">A second, finer check is independent of the band summaries entirely.</w:t>
      </w:r>
      <w:r>
        <w:t xml:space="preserve"> </w:t>
      </w:r>
      <w:r>
        <w:t xml:space="preserve">The College Board publishes a</w:t>
      </w:r>
      <w:r>
        <w:t xml:space="preserve"> </w:t>
      </w:r>
      <w:r>
        <w:rPr>
          <w:i/>
          <w:iCs/>
        </w:rPr>
        <w:t xml:space="preserve">SAT User Percentile</w:t>
      </w:r>
      <w:r>
        <w:t xml:space="preserve"> </w:t>
      </w:r>
      <w:r>
        <w:t xml:space="preserve">table giving, in</w:t>
      </w:r>
      <w:r>
        <w:t xml:space="preserve"> </w:t>
      </w:r>
      <w:r>
        <w:t xml:space="preserve">10-point steps, the cumulative share of test-takers scoring at or below</w:t>
      </w:r>
      <w:r>
        <w:t xml:space="preserve"> </w:t>
      </w:r>
      <w:r>
        <w:t xml:space="preserve">each total score in the three most recently graduated cohorts pooled.</w:t>
      </w:r>
      <w:r>
        <w:t xml:space="preserve"> </w:t>
      </w:r>
      <w:r>
        <w:t xml:space="preserve">The table is built from individual scores and is updated annually as</w:t>
      </w:r>
      <w:r>
        <w:t xml:space="preserve"> </w:t>
      </w:r>
      <w:r>
        <w:t xml:space="preserve">new cohorts are added and old ones drop out. We hold it out of the fit</w:t>
      </w:r>
      <w:r>
        <w:t xml:space="preserve"> </w:t>
      </w:r>
      <w:r>
        <w:t xml:space="preserve">and use it as an external check.</w:t>
      </w:r>
    </w:p>
    <w:p>
      <w:pPr>
        <w:pStyle w:val="BodyText"/>
      </w:pPr>
      <w:r>
        <w:t xml:space="preserve">The check has two distinct parts. Below the 1400 boundary, the</w:t>
      </w:r>
      <w:r>
        <w:t xml:space="preserve"> </w:t>
      </w:r>
      <w:r>
        <w:t xml:space="preserve">comparison is primarily data-driven: the six observed band</w:t>
      </w:r>
      <w:r>
        <w:t xml:space="preserve"> </w:t>
      </w:r>
      <w:r>
        <w:t xml:space="preserve">proportions pin the model’s cohort survival curve at five</w:t>
      </w:r>
      <w:r>
        <w:t xml:space="preserve"> </w:t>
      </w:r>
      <w:r>
        <w:t xml:space="preserve">band-boundary anchors, and any smooth distribution interpolating</w:t>
      </w:r>
      <w:r>
        <w:t xml:space="preserve"> </w:t>
      </w:r>
      <w:r>
        <w:t xml:space="preserve">between those anchors will track the SAT User Percentile curve to within</w:t>
      </w:r>
      <w:r>
        <w:t xml:space="preserve"> </w:t>
      </w:r>
      <w:r>
        <w:t xml:space="preserve">rounding noise. Above 1400, the comparison becomes distributional</w:t>
      </w:r>
      <w:r>
        <w:t xml:space="preserve"> </w:t>
      </w:r>
      <w:r>
        <w:t xml:space="preserve">extrapolation: the band data give a single anchor at the lower</w:t>
      </w:r>
      <w:r>
        <w:t xml:space="preserve"> </w:t>
      </w:r>
      <w:r>
        <w:t xml:space="preserve">boundary of the top band (</w:t>
      </w:r>
      <m:oMath>
        <m:r>
          <m:t>s</m:t>
        </m:r>
        <m:r>
          <m:rPr>
            <m:sty m:val="p"/>
          </m:rPr>
          <m:t>=</m:t>
        </m:r>
        <m:r>
          <m:t>1395</m:t>
        </m:r>
      </m:oMath>
      <w:r>
        <w:t xml:space="preserve"> </w:t>
      </w:r>
      <w:r>
        <w:t xml:space="preserve">in the latent-cut convention)</w:t>
      </w:r>
      <w:r>
        <w:t xml:space="preserve"> </w:t>
      </w:r>
      <w:r>
        <w:t xml:space="preserve">and the model’s SHASH form fills in the rest. The</w:t>
      </w:r>
      <w:r>
        <w:t xml:space="preserve"> </w:t>
      </w:r>
      <w:r>
        <w:t xml:space="preserve">within-top-band shape (that is, what fraction of the 1400–1600</w:t>
      </w:r>
      <w:r>
        <w:t xml:space="preserve"> </w:t>
      </w:r>
      <w:r>
        <w:t xml:space="preserve">band’s mass sits above 1500 or 1550) is not identifiable from six</w:t>
      </w:r>
      <w:r>
        <w:t xml:space="preserve"> </w:t>
      </w:r>
      <w:r>
        <w:t xml:space="preserve">band totals. The SAT User Percentile table is, in effect, that</w:t>
      </w:r>
      <w:r>
        <w:t xml:space="preserve"> </w:t>
      </w:r>
      <w:r>
        <w:t xml:space="preserve">missing within-top-band shape information made public. The model’s</w:t>
      </w:r>
      <w:r>
        <w:t xml:space="preserve"> </w:t>
      </w:r>
      <w:r>
        <w:t xml:space="preserve">SHASH-based interpolation has no access to it during fitting;</w:t>
      </w:r>
      <w:r>
        <w:t xml:space="preserve"> </w:t>
      </w:r>
      <w:r>
        <w:t xml:space="preserve">comparing the model’s induced cohort percentiles against the</w:t>
      </w:r>
      <w:r>
        <w:t xml:space="preserve"> </w:t>
      </w:r>
      <w:r>
        <w:t xml:space="preserve">reference is therefore the strictest external check the public</w:t>
      </w:r>
      <w:r>
        <w:t xml:space="preserve"> </w:t>
      </w:r>
      <w:r>
        <w:t xml:space="preserve">record allows.</w:t>
      </w:r>
    </w:p>
    <w:p>
      <w:pPr>
        <w:pStyle w:val="BodyText"/>
      </w:pPr>
      <w:r>
        <w:t xml:space="preserve">The College Board publishes the SAT User Percentile table for five</w:t>
      </w:r>
      <w:r>
        <w:t xml:space="preserve"> </w:t>
      </w:r>
      <w:r>
        <w:t xml:space="preserve">pooled-cohort windows: 2018–2020, 2019–2021, 2021–2023, 2022–2024,</w:t>
      </w:r>
      <w:r>
        <w:t xml:space="preserve"> </w:t>
      </w:r>
      <w:r>
        <w:t xml:space="preserve">and 2023–2025 (the 2020–2022 window is not available). For the most</w:t>
      </w:r>
      <w:r>
        <w:t xml:space="preserve"> </w:t>
      </w:r>
      <w:r>
        <w:t xml:space="preserve">recent window the model’s implied cohort survival is computed by</w:t>
      </w:r>
      <w:r>
        <w:t xml:space="preserve"> </w:t>
      </w:r>
      <w:r>
        <w:t xml:space="preserve">population-weighting the per-group SHASH survival functions over</w:t>
      </w:r>
      <w:r>
        <w:t xml:space="preserve"> </w:t>
      </w:r>
      <w:r>
        <w:t xml:space="preserve">the contributing years and compared in</w:t>
      </w:r>
      <w:r>
        <w:t xml:space="preserve"> </w:t>
      </w:r>
      <w:hyperlink w:anchor="fig-validate">
        <w:r>
          <w:rPr>
            <w:rStyle w:val="Hyperlink"/>
          </w:rPr>
          <w:t xml:space="preserve">Figure 6</w:t>
        </w:r>
      </w:hyperlink>
      <w:r>
        <w:t xml:space="preserve"> </w:t>
      </w:r>
      <w:r>
        <w:t xml:space="preserve">against the</w:t>
      </w:r>
      <w:r>
        <w:t xml:space="preserve"> </w:t>
      </w:r>
      <w:r>
        <w:t xml:space="preserve">published SAT User Percentile curve. The SAT User Percentile is reported</w:t>
      </w:r>
      <w:r>
        <w:t xml:space="preserve"> </w:t>
      </w:r>
      <w:r>
        <w:t xml:space="preserve">as an integer at each 10-point grid score, so the true</w:t>
      </w:r>
      <w:r>
        <w:t xml:space="preserve"> </w:t>
      </w:r>
      <m:oMath>
        <m:r>
          <m:t>P</m:t>
        </m:r>
        <m:d>
          <m:dPr>
            <m:begChr m:val="("/>
            <m:sepChr m:val=""/>
            <m:endChr m:val=")"/>
            <m:grow/>
          </m:dPr>
          <m:e>
            <m:r>
              <m:rPr>
                <m:nor/>
                <m:sty m:val="p"/>
              </m:rPr>
              <m:t>score</m:t>
            </m:r>
            <m:r>
              <m:rPr>
                <m:sty m:val="p"/>
              </m:rPr>
              <m:t>≥</m:t>
            </m:r>
            <m:r>
              <m:t>t</m:t>
            </m:r>
          </m:e>
        </m:d>
      </m:oMath>
      <w:r>
        <w:t xml:space="preserve"> </w:t>
      </w:r>
      <w:r>
        <w:t xml:space="preserve">lies in a one-percentage-point band (or a</w:t>
      </w:r>
      <w:r>
        <w:t xml:space="preserve"> </w:t>
      </w:r>
      <w:r>
        <w:t xml:space="preserve">one-sided band of width 0.5 at the top scores reported as</w:t>
      </w:r>
      <w:r>
        <w:t xml:space="preserve"> </w:t>
      </w:r>
      <w:r>
        <w:t xml:space="preserve">“99+”</w:t>
      </w:r>
      <w:r>
        <w:t xml:space="preserve">);</w:t>
      </w:r>
      <w:r>
        <w:t xml:space="preserve"> </w:t>
      </w:r>
      <w:r>
        <w:t xml:space="preserve">see the</w:t>
      </w:r>
      <w:r>
        <w:t xml:space="preserve"> </w:t>
      </w:r>
      <w:hyperlink w:anchor="fig-validate">
        <w:r>
          <w:rPr>
            <w:rStyle w:val="Hyperlink"/>
          </w:rPr>
          <w:t xml:space="preserve">Figure 6</w:t>
        </w:r>
      </w:hyperlink>
      <w:r>
        <w:t xml:space="preserve"> </w:t>
      </w:r>
      <w:r>
        <w:t xml:space="preserve">caption for details. The model’s posterior</w:t>
      </w:r>
      <w:r>
        <w:t xml:space="preserve"> </w:t>
      </w:r>
      <w:r>
        <w:t xml:space="preserve">median sits inside the SAT User Percentile rounding band at essentially every</w:t>
      </w:r>
      <w:r>
        <w:t xml:space="preserve"> </w:t>
      </w:r>
      <w:r>
        <w:t xml:space="preserve">grid score through the headline threshold</w:t>
      </w:r>
      <w:r>
        <w:t xml:space="preserve"> </w:t>
      </w:r>
      <m:oMath>
        <m:r>
          <m:t>t</m:t>
        </m:r>
        <m:r>
          <m:rPr>
            <m:sty m:val="p"/>
          </m:rPr>
          <m:t>=</m:t>
        </m:r>
        <m:r>
          <m:t>1500</m:t>
        </m:r>
      </m:oMath>
      <w:r>
        <w:t xml:space="preserve">: for 2023–2025</w:t>
      </w:r>
      <w:r>
        <w:t xml:space="preserve"> </w:t>
      </w:r>
      <w:r>
        <w:t xml:space="preserve">the model puts 3.2% (95% CI 2.9%–3.7%) above 1500 and the</w:t>
      </w:r>
      <w:r>
        <w:t xml:space="preserve"> </w:t>
      </w:r>
      <w:r>
        <w:t xml:space="preserve">SAT User Percentile band is</w:t>
      </w:r>
      <w:r>
        <w:t xml:space="preserve"> </w:t>
      </w:r>
      <m:oMath>
        <m:r>
          <m:rPr>
            <m:sty m:val="p"/>
          </m:rPr>
          <m:t>(</m:t>
        </m:r>
        <m:r>
          <m:t>2.5</m:t>
        </m:r>
        <m:r>
          <m:rPr>
            <m:sty m:val="p"/>
          </m:rPr>
          <m:t>%</m:t>
        </m:r>
        <m:r>
          <m:rPr>
            <m:sty m:val="p"/>
          </m:rPr>
          <m:t>,</m:t>
        </m:r>
        <m:r>
          <m:t> </m:t>
        </m:r>
        <m:r>
          <m:t>3.5</m:t>
        </m:r>
        <m:r>
          <m:rPr>
            <m:sty m:val="p"/>
          </m:rPr>
          <m:t>%</m:t>
        </m:r>
        <m:r>
          <m:rPr>
            <m:sty m:val="p"/>
          </m:rPr>
          <m:t>]</m:t>
        </m:r>
      </m:oMath>
      <w:r>
        <w:t xml:space="preserve">. The credible</w:t>
      </w:r>
      <w:r>
        <w:t xml:space="preserve"> </w:t>
      </w:r>
      <w:r>
        <w:t xml:space="preserve">interval’s upper edge (3.7%) extends about 0.2 percentage points</w:t>
      </w:r>
      <w:r>
        <w:t xml:space="preserve"> </w:t>
      </w:r>
      <w:r>
        <w:t xml:space="preserve">above the band, so it is the median’s position inside the band, not</w:t>
      </w:r>
      <w:r>
        <w:t xml:space="preserve"> </w:t>
      </w:r>
      <w:r>
        <w:t xml:space="preserve">full interval containment, that constitutes the check here. The</w:t>
      </w:r>
      <w:r>
        <w:t xml:space="preserve"> </w:t>
      </w:r>
      <w:r>
        <w:t xml:space="preserve">model drifts modestly</w:t>
      </w:r>
      <w:r>
        <w:t xml:space="preserve"> </w:t>
      </w:r>
      <w:r>
        <w:t xml:space="preserve">above the SAT User Percentile band from</w:t>
      </w:r>
      <w:r>
        <w:t xml:space="preserve"> </w:t>
      </w:r>
      <m:oMath>
        <m:r>
          <m:t>t</m:t>
        </m:r>
        <m:r>
          <m:rPr>
            <m:sty m:val="p"/>
          </m:rPr>
          <m:t>=</m:t>
        </m:r>
        <m:r>
          <m:t>1550</m:t>
        </m:r>
      </m:oMath>
      <w:r>
        <w:t xml:space="preserve"> </w:t>
      </w:r>
      <w:r>
        <w:t xml:space="preserve">upward — by about 0.5–1.0</w:t>
      </w:r>
      <w:r>
        <w:t xml:space="preserve"> </w:t>
      </w:r>
      <w:r>
        <w:t xml:space="preserve">percentage points — before integer rounding at the top of the table</w:t>
      </w:r>
      <w:r>
        <w:t xml:space="preserve"> </w:t>
      </w:r>
      <w:r>
        <w:t xml:space="preserve">forecloses further comparison. The corresponding plots for the four</w:t>
      </w:r>
      <w:r>
        <w:t xml:space="preserve"> </w:t>
      </w:r>
      <w:r>
        <w:t xml:space="preserve">earlier windows show the same pattern and are not reproduced here.</w:t>
      </w:r>
      <w:r>
        <w:t xml:space="preserve"> </w:t>
      </w:r>
      <w:r>
        <w:t xml:space="preserve">The downstream consequence is taken up in the Discussion.</w:t>
      </w:r>
    </w:p>
    <w:tbl>
      <w:tblPr>
        <w:tblStyle w:val="Table"/>
        <w:tblW w:type="pct" w:w="5000"/>
        <w:tblLayout w:type="fixed"/>
        <w:tblLook w:firstRow="0" w:lastRow="0" w:firstColumn="0" w:lastColumn="0" w:noHBand="0" w:noVBand="0" w:val="0000"/>
      </w:tblPr>
      <w:tblGrid>
        <w:gridCol w:w="7920"/>
      </w:tblGrid>
      <w:tr>
        <w:tc>
          <w:tcPr/>
          <w:bookmarkStart w:id="68" w:name="fig-validate"/>
          <w:p>
            <w:pPr>
              <w:pStyle w:val="Compact"/>
              <w:jc w:val="center"/>
            </w:pPr>
            <w:r>
              <w:drawing>
                <wp:inline>
                  <wp:extent cx="5334000" cy="3282461"/>
                  <wp:effectExtent b="0" l="0" r="0" t="0"/>
                  <wp:docPr descr="" title="" id="66" name="Picture"/>
                  <a:graphic>
                    <a:graphicData uri="http://schemas.openxmlformats.org/drawingml/2006/picture">
                      <pic:pic>
                        <pic:nvPicPr>
                          <pic:cNvPr descr="sat_model_files/figure-docx/fig-validate-1.png" id="67" name="Picture"/>
                          <pic:cNvPicPr>
                            <a:picLocks noChangeArrowheads="1" noChangeAspect="1"/>
                          </pic:cNvPicPr>
                        </pic:nvPicPr>
                        <pic:blipFill>
                          <a:blip r:embed="rId65"/>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b/>
                <w:bCs/>
              </w:rPr>
              <w:t xml:space="preserve">External Held-Out Validation against the SAT User Percentile Reference, 2023–2025 Pooled Cohort.</w:t>
            </w:r>
            <w:r>
              <w:t xml:space="preserve"> </w:t>
            </w:r>
            <w:r>
              <w:t xml:space="preserve">Grey rectangles: the range of</w:t>
            </w:r>
            <w:r>
              <w:t xml:space="preserve"> </w:t>
            </w:r>
            <m:oMath>
              <m:r>
                <m:t>P</m:t>
              </m:r>
              <m:d>
                <m:dPr>
                  <m:begChr m:val="("/>
                  <m:sepChr m:val=""/>
                  <m:endChr m:val=")"/>
                  <m:grow/>
                </m:dPr>
                <m:e>
                  <m:r>
                    <m:rPr>
                      <m:nor/>
                      <m:sty m:val="p"/>
                    </m:rPr>
                    <m:t>score</m:t>
                  </m:r>
                  <m:r>
                    <m:rPr>
                      <m:sty m:val="p"/>
                    </m:rPr>
                    <m:t>≥</m:t>
                  </m:r>
                  <m:r>
                    <m:t>t</m:t>
                  </m:r>
                </m:e>
              </m:d>
            </m:oMath>
            <w:r>
              <w:t xml:space="preserve"> </w:t>
            </w:r>
            <w:r>
              <w:t xml:space="preserve">consistent with the integer SAT User Percentile at</w:t>
            </w:r>
            <w:r>
              <w:t xml:space="preserve"> </w:t>
            </w:r>
            <m:oMath>
              <m:r>
                <m:t>t</m:t>
              </m:r>
              <m:r>
                <m:rPr>
                  <m:sty m:val="p"/>
                </m:rPr>
                <m:t>−</m:t>
              </m:r>
              <m:r>
                <m:t>10</m:t>
              </m:r>
            </m:oMath>
            <w:r>
              <w:t xml:space="preserve"> </w:t>
            </w:r>
            <w:r>
              <w:t xml:space="preserve">— a one-percentage-point band, or a one-sided</w:t>
            </w:r>
            <w:r>
              <w:t xml:space="preserve"> </w:t>
            </w:r>
            <m:oMath>
              <m:d>
                <m:dPr>
                  <m:begChr m:val="["/>
                  <m:sepChr m:val=""/>
                  <m:endChr m:val="]"/>
                  <m:grow/>
                </m:dPr>
                <m:e>
                  <m:r>
                    <m:t>0</m:t>
                  </m:r>
                  <m:r>
                    <m:rPr>
                      <m:sty m:val="p"/>
                    </m:rPr>
                    <m:t>,</m:t>
                  </m:r>
                  <m:r>
                    <m:t> </m:t>
                  </m:r>
                  <m:r>
                    <m:t>0.5</m:t>
                  </m:r>
                  <m:r>
                    <m:rPr>
                      <m:sty m:val="p"/>
                    </m:rPr>
                    <m:t>%</m:t>
                  </m:r>
                </m:e>
              </m:d>
            </m:oMath>
            <w:r>
              <w:t xml:space="preserve"> </w:t>
            </w:r>
            <w:r>
              <w:t xml:space="preserve">band at the topmost scores reported as</w:t>
            </w:r>
            <w:r>
              <w:t xml:space="preserve"> </w:t>
            </w:r>
            <w:r>
              <w:t xml:space="preserve">‘99+’</w:t>
            </w:r>
            <w:r>
              <w:t xml:space="preserve">. Solid blue: modeled cohort</w:t>
            </w:r>
            <w:r>
              <w:t xml:space="preserve"> </w:t>
            </w:r>
            <m:oMath>
              <m:r>
                <m:t>P</m:t>
              </m:r>
              <m:d>
                <m:dPr>
                  <m:begChr m:val="("/>
                  <m:sepChr m:val=""/>
                  <m:endChr m:val=")"/>
                  <m:grow/>
                </m:dPr>
                <m:e>
                  <m:r>
                    <m:rPr>
                      <m:nor/>
                      <m:sty m:val="p"/>
                    </m:rPr>
                    <m:t>score</m:t>
                  </m:r>
                  <m:r>
                    <m:rPr>
                      <m:sty m:val="p"/>
                    </m:rPr>
                    <m:t>≥</m:t>
                  </m:r>
                  <m:r>
                    <m:t>t</m:t>
                  </m:r>
                </m:e>
              </m:d>
            </m:oMath>
            <w:r>
              <w:t xml:space="preserve">, posterior median of the population-weighted survival across 2023–2025. Black points: exact cohort survival at each reported band lower-boundary (600, 800, 1000, 1200, 1400). Plots for the four earlier pooled-cohort windows look similar and are omitted.</w:t>
            </w:r>
          </w:p>
          <w:bookmarkEnd w:id="68"/>
        </w:tc>
      </w:tr>
    </w:tbl>
    <w:bookmarkEnd w:id="69"/>
    <w:bookmarkStart w:id="74" w:name="composition-of-the-high-scoring-pool"/>
    <w:p>
      <w:pPr>
        <w:pStyle w:val="Heading2"/>
      </w:pPr>
      <w:r>
        <w:t xml:space="preserve">Composition of the High-Scoring Pool</w:t>
      </w:r>
    </w:p>
    <w:p>
      <w:pPr>
        <w:pStyle w:val="FirstParagraph"/>
      </w:pPr>
      <w:hyperlink w:anchor="fig-snapshot">
        <w:r>
          <w:rPr>
            <w:rStyle w:val="Hyperlink"/>
          </w:rPr>
          <w:t xml:space="preserve">Figure 7</w:t>
        </w:r>
      </w:hyperlink>
      <w:r>
        <w:t xml:space="preserve"> </w:t>
      </w:r>
      <w:r>
        <w:t xml:space="preserve">shows the Black share and the Asian-to-Black ratio of</w:t>
      </w:r>
      <w:r>
        <w:t xml:space="preserve"> </w:t>
      </w:r>
      <w:r>
        <w:t xml:space="preserve">test-takers scoring at or above four thresholds</w:t>
      </w:r>
      <w:r>
        <w:t xml:space="preserve"> </w:t>
      </w:r>
      <w:r>
        <w:t xml:space="preserve">(1400, 1450, 1500, 1550) for the 2025 graduating class cohort. At</w:t>
      </w:r>
      <w:r>
        <w:t xml:space="preserve"> </w:t>
      </w:r>
      <w:r>
        <w:t xml:space="preserve">the 1400 boundary the</w:t>
      </w:r>
      <w:r>
        <w:t xml:space="preserve"> </w:t>
      </w:r>
      <w:r>
        <w:t xml:space="preserve">values follow directly from the College Board’s published numbers (subject</w:t>
      </w:r>
      <w:r>
        <w:t xml:space="preserve"> </w:t>
      </w:r>
      <w:r>
        <w:t xml:space="preserve">to their</w:t>
      </w:r>
      <w:r>
        <w:t xml:space="preserve"> </w:t>
      </w:r>
      <m:oMath>
        <m:r>
          <m:rPr>
            <m:sty m:val="p"/>
          </m:rPr>
          <m:t>±</m:t>
        </m:r>
        <m:r>
          <m:t>0.5</m:t>
        </m:r>
      </m:oMath>
      <w:r>
        <w:t xml:space="preserve"> </w:t>
      </w:r>
      <w:r>
        <w:t xml:space="preserve">percentage-point integer rounding, which is</w:t>
      </w:r>
      <w:r>
        <w:t xml:space="preserve"> </w:t>
      </w:r>
      <w:r>
        <w:t xml:space="preserve">non-trivial when the printed share is itself near</w:t>
      </w:r>
      <w:r>
        <w:t xml:space="preserve"> </w:t>
      </w:r>
      <m:oMath>
        <m:r>
          <m:t>1</m:t>
        </m:r>
        <m:r>
          <m:rPr>
            <m:sty m:val="p"/>
          </m:rPr>
          <m:t>%</m:t>
        </m:r>
      </m:oMath>
      <w:r>
        <w:t xml:space="preserve">): Black</w:t>
      </w:r>
      <w:r>
        <w:t xml:space="preserve"> </w:t>
      </w:r>
      <w:r>
        <w:t xml:space="preserve">students are approximately 1.7% of the above-1400 pool, with</w:t>
      </w:r>
      <w:r>
        <w:t xml:space="preserve"> </w:t>
      </w:r>
      <w:r>
        <w:t xml:space="preserve">about 23 Asian test-takers above 1400 per Black. The</w:t>
      </w:r>
      <w:r>
        <w:t xml:space="preserve"> </w:t>
      </w:r>
      <w:r>
        <w:t xml:space="preserve">higher thresholds fall inside the top band, where the model</w:t>
      </w:r>
      <w:r>
        <w:t xml:space="preserve"> </w:t>
      </w:r>
      <w:r>
        <w:t xml:space="preserve">interpolates. The credible intervals are wide (the 1450+ ratio is</w:t>
      </w:r>
      <w:r>
        <w:t xml:space="preserve"> </w:t>
      </w:r>
      <w:r>
        <w:t xml:space="preserve">about 31 with 95% CI roughly 19–52, the</w:t>
      </w:r>
      <w:r>
        <w:t xml:space="preserve"> </w:t>
      </w:r>
      <w:r>
        <w:t xml:space="preserve">1550+ ratio about 60 with CI 31–123). We</w:t>
      </w:r>
      <w:r>
        <w:t xml:space="preserve"> </w:t>
      </w:r>
      <w:r>
        <w:t xml:space="preserve">stop at 1550 because the model’s</w:t>
      </w:r>
      <w:r>
        <w:t xml:space="preserve"> </w:t>
      </w:r>
      <m:oMath>
        <m:r>
          <m:t>P</m:t>
        </m:r>
        <m:d>
          <m:dPr>
            <m:begChr m:val="("/>
            <m:sepChr m:val=""/>
            <m:endChr m:val=")"/>
            <m:grow/>
          </m:dPr>
          <m:e>
            <m:r>
              <m:rPr>
                <m:nor/>
                <m:sty m:val="p"/>
              </m:rPr>
              <m:t>latent</m:t>
            </m:r>
            <m:r>
              <m:rPr>
                <m:sty m:val="p"/>
              </m:rPr>
              <m:t>≥</m:t>
            </m:r>
            <m:r>
              <m:t>t</m:t>
            </m:r>
          </m:e>
        </m:d>
      </m:oMath>
      <w:r>
        <w:t xml:space="preserve"> </w:t>
      </w:r>
      <w:r>
        <w:t xml:space="preserve">includes</w:t>
      </w:r>
      <w:r>
        <w:t xml:space="preserve"> </w:t>
      </w:r>
      <w:r>
        <w:t xml:space="preserve">mass past the 1600 ceiling that no reported score can realize: the</w:t>
      </w:r>
      <w:r>
        <w:t xml:space="preserve"> </w:t>
      </w:r>
      <w:r>
        <w:t xml:space="preserve">effect is small at moderate thresholds (the SAT User Percentile</w:t>
      </w:r>
      <w:r>
        <w:t xml:space="preserve"> </w:t>
      </w:r>
      <w:r>
        <w:t xml:space="preserve">check passes at 1500), grows toward the ceiling, and dominates as</w:t>
      </w:r>
      <w:r>
        <w:t xml:space="preserve"> </w:t>
      </w:r>
      <m:oMath>
        <m:r>
          <m:t>t</m:t>
        </m:r>
      </m:oMath>
      <w:r>
        <w:t xml:space="preserve"> </w:t>
      </w:r>
      <w:r>
        <w:t xml:space="preserve">approaches 1600. The medians trace the familiar tail-divergence</w:t>
      </w:r>
      <w:r>
        <w:t xml:space="preserve"> </w:t>
      </w:r>
      <w:r>
        <w:t xml:space="preserve">pattern; the figure’s substantive content is the width of the</w:t>
      </w:r>
      <w:r>
        <w:t xml:space="preserve"> </w:t>
      </w:r>
      <w:r>
        <w:t xml:space="preserve">intervals, which would be tighter under any model that treated the</w:t>
      </w:r>
      <w:r>
        <w:t xml:space="preserve"> </w:t>
      </w:r>
      <w:r>
        <w:t xml:space="preserve">rounded inputs as exact counts.</w:t>
      </w:r>
    </w:p>
    <w:tbl>
      <w:tblPr>
        <w:tblStyle w:val="Table"/>
        <w:tblW w:type="pct" w:w="5000"/>
        <w:tblLayout w:type="fixed"/>
        <w:tblLook w:firstRow="0" w:lastRow="0" w:firstColumn="0" w:lastColumn="0" w:noHBand="0" w:noVBand="0" w:val="0000"/>
      </w:tblPr>
      <w:tblGrid>
        <w:gridCol w:w="7920"/>
      </w:tblGrid>
      <w:tr>
        <w:tc>
          <w:tcPr/>
          <w:bookmarkStart w:id="73" w:name="fig-snapshot"/>
          <w:p>
            <w:pPr>
              <w:pStyle w:val="Compact"/>
              <w:jc w:val="center"/>
            </w:pPr>
            <w:r>
              <w:drawing>
                <wp:inline>
                  <wp:extent cx="5334000" cy="2696633"/>
                  <wp:effectExtent b="0" l="0" r="0" t="0"/>
                  <wp:docPr descr="" title="" id="71" name="Picture"/>
                  <a:graphic>
                    <a:graphicData uri="http://schemas.openxmlformats.org/drawingml/2006/picture">
                      <pic:pic>
                        <pic:nvPicPr>
                          <pic:cNvPr descr="sat_model_files/figure-docx/fig-snapshot-1.png" id="72" name="Picture"/>
                          <pic:cNvPicPr>
                            <a:picLocks noChangeArrowheads="1" noChangeAspect="1"/>
                          </pic:cNvPicPr>
                        </pic:nvPicPr>
                        <pic:blipFill>
                          <a:blip r:embed="rId70"/>
                          <a:stretch>
                            <a:fillRect/>
                          </a:stretch>
                        </pic:blipFill>
                        <pic:spPr bwMode="auto">
                          <a:xfrm>
                            <a:off x="0" y="0"/>
                            <a:ext cx="5334000" cy="2696633"/>
                          </a:xfrm>
                          <a:prstGeom prst="rect">
                            <a:avLst/>
                          </a:prstGeom>
                          <a:noFill/>
                          <a:ln w="9525">
                            <a:noFill/>
                            <a:headEnd/>
                            <a:tailEnd/>
                          </a:ln>
                        </pic:spPr>
                      </pic:pic>
                    </a:graphicData>
                  </a:graphic>
                </wp:inline>
              </w:drawing>
            </w:r>
          </w:p>
          <w:p>
            <w:pPr>
              <w:jc w:val="center"/>
            </w:pPr>
            <w:pPr>
              <w:jc w:val="left"/>
              <w:spacing w:before="200"/>
              <w:pStyle w:val="ImageCaption"/>
            </w:pPr>
            <w:r>
              <w:t xml:space="preserve">Figure 7:</w:t>
            </w:r>
            <w:r>
              <w:t xml:space="preserve"> </w:t>
            </w:r>
            <w:r>
              <w:rPr>
                <w:b/>
                <w:bCs/>
              </w:rPr>
              <w:t xml:space="preserve">Principal Tail Quantities for the 2025 Graduating Class.</w:t>
            </w:r>
            <w:r>
              <w:t xml:space="preserve"> </w:t>
            </w:r>
            <w:r>
              <w:t xml:space="preserve">Left: Black share of all test-takers above each threshold. Right: Asian-to-Black ratio of test-takers at or above each threshold. At</w:t>
            </w:r>
            <w:r>
              <w:t xml:space="preserve"> </w:t>
            </w:r>
            <m:oMath>
              <m:r>
                <m:t>t</m:t>
              </m:r>
              <m:r>
                <m:rPr>
                  <m:sty m:val="p"/>
                </m:rPr>
                <m:t>=</m:t>
              </m:r>
              <m:r>
                <m:t>1400</m:t>
              </m:r>
            </m:oMath>
            <w:r>
              <w:t xml:space="preserve"> </w:t>
            </w:r>
            <w:r>
              <w:t xml:space="preserve">the values follow directly from the College Board’s published numbers and are shown as point estimates without a credible interval, since the model is not used at this threshold; the only uncertainty is the</w:t>
            </w:r>
            <w:r>
              <w:t xml:space="preserve"> </w:t>
            </w:r>
            <m:oMath>
              <m:r>
                <m:rPr>
                  <m:sty m:val="p"/>
                </m:rPr>
                <m:t>±</m:t>
              </m:r>
              <m:r>
                <m:t>0.5</m:t>
              </m:r>
            </m:oMath>
            <w:r>
              <w:t xml:space="preserve"> </w:t>
            </w:r>
            <w:r>
              <w:t xml:space="preserve">percentage-point integer-rounding noise on each per-race share in the 1400–1600 band, which is a deterministic bound (not a credible interval) and is discussed in the text. The three higher thresholds fall inside the top band where the model interpolates: points show posterior medians and bars show 95% credible intervals.</w:t>
            </w:r>
          </w:p>
          <w:bookmarkEnd w:id="73"/>
        </w:tc>
      </w:tr>
    </w:tbl>
    <w:bookmarkEnd w:id="74"/>
    <w:bookmarkEnd w:id="75"/>
    <w:bookmarkStart w:id="76" w:name="discussion"/>
    <w:p>
      <w:pPr>
        <w:pStyle w:val="Heading1"/>
      </w:pPr>
      <w:r>
        <w:t xml:space="preserve">Discussion</w:t>
      </w:r>
    </w:p>
    <w:p>
      <w:pPr>
        <w:pStyle w:val="FirstParagraph"/>
      </w:pPr>
      <w:r>
        <w:t xml:space="preserve">This paper presents a Bayesian hierarchical model that recovers a</w:t>
      </w:r>
      <w:r>
        <w:t xml:space="preserve"> </w:t>
      </w:r>
      <w:r>
        <w:t xml:space="preserve">continuous per-group score distribution from coarsely banded summary</w:t>
      </w:r>
      <w:r>
        <w:t xml:space="preserve"> </w:t>
      </w:r>
      <w:r>
        <w:t xml:space="preserve">data. We then apply it to the College Board’s reports of SAT total</w:t>
      </w:r>
      <w:r>
        <w:t xml:space="preserve"> </w:t>
      </w:r>
      <w:r>
        <w:t xml:space="preserve">scores for the graduating classes of 2018 through 2025, using the</w:t>
      </w:r>
      <w:r>
        <w:t xml:space="preserve"> </w:t>
      </w:r>
      <w:r>
        <w:t xml:space="preserve">fitted distributions to answer composition and tail-quantity</w:t>
      </w:r>
      <w:r>
        <w:t xml:space="preserve"> </w:t>
      </w:r>
      <w:r>
        <w:t xml:space="preserve">questions about the 2025 cohort. Four modeling choices</w:t>
      </w:r>
      <w:r>
        <w:t xml:space="preserve"> </w:t>
      </w:r>
      <w:r>
        <w:t xml:space="preserve">underpin the result. A sinh-arcsinh shape gives separate skewness</w:t>
      </w:r>
      <w:r>
        <w:t xml:space="preserve"> </w:t>
      </w:r>
      <w:r>
        <w:t xml:space="preserve">and tail-weight parameters with a closed-form CDF that evaluates in</w:t>
      </w:r>
      <w:r>
        <w:t xml:space="preserve"> </w:t>
      </w:r>
      <w:r>
        <w:t xml:space="preserve">constant time inside the likelihood. A free per-cell location holds</w:t>
      </w:r>
      <w:r>
        <w:t xml:space="preserve"> </w:t>
      </w:r>
      <w:r>
        <w:t xml:space="preserve">the published group mean out of the fit, which both avoids</w:t>
      </w:r>
      <w:r>
        <w:t xml:space="preserve"> </w:t>
      </w:r>
      <w:r>
        <w:t xml:space="preserve">double-counting it as a separate fact about the same students and</w:t>
      </w:r>
      <w:r>
        <w:t xml:space="preserve"> </w:t>
      </w:r>
      <w:r>
        <w:t xml:space="preserve">makes it a held-out quantity that the model has to recover. A</w:t>
      </w:r>
      <w:r>
        <w:t xml:space="preserve"> </w:t>
      </w:r>
      <w:r>
        <w:t xml:space="preserve">Dirichlet likelihood on the observed proportions provides a</w:t>
      </w:r>
      <w:r>
        <w:t xml:space="preserve"> </w:t>
      </w:r>
      <w:r>
        <w:t xml:space="preserve">group-size-invariant overdispersion that the per-group concentration</w:t>
      </w:r>
      <w:r>
        <w:t xml:space="preserve"> </w:t>
      </w:r>
      <w:r>
        <w:t xml:space="preserve">parameter fits to the actual residuals, in contrast to the sampling</w:t>
      </w:r>
      <w:r>
        <w:t xml:space="preserve"> </w:t>
      </w:r>
      <w:r>
        <w:t xml:space="preserve">noise assumed by a multinomial on reconstructed counts. And a</w:t>
      </w:r>
      <w:r>
        <w:t xml:space="preserve"> </w:t>
      </w:r>
      <w:r>
        <w:t xml:space="preserve">partial-pooling hierarchy across groups stabilizes the skewness,</w:t>
      </w:r>
      <w:r>
        <w:t xml:space="preserve"> </w:t>
      </w:r>
      <w:r>
        <w:t xml:space="preserve">tail-weight, and concentration parameters for the smaller cohorts</w:t>
      </w:r>
      <w:r>
        <w:t xml:space="preserve"> </w:t>
      </w:r>
      <w:r>
        <w:t xml:space="preserve">(Native Hawaiian/Other Pacific Islander, American Indian/Alaska</w:t>
      </w:r>
      <w:r>
        <w:t xml:space="preserve"> </w:t>
      </w:r>
      <w:r>
        <w:t xml:space="preserve">Native), which would otherwise be too imprecise to support per-group</w:t>
      </w:r>
      <w:r>
        <w:t xml:space="preserve"> </w:t>
      </w:r>
      <w:r>
        <w:t xml:space="preserve">tail-quantity claims.</w:t>
      </w:r>
    </w:p>
    <w:p>
      <w:pPr>
        <w:pStyle w:val="BodyText"/>
      </w:pPr>
      <w:r>
        <w:t xml:space="preserve">The contribution is the model itself, in two respects. The</w:t>
      </w:r>
      <w:r>
        <w:t xml:space="preserve"> </w:t>
      </w:r>
      <w:r>
        <w:t xml:space="preserve">sinh-arcsinh family</w:t>
      </w:r>
      <w:r>
        <w:t xml:space="preserve"> </w:t>
      </w:r>
      <w:r>
        <w:t xml:space="preserve">(</w:t>
      </w:r>
      <w:hyperlink w:anchor="ref-jonespewsey2009">
        <w:r>
          <w:rPr>
            <w:rStyle w:val="Hyperlink"/>
          </w:rPr>
          <w:t xml:space="preserve">Jones &amp; Pewsey, 2009</w:t>
        </w:r>
      </w:hyperlink>
      <w:r>
        <w:t xml:space="preserve">)</w:t>
      </w:r>
      <w:r>
        <w:t xml:space="preserve"> </w:t>
      </w:r>
      <w:r>
        <w:t xml:space="preserve">is well established in flexible</w:t>
      </w:r>
      <w:r>
        <w:t xml:space="preserve"> </w:t>
      </w:r>
      <w:r>
        <w:t xml:space="preserve">distributional modeling, principally within the GAMLSS framework</w:t>
      </w:r>
      <w:r>
        <w:t xml:space="preserve"> </w:t>
      </w:r>
      <w:r>
        <w:t xml:space="preserve">(</w:t>
      </w:r>
      <w:hyperlink w:anchor="ref-rigbystasinopoulos2005">
        <w:r>
          <w:rPr>
            <w:rStyle w:val="Hyperlink"/>
          </w:rPr>
          <w:t xml:space="preserve">Rigby &amp; Stasinopoulos, 2005</w:t>
        </w:r>
      </w:hyperlink>
      <w:r>
        <w:t xml:space="preserve">;</w:t>
      </w:r>
      <w:r>
        <w:t xml:space="preserve"> </w:t>
      </w:r>
      <w:hyperlink w:anchor="ref-stasinopoulosrigby2007">
        <w:r>
          <w:rPr>
            <w:rStyle w:val="Hyperlink"/>
          </w:rPr>
          <w:t xml:space="preserve">Stasinopoulos &amp; Rigby, 2007</w:t>
        </w:r>
      </w:hyperlink>
      <w:r>
        <w:t xml:space="preserve">)</w:t>
      </w:r>
      <w:r>
        <w:t xml:space="preserve"> </w:t>
      </w:r>
      <w:r>
        <w:t xml:space="preserve">for individual-level</w:t>
      </w:r>
      <w:r>
        <w:t xml:space="preserve"> </w:t>
      </w:r>
      <w:r>
        <w:t xml:space="preserve">data; prior work has not, to our knowledge, applied it to coarsely</w:t>
      </w:r>
      <w:r>
        <w:t xml:space="preserve"> </w:t>
      </w:r>
      <w:r>
        <w:t xml:space="preserve">banded score data with a Dirichlet likelihood whose group-size-invariant</w:t>
      </w:r>
      <w:r>
        <w:t xml:space="preserve"> </w:t>
      </w:r>
      <w:r>
        <w:t xml:space="preserve">overdispersion accommodates the rounding step and the residual misfit</w:t>
      </w:r>
      <w:r>
        <w:t xml:space="preserve"> </w:t>
      </w:r>
      <w:r>
        <w:t xml:space="preserve">of a parsimonious shape assumption. Separately, fitting a full parametric score distribution to each</w:t>
      </w:r>
      <w:r>
        <w:t xml:space="preserve"> </w:t>
      </w:r>
      <w:r>
        <w:t xml:space="preserve">(group, year) cell of the College Board’s publicly released banded</w:t>
      </w:r>
      <w:r>
        <w:t xml:space="preserve"> </w:t>
      </w:r>
      <w:r>
        <w:t xml:space="preserve">summaries is, to our knowledge, new. Published work on group differences in SAT</w:t>
      </w:r>
      <w:r>
        <w:t xml:space="preserve"> </w:t>
      </w:r>
      <w:r>
        <w:t xml:space="preserve">performance has either relied on access to individual scores</w:t>
      </w:r>
      <w:r>
        <w:t xml:space="preserve"> </w:t>
      </w:r>
      <w:r>
        <w:t xml:space="preserve">(</w:t>
      </w:r>
      <w:hyperlink w:anchor="ref-kobrinpatterson2011">
        <w:r>
          <w:rPr>
            <w:rStyle w:val="Hyperlink"/>
          </w:rPr>
          <w:t xml:space="preserve">Kobrin &amp; Patterson, 2011</w:t>
        </w:r>
      </w:hyperlink>
      <w:r>
        <w:t xml:space="preserve">;</w:t>
      </w:r>
      <w:r>
        <w:t xml:space="preserve"> </w:t>
      </w:r>
      <w:hyperlink w:anchor="ref-kuncelhezlett2010">
        <w:r>
          <w:rPr>
            <w:rStyle w:val="Hyperlink"/>
          </w:rPr>
          <w:t xml:space="preserve">Kuncel &amp; Hezlett, 2010</w:t>
        </w:r>
      </w:hyperlink>
      <w:r>
        <w:t xml:space="preserve">; e.g.</w:t>
      </w:r>
      <w:r>
        <w:t xml:space="preserve"> </w:t>
      </w:r>
      <w:hyperlink w:anchor="ref-sackettkuncelhezlett2009">
        <w:r>
          <w:rPr>
            <w:rStyle w:val="Hyperlink"/>
          </w:rPr>
          <w:t xml:space="preserve">Sackett et al., 2009</w:t>
        </w:r>
      </w:hyperlink>
      <w:r>
        <w:t xml:space="preserve">)</w:t>
      </w:r>
      <w:r>
        <w:t xml:space="preserve"> </w:t>
      </w:r>
      <w:r>
        <w:t xml:space="preserve">or has stayed at the level of published</w:t>
      </w:r>
      <w:r>
        <w:t xml:space="preserve"> </w:t>
      </w:r>
      <w:r>
        <w:t xml:space="preserve">moments and aggregate gap estimates</w:t>
      </w:r>
      <w:r>
        <w:t xml:space="preserve"> </w:t>
      </w:r>
      <w:r>
        <w:t xml:space="preserve">(</w:t>
      </w:r>
      <w:hyperlink w:anchor="ref-hauser2002">
        <w:r>
          <w:rPr>
            <w:rStyle w:val="Hyperlink"/>
          </w:rPr>
          <w:t xml:space="preserve">Hauser, 2002</w:t>
        </w:r>
      </w:hyperlink>
      <w:r>
        <w:t xml:space="preserve">; e.g.</w:t>
      </w:r>
      <w:r>
        <w:t xml:space="preserve"> </w:t>
      </w:r>
      <w:hyperlink w:anchor="ref-roth2001ethnic">
        <w:r>
          <w:rPr>
            <w:rStyle w:val="Hyperlink"/>
          </w:rPr>
          <w:t xml:space="preserve">Roth et al., 2001</w:t>
        </w:r>
      </w:hyperlink>
      <w:r>
        <w:t xml:space="preserve">)</w:t>
      </w:r>
      <w:r>
        <w:t xml:space="preserve">. The methods literature on inferring</w:t>
      </w:r>
      <w:r>
        <w:t xml:space="preserve"> </w:t>
      </w:r>
      <w:r>
        <w:t xml:space="preserve">score gaps from coarse public data</w:t>
      </w:r>
      <w:r>
        <w:t xml:space="preserve"> </w:t>
      </w:r>
      <w:r>
        <w:t xml:space="preserve">(</w:t>
      </w:r>
      <w:hyperlink w:anchor="ref-reardon2011">
        <w:r>
          <w:rPr>
            <w:rStyle w:val="Hyperlink"/>
          </w:rPr>
          <w:t xml:space="preserve">Reardon, 2011</w:t>
        </w:r>
      </w:hyperlink>
      <w:r>
        <w:t xml:space="preserve">;</w:t>
      </w:r>
      <w:r>
        <w:t xml:space="preserve"> </w:t>
      </w:r>
      <w:hyperlink w:anchor="ref-reardonkalogridesshores2019">
        <w:r>
          <w:rPr>
            <w:rStyle w:val="Hyperlink"/>
          </w:rPr>
          <w:t xml:space="preserve">Reardon et al., 2019</w:t>
        </w:r>
      </w:hyperlink>
      <w:r>
        <w:t xml:space="preserve">)</w:t>
      </w:r>
      <w:r>
        <w:t xml:space="preserve"> </w:t>
      </w:r>
      <w:r>
        <w:t xml:space="preserve">uses multilevel structures to recover</w:t>
      </w:r>
      <w:r>
        <w:t xml:space="preserve"> </w:t>
      </w:r>
      <w:r>
        <w:t xml:space="preserve">mean gaps with calibrated uncertainty from heaped or banded</w:t>
      </w:r>
      <w:r>
        <w:t xml:space="preserve"> </w:t>
      </w:r>
      <w:r>
        <w:t xml:space="preserve">state-accountability test data, but has not paired a parametric</w:t>
      </w:r>
      <w:r>
        <w:t xml:space="preserve"> </w:t>
      </w:r>
      <w:r>
        <w:t xml:space="preserve">within-group distribution with a group-size-invariant Dirichlet</w:t>
      </w:r>
      <w:r>
        <w:t xml:space="preserve"> </w:t>
      </w:r>
      <w:r>
        <w:t xml:space="preserve">likelihood on the proportions themselves. The contribution here is</w:t>
      </w:r>
      <w:r>
        <w:t xml:space="preserve"> </w:t>
      </w:r>
      <w:r>
        <w:t xml:space="preserve">complementary rather than competing: within-group</w:t>
      </w:r>
      <w:r>
        <w:t xml:space="preserve"> </w:t>
      </w:r>
      <w:r>
        <w:rPr>
          <w:i/>
          <w:iCs/>
        </w:rPr>
        <w:t xml:space="preserve">shape</w:t>
      </w:r>
      <w:r>
        <w:t xml:space="preserve"> </w:t>
      </w:r>
      <w:r>
        <w:t xml:space="preserve">on</w:t>
      </w:r>
      <w:r>
        <w:t xml:space="preserve"> </w:t>
      </w:r>
      <w:r>
        <w:t xml:space="preserve">nationally aggregated SAT data, rather than between-group means on</w:t>
      </w:r>
      <w:r>
        <w:t xml:space="preserve"> </w:t>
      </w:r>
      <w:r>
        <w:t xml:space="preserve">state-accountability data. The framework proposed here is therefore the</w:t>
      </w:r>
      <w:r>
        <w:t xml:space="preserve"> </w:t>
      </w:r>
      <w:r>
        <w:t xml:space="preserve">first that allows a reader who has only the public banded reports to</w:t>
      </w:r>
      <w:r>
        <w:t xml:space="preserve"> </w:t>
      </w:r>
      <w:r>
        <w:t xml:space="preserve">ask compositional and tail-quantity questions about each racial/ethnic</w:t>
      </w:r>
      <w:r>
        <w:t xml:space="preserve"> </w:t>
      </w:r>
      <w:r>
        <w:t xml:space="preserve">group of SAT-takers separately, and to receive answers with calibrated</w:t>
      </w:r>
      <w:r>
        <w:t xml:space="preserve"> </w:t>
      </w:r>
      <w:r>
        <w:t xml:space="preserve">uncertainty.</w:t>
      </w:r>
    </w:p>
    <w:p>
      <w:pPr>
        <w:pStyle w:val="BodyText"/>
      </w:pPr>
      <w:r>
        <w:t xml:space="preserve">The validation has two held-out surfaces. The five-number cohort</w:t>
      </w:r>
      <w:r>
        <w:t xml:space="preserve"> </w:t>
      </w:r>
      <w:r>
        <w:t xml:space="preserve">moments — mean, SD, and three quartile scores — are reproduced to</w:t>
      </w:r>
      <w:r>
        <w:t xml:space="preserve"> </w:t>
      </w:r>
      <w:r>
        <w:t xml:space="preserve">within a few score points (for the mean and SD) or about a</w:t>
      </w:r>
      <w:r>
        <w:t xml:space="preserve"> </w:t>
      </w:r>
      <w:r>
        <w:t xml:space="preserve">percentage point in implied rank (for the three quartiles) in</w:t>
      </w:r>
      <w:r>
        <w:t xml:space="preserve"> </w:t>
      </w:r>
      <w:r>
        <w:t xml:space="preserve">most years. The fine-grained SAT User Percentile reference</w:t>
      </w:r>
      <w:r>
        <w:t xml:space="preserve"> </w:t>
      </w:r>
      <w:r>
        <w:t xml:space="preserve">is tracked closely through the 1500 threshold, with a mild residual</w:t>
      </w:r>
      <w:r>
        <w:t xml:space="preserve"> </w:t>
      </w:r>
      <w:r>
        <w:t xml:space="preserve">at 1550. The 24 quartile cells are the genuine out-of-sample test</w:t>
      </w:r>
      <w:r>
        <w:t xml:space="preserve"> </w:t>
      </w:r>
      <w:r>
        <w:t xml:space="preserve">passed by the fit; the cohort mean is a near-mechanical consequence</w:t>
      </w:r>
      <w:r>
        <w:t xml:space="preserve"> </w:t>
      </w:r>
      <w:r>
        <w:t xml:space="preserve">of fitting the band proportions, and the cohort SD a slightly looser</w:t>
      </w:r>
      <w:r>
        <w:t xml:space="preserve"> </w:t>
      </w:r>
      <w:r>
        <w:t xml:space="preserve">corollary with some residual freedom in the within-group shape.</w:t>
      </w:r>
    </w:p>
    <w:p>
      <w:pPr>
        <w:pStyle w:val="BodyText"/>
      </w:pPr>
      <w:r>
        <w:t xml:space="preserve">The model has real limitations. All credible intervals reported on</w:t>
      </w:r>
      <w:r>
        <w:t xml:space="preserve"> </w:t>
      </w:r>
      <w:r>
        <w:t xml:space="preserve">tail quantities are conditional on the SHASH parametric form being</w:t>
      </w:r>
      <w:r>
        <w:t xml:space="preserve"> </w:t>
      </w:r>
      <w:r>
        <w:t xml:space="preserve">correct. The SHASH form interpolates the</w:t>
      </w:r>
      <w:r>
        <w:t xml:space="preserve"> </w:t>
      </w:r>
      <w:r>
        <w:t xml:space="preserve">within-1400–1600 shape that the band data cannot identify, and is</w:t>
      </w:r>
      <w:r>
        <w:t xml:space="preserve"> </w:t>
      </w:r>
      <w:r>
        <w:t xml:space="preserve">checked against the held-out SAT User Percentile reference. The</w:t>
      </w:r>
      <w:r>
        <w:t xml:space="preserve"> </w:t>
      </w:r>
      <w:r>
        <w:t xml:space="preserve">model agrees with the reference at</w:t>
      </w:r>
      <w:r>
        <w:t xml:space="preserve"> </w:t>
      </w:r>
      <m:oMath>
        <m:r>
          <m:t>t</m:t>
        </m:r>
        <m:r>
          <m:rPr>
            <m:sty m:val="p"/>
          </m:rPr>
          <m:t>=</m:t>
        </m:r>
        <m:r>
          <m:t>1500</m:t>
        </m:r>
      </m:oMath>
      <w:r>
        <w:t xml:space="preserve"> </w:t>
      </w:r>
      <w:r>
        <w:t xml:space="preserve">and drifts modestly</w:t>
      </w:r>
      <w:r>
        <w:t xml:space="preserve"> </w:t>
      </w:r>
      <w:r>
        <w:t xml:space="preserve">above it at</w:t>
      </w:r>
      <w:r>
        <w:t xml:space="preserve"> </w:t>
      </w:r>
      <m:oMath>
        <m:r>
          <m:t>t</m:t>
        </m:r>
        <m:r>
          <m:rPr>
            <m:sty m:val="p"/>
          </m:rPr>
          <m:t>=</m:t>
        </m:r>
        <m:r>
          <m:t>1550</m:t>
        </m:r>
      </m:oMath>
      <w:r>
        <w:t xml:space="preserve"> </w:t>
      </w:r>
      <w:r>
        <w:t xml:space="preserve">(by 0.5–1.0 percentage points in recent</w:t>
      </w:r>
      <w:r>
        <w:t xml:space="preserve"> </w:t>
      </w:r>
      <w:r>
        <w:t xml:space="preserve">windows). The cohort SD is missed in 2018 and 2022, and the</w:t>
      </w:r>
      <w:r>
        <w:t xml:space="preserve"> </w:t>
      </w:r>
      <w:r>
        <w:t xml:space="preserve">posterior rank of the published</w:t>
      </w:r>
      <w:r>
        <w:t xml:space="preserve"> </w:t>
      </w:r>
      <m:oMath>
        <m:sSub>
          <m:e>
            <m:r>
              <m:t>p</m:t>
            </m:r>
          </m:e>
          <m:sub>
            <m:r>
              <m:t>75</m:t>
            </m:r>
          </m:sub>
        </m:sSub>
      </m:oMath>
      <w:r>
        <w:t xml:space="preserve"> </w:t>
      </w:r>
      <w:r>
        <w:t xml:space="preserve">runs about a percentage</w:t>
      </w:r>
      <w:r>
        <w:t xml:space="preserve"> </w:t>
      </w:r>
      <w:r>
        <w:t xml:space="preserve">point high in 2024 and 2025.</w:t>
      </w:r>
    </w:p>
    <w:p>
      <w:pPr>
        <w:pStyle w:val="BodyText"/>
      </w:pPr>
      <w:r>
        <w:t xml:space="preserve">A natural extension would be joint estimation against the SAT User</w:t>
      </w:r>
      <w:r>
        <w:t xml:space="preserve"> </w:t>
      </w:r>
      <w:r>
        <w:t xml:space="preserve">Percentile reference table, which would tighten the upper-tail fit at</w:t>
      </w:r>
      <w:r>
        <w:t xml:space="preserve"> </w:t>
      </w:r>
      <m:oMath>
        <m:r>
          <m:t>t</m:t>
        </m:r>
        <m:r>
          <m:rPr>
            <m:sty m:val="p"/>
          </m:rPr>
          <m:t>=</m:t>
        </m:r>
        <m:r>
          <m:t>1550</m:t>
        </m:r>
      </m:oMath>
      <w:r>
        <w:t xml:space="preserve"> </w:t>
      </w:r>
      <w:r>
        <w:t xml:space="preserve">and above.</w:t>
      </w:r>
      <w:r>
        <w:t xml:space="preserve"> </w:t>
      </w:r>
      <w:r>
        <w:t xml:space="preserve">Beyond the SAT, the framework applies to any aggregate testing</w:t>
      </w:r>
      <w:r>
        <w:t xml:space="preserve"> </w:t>
      </w:r>
      <w:r>
        <w:t xml:space="preserve">report that publishes per-group banded distributions; any other published</w:t>
      </w:r>
      <w:r>
        <w:t xml:space="preserve"> </w:t>
      </w:r>
      <w:r>
        <w:t xml:space="preserve">quantities — group or cohort means, SDs, percentiles — can be</w:t>
      </w:r>
      <w:r>
        <w:t xml:space="preserve"> </w:t>
      </w:r>
      <w:r>
        <w:t xml:space="preserve">held out as additional validation checks as the SAT cohort SD and</w:t>
      </w:r>
      <w:r>
        <w:t xml:space="preserve"> </w:t>
      </w:r>
      <w:r>
        <w:t xml:space="preserve">quartiles are here.</w:t>
      </w:r>
    </w:p>
    <w:p>
      <w:pPr>
        <w:pStyle w:val="BodyText"/>
      </w:pPr>
      <w:r>
        <w:t xml:space="preserve">The paper estimates per-group</w:t>
      </w:r>
      <w:r>
        <w:t xml:space="preserve"> </w:t>
      </w:r>
      <w:r>
        <w:rPr>
          <w:i/>
          <w:iCs/>
        </w:rPr>
        <w:t xml:space="preserve">latent score distributions</w:t>
      </w:r>
      <w:r>
        <w:rPr>
          <w:i/>
          <w:iCs/>
        </w:rPr>
        <w:t xml:space="preserve"> </w:t>
      </w:r>
      <w:r>
        <w:rPr>
          <w:i/>
          <w:iCs/>
        </w:rPr>
        <w:t xml:space="preserve">conditional on test participation</w:t>
      </w:r>
      <w:r>
        <w:t xml:space="preserve">, not population cognitive</w:t>
      </w:r>
      <w:r>
        <w:t xml:space="preserve"> </w:t>
      </w:r>
      <w:r>
        <w:t xml:space="preserve">distributions. Mapping the same</w:t>
      </w:r>
      <w:r>
        <w:t xml:space="preserve"> </w:t>
      </w:r>
      <w:r>
        <w:t xml:space="preserve">estimates to the broader college-bound or U.S. 18-year-old</w:t>
      </w:r>
      <w:r>
        <w:t xml:space="preserve"> </w:t>
      </w:r>
      <w:r>
        <w:t xml:space="preserve">population would require a model of who choses to take the SAT. We do not attempt that mapping here.</w:t>
      </w:r>
    </w:p>
    <w:bookmarkEnd w:id="76"/>
    <w:bookmarkStart w:id="77" w:name="data-and-code-availability"/>
    <w:p>
      <w:pPr>
        <w:pStyle w:val="Heading1"/>
      </w:pPr>
      <w:r>
        <w:t xml:space="preserve">Data and Code Availability</w:t>
      </w:r>
    </w:p>
    <w:p>
      <w:pPr>
        <w:pStyle w:val="FirstParagraph"/>
      </w:pPr>
      <w:r>
        <w:t xml:space="preserve">The College Board reports used here are public</w:t>
      </w:r>
      <w:r>
        <w:t xml:space="preserve"> </w:t>
      </w:r>
      <w:r>
        <w:t xml:space="preserve">(</w:t>
      </w:r>
      <w:hyperlink w:anchor="ref-collegeboard_annual">
        <w:r>
          <w:rPr>
            <w:rStyle w:val="Hyperlink"/>
          </w:rPr>
          <w:t xml:space="preserve">College Board, 2018–2025</w:t>
        </w:r>
      </w:hyperlink>
      <w:r>
        <w:t xml:space="preserve">,</w:t>
      </w:r>
      <w:r>
        <w:t xml:space="preserve"> </w:t>
      </w:r>
      <w:hyperlink w:anchor="ref-collegeboard_percentiles">
        <w:r>
          <w:rPr>
            <w:rStyle w:val="Hyperlink"/>
          </w:rPr>
          <w:t xml:space="preserve">2025</w:t>
        </w:r>
      </w:hyperlink>
      <w:r>
        <w:t xml:space="preserve">)</w:t>
      </w:r>
      <w:r>
        <w:t xml:space="preserve">. Copies of those PDFs, the extraction scripts, the cleaned data,</w:t>
      </w:r>
      <w:r>
        <w:t xml:space="preserve"> </w:t>
      </w:r>
      <w:r>
        <w:t xml:space="preserve">the Stan model, and the code that produced every table and figure in</w:t>
      </w:r>
      <w:r>
        <w:t xml:space="preserve"> </w:t>
      </w:r>
      <w:r>
        <w:t xml:space="preserve">this paper are available in a public repository: [to be supplied after blind</w:t>
      </w:r>
      <w:r>
        <w:t xml:space="preserve"> </w:t>
      </w:r>
      <w:r>
        <w:t xml:space="preserve">peer review is complete].</w:t>
      </w:r>
    </w:p>
    <w:bookmarkEnd w:id="77"/>
    <w:bookmarkStart w:id="145" w:name="references"/>
    <w:p>
      <w:pPr>
        <w:pStyle w:val="Heading1"/>
      </w:pPr>
      <w:r>
        <w:t xml:space="preserve">References</w:t>
      </w:r>
    </w:p>
    <w:bookmarkStart w:id="144" w:name="refs"/>
    <w:bookmarkStart w:id="78" w:name="ref-azzalini1985"/>
    <w:p>
      <w:pPr>
        <w:pStyle w:val="Bibliography"/>
      </w:pPr>
      <w:r>
        <w:t xml:space="preserve">Azzalini, A. (1985). A class of distributions which includes the normal ones.</w:t>
      </w:r>
      <w:r>
        <w:t xml:space="preserve"> </w:t>
      </w:r>
      <w:r>
        <w:rPr>
          <w:i/>
          <w:iCs/>
        </w:rPr>
        <w:t xml:space="preserve">Scandinavian Journal of Statistics</w:t>
      </w:r>
      <w:r>
        <w:t xml:space="preserve">,</w:t>
      </w:r>
      <w:r>
        <w:t xml:space="preserve"> </w:t>
      </w:r>
      <w:r>
        <w:rPr>
          <w:i/>
          <w:iCs/>
        </w:rPr>
        <w:t xml:space="preserve">12</w:t>
      </w:r>
      <w:r>
        <w:t xml:space="preserve">(2), 171–178.</w:t>
      </w:r>
    </w:p>
    <w:bookmarkEnd w:id="78"/>
    <w:bookmarkStart w:id="80" w:name="ref-azzalini2014"/>
    <w:p>
      <w:pPr>
        <w:pStyle w:val="Bibliography"/>
      </w:pPr>
      <w:r>
        <w:t xml:space="preserve">Azzalini, A., &amp; Capitanio, A. (2014).</w:t>
      </w:r>
      <w:r>
        <w:t xml:space="preserve"> </w:t>
      </w:r>
      <w:r>
        <w:rPr>
          <w:i/>
          <w:iCs/>
        </w:rPr>
        <w:t xml:space="preserve">The skew-normal and related families</w:t>
      </w:r>
      <w:r>
        <w:t xml:space="preserve">. Cambridge University Press.</w:t>
      </w:r>
      <w:r>
        <w:t xml:space="preserve"> </w:t>
      </w:r>
      <w:hyperlink r:id="rId79">
        <w:r>
          <w:rPr>
            <w:rStyle w:val="Hyperlink"/>
          </w:rPr>
          <w:t xml:space="preserve">https://doi.org/10.1017/CBO9781139248891</w:t>
        </w:r>
      </w:hyperlink>
    </w:p>
    <w:bookmarkEnd w:id="80"/>
    <w:bookmarkStart w:id="82" w:name="ref-betancourt2017hmc"/>
    <w:p>
      <w:pPr>
        <w:pStyle w:val="Bibliography"/>
      </w:pPr>
      <w:r>
        <w:t xml:space="preserve">Betancourt, M. (2017). A conceptual introduction to</w:t>
      </w:r>
      <w:r>
        <w:t xml:space="preserve"> </w:t>
      </w:r>
      <w:r>
        <w:t xml:space="preserve">Hamiltonian</w:t>
      </w:r>
      <w:r>
        <w:t xml:space="preserve"> </w:t>
      </w:r>
      <w:r>
        <w:t xml:space="preserve">Monte</w:t>
      </w:r>
      <w:r>
        <w:t xml:space="preserve"> </w:t>
      </w:r>
      <w:r>
        <w:t xml:space="preserve">Carlo</w:t>
      </w:r>
      <w:r>
        <w:t xml:space="preserve">.</w:t>
      </w:r>
      <w:r>
        <w:t xml:space="preserve"> </w:t>
      </w:r>
      <w:r>
        <w:rPr>
          <w:i/>
          <w:iCs/>
        </w:rPr>
        <w:t xml:space="preserve">arXiv Preprint arXiv:1701.02434</w:t>
      </w:r>
      <w:r>
        <w:t xml:space="preserve">.</w:t>
      </w:r>
      <w:r>
        <w:t xml:space="preserve"> </w:t>
      </w:r>
      <w:hyperlink r:id="rId81">
        <w:r>
          <w:rPr>
            <w:rStyle w:val="Hyperlink"/>
          </w:rPr>
          <w:t xml:space="preserve">https://doi.org/10.48550/arXiv.1701.02434</w:t>
        </w:r>
      </w:hyperlink>
    </w:p>
    <w:bookmarkEnd w:id="82"/>
    <w:bookmarkStart w:id="83" w:name="ref-burkner2025posterior"/>
    <w:p>
      <w:pPr>
        <w:pStyle w:val="Bibliography"/>
      </w:pPr>
      <w:r>
        <w:t xml:space="preserve">Bürkner, P.-C., Gabry, J., Kay, M., &amp; Vehtari, A. (2025).</w:t>
      </w:r>
      <w:r>
        <w:t xml:space="preserve"> </w:t>
      </w:r>
      <w:r>
        <w:rPr>
          <w:i/>
          <w:iCs/>
        </w:rPr>
        <w:t xml:space="preserve">posterior</w:t>
      </w:r>
      <w:r>
        <w:rPr>
          <w:i/>
          <w:iCs/>
        </w:rPr>
        <w:t xml:space="preserve">: Tools for working with posterior distributions</w:t>
      </w:r>
      <w:r>
        <w:t xml:space="preserve">.</w:t>
      </w:r>
    </w:p>
    <w:bookmarkEnd w:id="83"/>
    <w:bookmarkStart w:id="85" w:name="ref-carpenter2017stan"/>
    <w:p>
      <w:pPr>
        <w:pStyle w:val="Bibliography"/>
      </w:pPr>
      <w:r>
        <w:t xml:space="preserve">Carpenter, B., Gelman, A., Hoffman, M. D., Lee, D., Goodrich, B., Betancourt, M., Brubaker, M. A., Guo, J., Li, P., &amp; Riddell, A. (2017). Stan: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84">
        <w:r>
          <w:rPr>
            <w:rStyle w:val="Hyperlink"/>
          </w:rPr>
          <w:t xml:space="preserve">https://doi.org/10.18637/jss.v076.i01</w:t>
        </w:r>
      </w:hyperlink>
    </w:p>
    <w:bookmarkEnd w:id="85"/>
    <w:bookmarkStart w:id="86" w:name="ref-collegeboard_annual"/>
    <w:p>
      <w:pPr>
        <w:pStyle w:val="Bibliography"/>
      </w:pPr>
      <w:r>
        <w:t xml:space="preserve">College Board. (2018–2025).</w:t>
      </w:r>
      <w:r>
        <w:t xml:space="preserve"> </w:t>
      </w:r>
      <w:r>
        <w:rPr>
          <w:i/>
          <w:iCs/>
        </w:rPr>
        <w:t xml:space="preserve">SAT</w:t>
      </w:r>
      <w:r>
        <w:rPr>
          <w:i/>
          <w:iCs/>
        </w:rPr>
        <w:t xml:space="preserve"> </w:t>
      </w:r>
      <w:r>
        <w:rPr>
          <w:i/>
          <w:iCs/>
        </w:rPr>
        <w:t xml:space="preserve">suite of assessments annual report</w:t>
      </w:r>
      <w:r>
        <w:t xml:space="preserve">. Annual reports for the graduating classes of 2018–2025. College Board, New York.</w:t>
      </w:r>
    </w:p>
    <w:bookmarkEnd w:id="86"/>
    <w:bookmarkStart w:id="87" w:name="ref-collegeboard_techmanual"/>
    <w:p>
      <w:pPr>
        <w:pStyle w:val="Bibliography"/>
      </w:pPr>
      <w:r>
        <w:t xml:space="preserve">College Board. (2024).</w:t>
      </w:r>
      <w:r>
        <w:t xml:space="preserve"> </w:t>
      </w:r>
      <w:r>
        <w:rPr>
          <w:i/>
          <w:iCs/>
        </w:rPr>
        <w:t xml:space="preserve">SAT</w:t>
      </w:r>
      <w:r>
        <w:rPr>
          <w:i/>
          <w:iCs/>
        </w:rPr>
        <w:t xml:space="preserve"> </w:t>
      </w:r>
      <w:r>
        <w:rPr>
          <w:i/>
          <w:iCs/>
        </w:rPr>
        <w:t xml:space="preserve">suite of assessments technical manual</w:t>
      </w:r>
      <w:r>
        <w:t xml:space="preserve">. College Board, New York.</w:t>
      </w:r>
    </w:p>
    <w:bookmarkEnd w:id="87"/>
    <w:bookmarkStart w:id="88" w:name="ref-collegeboard_percentiles"/>
    <w:p>
      <w:pPr>
        <w:pStyle w:val="Bibliography"/>
      </w:pPr>
      <w:r>
        <w:t xml:space="preserve">College Board. (2025).</w:t>
      </w:r>
      <w:r>
        <w:t xml:space="preserve"> </w:t>
      </w:r>
      <w:r>
        <w:rPr>
          <w:i/>
          <w:iCs/>
        </w:rPr>
        <w:t xml:space="preserve">Understanding</w:t>
      </w:r>
      <w:r>
        <w:rPr>
          <w:i/>
          <w:iCs/>
        </w:rPr>
        <w:t xml:space="preserve"> </w:t>
      </w:r>
      <w:r>
        <w:rPr>
          <w:i/>
          <w:iCs/>
        </w:rPr>
        <w:t xml:space="preserve">SAT</w:t>
      </w:r>
      <w:r>
        <w:rPr>
          <w:i/>
          <w:iCs/>
        </w:rPr>
        <w:t xml:space="preserve"> </w:t>
      </w:r>
      <w:r>
        <w:rPr>
          <w:i/>
          <w:iCs/>
        </w:rPr>
        <w:t xml:space="preserve">scores: Nationally representative and</w:t>
      </w:r>
      <w:r>
        <w:rPr>
          <w:i/>
          <w:iCs/>
        </w:rPr>
        <w:t xml:space="preserve"> </w:t>
      </w:r>
      <w:r>
        <w:rPr>
          <w:i/>
          <w:iCs/>
        </w:rPr>
        <w:t xml:space="preserve">SAT</w:t>
      </w:r>
      <w:r>
        <w:rPr>
          <w:i/>
          <w:iCs/>
        </w:rPr>
        <w:t xml:space="preserve"> </w:t>
      </w:r>
      <w:r>
        <w:rPr>
          <w:i/>
          <w:iCs/>
        </w:rPr>
        <w:t xml:space="preserve">user percentiles</w:t>
      </w:r>
      <w:r>
        <w:t xml:space="preserve">. College Board, New York.</w:t>
      </w:r>
    </w:p>
    <w:bookmarkEnd w:id="88"/>
    <w:bookmarkStart w:id="90" w:name="ref-fayherriot1979"/>
    <w:p>
      <w:pPr>
        <w:pStyle w:val="Bibliography"/>
      </w:pPr>
      <w:r>
        <w:t xml:space="preserve">Fay, R. E., &amp; Herriot, R. A. (1979). Estimates of income for small places: An application of</w:t>
      </w:r>
      <w:r>
        <w:t xml:space="preserve"> </w:t>
      </w:r>
      <w:r>
        <w:t xml:space="preserve">James–Stein</w:t>
      </w:r>
      <w:r>
        <w:t xml:space="preserve"> </w:t>
      </w:r>
      <w:r>
        <w:t xml:space="preserve">procedures to census data.</w:t>
      </w:r>
      <w:r>
        <w:t xml:space="preserve"> </w:t>
      </w:r>
      <w:r>
        <w:rPr>
          <w:i/>
          <w:iCs/>
        </w:rPr>
        <w:t xml:space="preserve">Journal of the American Statistical Association</w:t>
      </w:r>
      <w:r>
        <w:t xml:space="preserve">,</w:t>
      </w:r>
      <w:r>
        <w:t xml:space="preserve"> </w:t>
      </w:r>
      <w:r>
        <w:rPr>
          <w:i/>
          <w:iCs/>
        </w:rPr>
        <w:t xml:space="preserve">74</w:t>
      </w:r>
      <w:r>
        <w:t xml:space="preserve">(366), 269–277.</w:t>
      </w:r>
      <w:r>
        <w:t xml:space="preserve"> </w:t>
      </w:r>
      <w:hyperlink r:id="rId89">
        <w:r>
          <w:rPr>
            <w:rStyle w:val="Hyperlink"/>
          </w:rPr>
          <w:t xml:space="preserve">https://doi.org/10.1080/01621459.1979.10482505</w:t>
        </w:r>
      </w:hyperlink>
    </w:p>
    <w:bookmarkEnd w:id="90"/>
    <w:bookmarkStart w:id="92" w:name="ref-freydetterman2004"/>
    <w:p>
      <w:pPr>
        <w:pStyle w:val="Bibliography"/>
      </w:pPr>
      <w:r>
        <w:t xml:space="preserve">Frey, M. C., &amp; Detterman, D. K. (2004). Scholastic assessment or</w:t>
      </w:r>
      <w:r>
        <w:t xml:space="preserve"> </w:t>
      </w:r>
      <m:oMath>
        <m:r>
          <m:t>g</m:t>
        </m:r>
      </m:oMath>
      <w:r>
        <w:t xml:space="preserve">? The relationship between the scholastic assessment test and general cognitive ability.</w:t>
      </w:r>
      <w:r>
        <w:t xml:space="preserve"> </w:t>
      </w:r>
      <w:r>
        <w:rPr>
          <w:i/>
          <w:iCs/>
        </w:rPr>
        <w:t xml:space="preserve">Psychological Science</w:t>
      </w:r>
      <w:r>
        <w:t xml:space="preserve">,</w:t>
      </w:r>
      <w:r>
        <w:t xml:space="preserve"> </w:t>
      </w:r>
      <w:r>
        <w:rPr>
          <w:i/>
          <w:iCs/>
        </w:rPr>
        <w:t xml:space="preserve">15</w:t>
      </w:r>
      <w:r>
        <w:t xml:space="preserve">(6), 373–378.</w:t>
      </w:r>
      <w:r>
        <w:t xml:space="preserve"> </w:t>
      </w:r>
      <w:hyperlink r:id="rId91">
        <w:r>
          <w:rPr>
            <w:rStyle w:val="Hyperlink"/>
          </w:rPr>
          <w:t xml:space="preserve">https://doi.org/10.1111/j.0956-7976.2004.00687.x</w:t>
        </w:r>
      </w:hyperlink>
    </w:p>
    <w:bookmarkEnd w:id="92"/>
    <w:bookmarkStart w:id="93" w:name="ref-cmdstanr2024"/>
    <w:p>
      <w:pPr>
        <w:pStyle w:val="Bibliography"/>
      </w:pPr>
      <w:r>
        <w:t xml:space="preserve">Gabry, J., Češnovar, R., Johnson, A., &amp; Bronder, S. (2024).</w:t>
      </w:r>
      <w:r>
        <w:t xml:space="preserve"> </w:t>
      </w:r>
      <w:r>
        <w:rPr>
          <w:i/>
          <w:iCs/>
        </w:rPr>
        <w:t xml:space="preserve">cmdstanr</w:t>
      </w:r>
      <w:r>
        <w:rPr>
          <w:i/>
          <w:iCs/>
        </w:rPr>
        <w:t xml:space="preserve">:</w:t>
      </w:r>
      <w:r>
        <w:rPr>
          <w:i/>
          <w:iCs/>
        </w:rPr>
        <w:t xml:space="preserve"> </w:t>
      </w:r>
      <w:r>
        <w:rPr>
          <w:i/>
          <w:iCs/>
        </w:rPr>
        <w:t xml:space="preserve">R</w:t>
      </w:r>
      <w:r>
        <w:rPr>
          <w:i/>
          <w:iCs/>
        </w:rPr>
        <w:t xml:space="preserve"> </w:t>
      </w:r>
      <w:r>
        <w:rPr>
          <w:i/>
          <w:iCs/>
        </w:rPr>
        <w:t xml:space="preserve">interface to</w:t>
      </w:r>
      <w:r>
        <w:rPr>
          <w:i/>
          <w:iCs/>
        </w:rPr>
        <w:t xml:space="preserve"> </w:t>
      </w:r>
      <w:r>
        <w:rPr>
          <w:i/>
          <w:iCs/>
        </w:rPr>
        <w:t xml:space="preserve">CmdStan</w:t>
      </w:r>
      <w:r>
        <w:t xml:space="preserve">.</w:t>
      </w:r>
    </w:p>
    <w:bookmarkEnd w:id="93"/>
    <w:bookmarkStart w:id="95" w:name="ref-gabryworkflow2019"/>
    <w:p>
      <w:pPr>
        <w:pStyle w:val="Bibliography"/>
      </w:pPr>
      <w:r>
        <w:t xml:space="preserve">Gabry, J., Simpson, D., Vehtari, A., Betancourt, M., &amp; Gelman, A. (2019). Visualization in</w:t>
      </w:r>
      <w:r>
        <w:t xml:space="preserve"> </w:t>
      </w:r>
      <w:r>
        <w:t xml:space="preserve">Bayesian</w:t>
      </w:r>
      <w:r>
        <w:t xml:space="preserve"> </w:t>
      </w:r>
      <w:r>
        <w:t xml:space="preserve">workflow.</w:t>
      </w:r>
      <w:r>
        <w:t xml:space="preserve"> </w:t>
      </w:r>
      <w:r>
        <w:rPr>
          <w:i/>
          <w:iCs/>
        </w:rPr>
        <w:t xml:space="preserve">Journal of the Royal Statistical Society, Series A</w:t>
      </w:r>
      <w:r>
        <w:t xml:space="preserve">,</w:t>
      </w:r>
      <w:r>
        <w:t xml:space="preserve"> </w:t>
      </w:r>
      <w:r>
        <w:rPr>
          <w:i/>
          <w:iCs/>
        </w:rPr>
        <w:t xml:space="preserve">182</w:t>
      </w:r>
      <w:r>
        <w:t xml:space="preserve">(2), 389–402.</w:t>
      </w:r>
      <w:r>
        <w:t xml:space="preserve"> </w:t>
      </w:r>
      <w:hyperlink r:id="rId94">
        <w:r>
          <w:rPr>
            <w:rStyle w:val="Hyperlink"/>
          </w:rPr>
          <w:t xml:space="preserve">https://doi.org/10.1111/rssa.12378</w:t>
        </w:r>
      </w:hyperlink>
    </w:p>
    <w:bookmarkEnd w:id="95"/>
    <w:bookmarkStart w:id="97" w:name="ref-gelman2013bda"/>
    <w:p>
      <w:pPr>
        <w:pStyle w:val="Bibliography"/>
      </w:pPr>
      <w:r>
        <w:t xml:space="preserve">Gelman, A., Carlin, J. B., Stern, H. S., Dunson, D. B., Vehtari, A., &amp; Rubin, D. B. (2013).</w:t>
      </w:r>
      <w:r>
        <w:t xml:space="preserve"> </w:t>
      </w:r>
      <w:r>
        <w:rPr>
          <w:i/>
          <w:iCs/>
        </w:rPr>
        <w:t xml:space="preserve">Bayesian data analysis</w:t>
      </w:r>
      <w:r>
        <w:t xml:space="preserve"> </w:t>
      </w:r>
      <w:r>
        <w:t xml:space="preserve">(3rd ed.).</w:t>
      </w:r>
      <w:r>
        <w:t xml:space="preserve"> </w:t>
      </w:r>
      <w:r>
        <w:t xml:space="preserve">Chapman and Hall/CRC</w:t>
      </w:r>
      <w:r>
        <w:t xml:space="preserve">.</w:t>
      </w:r>
      <w:r>
        <w:t xml:space="preserve"> </w:t>
      </w:r>
      <w:hyperlink r:id="rId96">
        <w:r>
          <w:rPr>
            <w:rStyle w:val="Hyperlink"/>
          </w:rPr>
          <w:t xml:space="preserve">https://doi.org/10.1201/b16018</w:t>
        </w:r>
      </w:hyperlink>
    </w:p>
    <w:bookmarkEnd w:id="97"/>
    <w:bookmarkStart w:id="98" w:name="ref-gelman1996ppc"/>
    <w:p>
      <w:pPr>
        <w:pStyle w:val="Bibliography"/>
      </w:pPr>
      <w:r>
        <w:t xml:space="preserve">Gelman, A., Meng, X.-L., &amp; Stern, H. (1996). Posterior predictive assessment of model fitness via realized discrepancies.</w:t>
      </w:r>
      <w:r>
        <w:t xml:space="preserve"> </w:t>
      </w:r>
      <w:r>
        <w:rPr>
          <w:i/>
          <w:iCs/>
        </w:rPr>
        <w:t xml:space="preserve">Statistica Sinica</w:t>
      </w:r>
      <w:r>
        <w:t xml:space="preserve">,</w:t>
      </w:r>
      <w:r>
        <w:t xml:space="preserve"> </w:t>
      </w:r>
      <w:r>
        <w:rPr>
          <w:i/>
          <w:iCs/>
        </w:rPr>
        <w:t xml:space="preserve">6</w:t>
      </w:r>
      <w:r>
        <w:t xml:space="preserve">(4), 733–760.</w:t>
      </w:r>
    </w:p>
    <w:bookmarkEnd w:id="98"/>
    <w:bookmarkStart w:id="99" w:name="ref-hauser2002"/>
    <w:p>
      <w:pPr>
        <w:pStyle w:val="Bibliography"/>
      </w:pPr>
      <w:r>
        <w:t xml:space="preserve">Hauser, R. M. (2002).</w:t>
      </w:r>
      <w:r>
        <w:t xml:space="preserve"> </w:t>
      </w:r>
      <w:r>
        <w:rPr>
          <w:i/>
          <w:iCs/>
        </w:rPr>
        <w:t xml:space="preserve">Meritocracy, cognitive ability, and the sources of occupational success</w:t>
      </w:r>
      <w:r>
        <w:t xml:space="preserve"> </w:t>
      </w:r>
      <w:r>
        <w:t xml:space="preserve">(Center for Demography and Ecology Working Paper 98-07 (rev.)).</w:t>
      </w:r>
      <w:r>
        <w:t xml:space="preserve"> </w:t>
      </w:r>
      <w:r>
        <w:t xml:space="preserve">Center for Demography and Ecology, University of Wisconsin–Madison</w:t>
      </w:r>
      <w:r>
        <w:t xml:space="preserve">.</w:t>
      </w:r>
    </w:p>
    <w:bookmarkEnd w:id="99"/>
    <w:bookmarkStart w:id="101" w:name="ref-heitjan1989"/>
    <w:p>
      <w:pPr>
        <w:pStyle w:val="Bibliography"/>
      </w:pPr>
      <w:r>
        <w:t xml:space="preserve">Heitjan, D. F. (1989). Inference from grouped continuous data: A review.</w:t>
      </w:r>
      <w:r>
        <w:t xml:space="preserve"> </w:t>
      </w:r>
      <w:r>
        <w:rPr>
          <w:i/>
          <w:iCs/>
        </w:rPr>
        <w:t xml:space="preserve">Statistical Science</w:t>
      </w:r>
      <w:r>
        <w:t xml:space="preserve">,</w:t>
      </w:r>
      <w:r>
        <w:t xml:space="preserve"> </w:t>
      </w:r>
      <w:r>
        <w:rPr>
          <w:i/>
          <w:iCs/>
        </w:rPr>
        <w:t xml:space="preserve">4</w:t>
      </w:r>
      <w:r>
        <w:t xml:space="preserve">(2), 164–179.</w:t>
      </w:r>
      <w:r>
        <w:t xml:space="preserve"> </w:t>
      </w:r>
      <w:hyperlink r:id="rId100">
        <w:r>
          <w:rPr>
            <w:rStyle w:val="Hyperlink"/>
          </w:rPr>
          <w:t xml:space="preserve">https://doi.org/10.1214/ss/1177012601</w:t>
        </w:r>
      </w:hyperlink>
    </w:p>
    <w:bookmarkEnd w:id="101"/>
    <w:bookmarkStart w:id="103" w:name="ref-heitjan1994"/>
    <w:p>
      <w:pPr>
        <w:pStyle w:val="Bibliography"/>
      </w:pPr>
      <w:r>
        <w:t xml:space="preserve">Heitjan, D. F. (1994). Ignorability in general incomplete-data models.</w:t>
      </w:r>
      <w:r>
        <w:t xml:space="preserve"> </w:t>
      </w:r>
      <w:r>
        <w:rPr>
          <w:i/>
          <w:iCs/>
        </w:rPr>
        <w:t xml:space="preserve">Biometrika</w:t>
      </w:r>
      <w:r>
        <w:t xml:space="preserve">,</w:t>
      </w:r>
      <w:r>
        <w:t xml:space="preserve"> </w:t>
      </w:r>
      <w:r>
        <w:rPr>
          <w:i/>
          <w:iCs/>
        </w:rPr>
        <w:t xml:space="preserve">81</w:t>
      </w:r>
      <w:r>
        <w:t xml:space="preserve">(4), 701–708.</w:t>
      </w:r>
      <w:r>
        <w:t xml:space="preserve"> </w:t>
      </w:r>
      <w:hyperlink r:id="rId102">
        <w:r>
          <w:rPr>
            <w:rStyle w:val="Hyperlink"/>
          </w:rPr>
          <w:t xml:space="preserve">https://doi.org/10.1093/biomet/81.4.701</w:t>
        </w:r>
      </w:hyperlink>
    </w:p>
    <w:bookmarkEnd w:id="103"/>
    <w:bookmarkStart w:id="105" w:name="ref-heitjanrubin1991"/>
    <w:p>
      <w:pPr>
        <w:pStyle w:val="Bibliography"/>
      </w:pPr>
      <w:r>
        <w:t xml:space="preserve">Heitjan, D. F., &amp; Rubin, D. B. (1991). Ignorability and coarse data.</w:t>
      </w:r>
      <w:r>
        <w:t xml:space="preserve"> </w:t>
      </w:r>
      <w:r>
        <w:rPr>
          <w:i/>
          <w:iCs/>
        </w:rPr>
        <w:t xml:space="preserve">The Annals of Statistics</w:t>
      </w:r>
      <w:r>
        <w:t xml:space="preserve">,</w:t>
      </w:r>
      <w:r>
        <w:t xml:space="preserve"> </w:t>
      </w:r>
      <w:r>
        <w:rPr>
          <w:i/>
          <w:iCs/>
        </w:rPr>
        <w:t xml:space="preserve">19</w:t>
      </w:r>
      <w:r>
        <w:t xml:space="preserve">(4), 2244–2253.</w:t>
      </w:r>
      <w:r>
        <w:t xml:space="preserve"> </w:t>
      </w:r>
      <w:hyperlink r:id="rId104">
        <w:r>
          <w:rPr>
            <w:rStyle w:val="Hyperlink"/>
          </w:rPr>
          <w:t xml:space="preserve">https://doi.org/10.1214/aos/1176348396</w:t>
        </w:r>
      </w:hyperlink>
    </w:p>
    <w:bookmarkEnd w:id="105"/>
    <w:bookmarkStart w:id="107" w:name="ref-jonespewsey2009"/>
    <w:p>
      <w:pPr>
        <w:pStyle w:val="Bibliography"/>
      </w:pPr>
      <w:r>
        <w:t xml:space="preserve">Jones, M. C., &amp; Pewsey, A. (2009). Sinh-arcsinh distributions.</w:t>
      </w:r>
      <w:r>
        <w:t xml:space="preserve"> </w:t>
      </w:r>
      <w:r>
        <w:rPr>
          <w:i/>
          <w:iCs/>
        </w:rPr>
        <w:t xml:space="preserve">Biometrika</w:t>
      </w:r>
      <w:r>
        <w:t xml:space="preserve">,</w:t>
      </w:r>
      <w:r>
        <w:t xml:space="preserve"> </w:t>
      </w:r>
      <w:r>
        <w:rPr>
          <w:i/>
          <w:iCs/>
        </w:rPr>
        <w:t xml:space="preserve">96</w:t>
      </w:r>
      <w:r>
        <w:t xml:space="preserve">(4), 761–780.</w:t>
      </w:r>
      <w:r>
        <w:t xml:space="preserve"> </w:t>
      </w:r>
      <w:hyperlink r:id="rId106">
        <w:r>
          <w:rPr>
            <w:rStyle w:val="Hyperlink"/>
          </w:rPr>
          <w:t xml:space="preserve">https://doi.org/10.1093/biomet/asp053</w:t>
        </w:r>
      </w:hyperlink>
    </w:p>
    <w:bookmarkEnd w:id="107"/>
    <w:bookmarkStart w:id="109" w:name="ref-kobrinpatterson2011"/>
    <w:p>
      <w:pPr>
        <w:pStyle w:val="Bibliography"/>
      </w:pPr>
      <w:r>
        <w:t xml:space="preserve">Kobrin, J. L., &amp; Patterson, B. F. (2011). Contextual factors associated with the validity of</w:t>
      </w:r>
      <w:r>
        <w:t xml:space="preserve"> </w:t>
      </w:r>
      <w:r>
        <w:t xml:space="preserve">SAT</w:t>
      </w:r>
      <w:r>
        <w:t xml:space="preserve"> </w:t>
      </w:r>
      <w:r>
        <w:t xml:space="preserve">scores and high school</w:t>
      </w:r>
      <w:r>
        <w:t xml:space="preserve"> </w:t>
      </w:r>
      <w:r>
        <w:t xml:space="preserve">GPA</w:t>
      </w:r>
      <w:r>
        <w:t xml:space="preserve"> </w:t>
      </w:r>
      <w:r>
        <w:t xml:space="preserve">for predicting first-year college grades.</w:t>
      </w:r>
      <w:r>
        <w:t xml:space="preserve"> </w:t>
      </w:r>
      <w:r>
        <w:rPr>
          <w:i/>
          <w:iCs/>
        </w:rPr>
        <w:t xml:space="preserve">Educational Assessment</w:t>
      </w:r>
      <w:r>
        <w:t xml:space="preserve">,</w:t>
      </w:r>
      <w:r>
        <w:t xml:space="preserve"> </w:t>
      </w:r>
      <w:r>
        <w:rPr>
          <w:i/>
          <w:iCs/>
        </w:rPr>
        <w:t xml:space="preserve">16</w:t>
      </w:r>
      <w:r>
        <w:t xml:space="preserve">(4), 207–226.</w:t>
      </w:r>
      <w:r>
        <w:t xml:space="preserve"> </w:t>
      </w:r>
      <w:hyperlink r:id="rId108">
        <w:r>
          <w:rPr>
            <w:rStyle w:val="Hyperlink"/>
          </w:rPr>
          <w:t xml:space="preserve">https://doi.org/10.1080/10627197.2011.635956</w:t>
        </w:r>
      </w:hyperlink>
    </w:p>
    <w:bookmarkEnd w:id="109"/>
    <w:bookmarkStart w:id="111" w:name="ref-kruschke2014"/>
    <w:p>
      <w:pPr>
        <w:pStyle w:val="Bibliography"/>
      </w:pPr>
      <w:r>
        <w:t xml:space="preserve">Kruschke, J. K. (2014).</w:t>
      </w:r>
      <w:r>
        <w:t xml:space="preserve"> </w:t>
      </w:r>
      <w:r>
        <w:rPr>
          <w:i/>
          <w:iCs/>
        </w:rPr>
        <w:t xml:space="preserve">Doing</w:t>
      </w:r>
      <w:r>
        <w:rPr>
          <w:i/>
          <w:iCs/>
        </w:rPr>
        <w:t xml:space="preserve"> </w:t>
      </w:r>
      <w:r>
        <w:rPr>
          <w:i/>
          <w:iCs/>
        </w:rPr>
        <w:t xml:space="preserve">Bayesian</w:t>
      </w:r>
      <w:r>
        <w:rPr>
          <w:i/>
          <w:iCs/>
        </w:rPr>
        <w:t xml:space="preserve"> </w:t>
      </w:r>
      <w:r>
        <w:rPr>
          <w:i/>
          <w:iCs/>
        </w:rPr>
        <w:t xml:space="preserve">data analysis:</w:t>
      </w:r>
      <w:r>
        <w:rPr>
          <w:i/>
          <w:iCs/>
        </w:rPr>
        <w:t xml:space="preserve"> </w:t>
      </w:r>
      <w:r>
        <w:rPr>
          <w:i/>
          <w:iCs/>
        </w:rPr>
        <w:t xml:space="preserve">A</w:t>
      </w:r>
      <w:r>
        <w:rPr>
          <w:i/>
          <w:iCs/>
        </w:rPr>
        <w:t xml:space="preserve"> </w:t>
      </w:r>
      <w:r>
        <w:rPr>
          <w:i/>
          <w:iCs/>
        </w:rPr>
        <w:t xml:space="preserve">tutorial with</w:t>
      </w:r>
      <w:r>
        <w:rPr>
          <w:i/>
          <w:iCs/>
        </w:rPr>
        <w:t xml:space="preserve"> </w:t>
      </w:r>
      <w:r>
        <w:rPr>
          <w:i/>
          <w:iCs/>
        </w:rPr>
        <w:t xml:space="preserve">R</w:t>
      </w:r>
      <w:r>
        <w:rPr>
          <w:i/>
          <w:iCs/>
        </w:rPr>
        <w:t xml:space="preserve">,</w:t>
      </w:r>
      <w:r>
        <w:rPr>
          <w:i/>
          <w:iCs/>
        </w:rPr>
        <w:t xml:space="preserve"> </w:t>
      </w:r>
      <w:r>
        <w:rPr>
          <w:i/>
          <w:iCs/>
        </w:rPr>
        <w:t xml:space="preserve">JAGS</w:t>
      </w:r>
      <w:r>
        <w:rPr>
          <w:i/>
          <w:iCs/>
        </w:rPr>
        <w:t xml:space="preserve">, and</w:t>
      </w:r>
      <w:r>
        <w:rPr>
          <w:i/>
          <w:iCs/>
        </w:rPr>
        <w:t xml:space="preserve"> </w:t>
      </w:r>
      <w:r>
        <w:rPr>
          <w:i/>
          <w:iCs/>
        </w:rPr>
        <w:t xml:space="preserve">Stan</w:t>
      </w:r>
      <w:r>
        <w:t xml:space="preserve"> </w:t>
      </w:r>
      <w:r>
        <w:t xml:space="preserve">(2nd ed.). Academic Press.</w:t>
      </w:r>
      <w:r>
        <w:t xml:space="preserve"> </w:t>
      </w:r>
      <w:hyperlink r:id="rId110">
        <w:r>
          <w:rPr>
            <w:rStyle w:val="Hyperlink"/>
          </w:rPr>
          <w:t xml:space="preserve">https://doi.org/10.1016/C2012-0-00477-2</w:t>
        </w:r>
      </w:hyperlink>
    </w:p>
    <w:bookmarkEnd w:id="111"/>
    <w:bookmarkStart w:id="113" w:name="ref-kuncelhezlett2010"/>
    <w:p>
      <w:pPr>
        <w:pStyle w:val="Bibliography"/>
      </w:pPr>
      <w:r>
        <w:t xml:space="preserve">Kuncel, N. R., &amp; Hezlett, S. A. (2010). Fact and fiction in cognitive ability testing for admissions and hiring decisions.</w:t>
      </w:r>
      <w:r>
        <w:t xml:space="preserve"> </w:t>
      </w:r>
      <w:r>
        <w:rPr>
          <w:i/>
          <w:iCs/>
        </w:rPr>
        <w:t xml:space="preserve">Current Directions in Psychological Science</w:t>
      </w:r>
      <w:r>
        <w:t xml:space="preserve">,</w:t>
      </w:r>
      <w:r>
        <w:t xml:space="preserve"> </w:t>
      </w:r>
      <w:r>
        <w:rPr>
          <w:i/>
          <w:iCs/>
        </w:rPr>
        <w:t xml:space="preserve">19</w:t>
      </w:r>
      <w:r>
        <w:t xml:space="preserve">(6), 339–345.</w:t>
      </w:r>
      <w:r>
        <w:t xml:space="preserve"> </w:t>
      </w:r>
      <w:hyperlink r:id="rId112">
        <w:r>
          <w:rPr>
            <w:rStyle w:val="Hyperlink"/>
          </w:rPr>
          <w:t xml:space="preserve">https://doi.org/10.1177/0963721410389459</w:t>
        </w:r>
      </w:hyperlink>
    </w:p>
    <w:bookmarkEnd w:id="113"/>
    <w:bookmarkStart w:id="114" w:name="ref-lemann1999bigtest"/>
    <w:p>
      <w:pPr>
        <w:pStyle w:val="Bibliography"/>
      </w:pPr>
      <w:r>
        <w:t xml:space="preserve">Lemann, N. (1999).</w:t>
      </w:r>
      <w:r>
        <w:t xml:space="preserve"> </w:t>
      </w:r>
      <w:r>
        <w:rPr>
          <w:i/>
          <w:iCs/>
        </w:rPr>
        <w:t xml:space="preserve">The big test: The secret history of the</w:t>
      </w:r>
      <w:r>
        <w:rPr>
          <w:i/>
          <w:iCs/>
        </w:rPr>
        <w:t xml:space="preserve"> </w:t>
      </w:r>
      <w:r>
        <w:rPr>
          <w:i/>
          <w:iCs/>
        </w:rPr>
        <w:t xml:space="preserve">American Meritocracy</w:t>
      </w:r>
      <w:r>
        <w:t xml:space="preserve">.</w:t>
      </w:r>
      <w:r>
        <w:t xml:space="preserve"> </w:t>
      </w:r>
      <w:r>
        <w:t xml:space="preserve">Farrar, Straus and Giroux</w:t>
      </w:r>
      <w:r>
        <w:t xml:space="preserve">.</w:t>
      </w:r>
    </w:p>
    <w:bookmarkEnd w:id="114"/>
    <w:bookmarkStart w:id="116" w:name="ref-meng1994posterior"/>
    <w:p>
      <w:pPr>
        <w:pStyle w:val="Bibliography"/>
      </w:pPr>
      <w:r>
        <w:t xml:space="preserve">Meng, X.-L. (1994). Posterior predictive</w:t>
      </w:r>
      <w:r>
        <w:t xml:space="preserve"> </w:t>
      </w:r>
      <w:r>
        <w:t xml:space="preserve">p</w:t>
      </w:r>
      <w:r>
        <w:t xml:space="preserve">-values.</w:t>
      </w:r>
      <w:r>
        <w:t xml:space="preserve"> </w:t>
      </w:r>
      <w:r>
        <w:rPr>
          <w:i/>
          <w:iCs/>
        </w:rPr>
        <w:t xml:space="preserve">Annals of Statistics</w:t>
      </w:r>
      <w:r>
        <w:t xml:space="preserve">,</w:t>
      </w:r>
      <w:r>
        <w:t xml:space="preserve"> </w:t>
      </w:r>
      <w:r>
        <w:rPr>
          <w:i/>
          <w:iCs/>
        </w:rPr>
        <w:t xml:space="preserve">22</w:t>
      </w:r>
      <w:r>
        <w:t xml:space="preserve">(3), 1142–1160.</w:t>
      </w:r>
      <w:r>
        <w:t xml:space="preserve"> </w:t>
      </w:r>
      <w:hyperlink r:id="rId115">
        <w:r>
          <w:rPr>
            <w:rStyle w:val="Hyperlink"/>
          </w:rPr>
          <w:t xml:space="preserve">https://doi.org/10.1214/aos/1176325622</w:t>
        </w:r>
      </w:hyperlink>
    </w:p>
    <w:bookmarkEnd w:id="116"/>
    <w:bookmarkStart w:id="118" w:name="ref-pfeffermann2013"/>
    <w:p>
      <w:pPr>
        <w:pStyle w:val="Bibliography"/>
      </w:pPr>
      <w:r>
        <w:t xml:space="preserve">Pfeffermann, D. (2013). New important developments in small area estimation.</w:t>
      </w:r>
      <w:r>
        <w:t xml:space="preserve"> </w:t>
      </w:r>
      <w:r>
        <w:rPr>
          <w:i/>
          <w:iCs/>
        </w:rPr>
        <w:t xml:space="preserve">Statistical Science</w:t>
      </w:r>
      <w:r>
        <w:t xml:space="preserve">,</w:t>
      </w:r>
      <w:r>
        <w:t xml:space="preserve"> </w:t>
      </w:r>
      <w:r>
        <w:rPr>
          <w:i/>
          <w:iCs/>
        </w:rPr>
        <w:t xml:space="preserve">28</w:t>
      </w:r>
      <w:r>
        <w:t xml:space="preserve">(1), 40–68.</w:t>
      </w:r>
      <w:r>
        <w:t xml:space="preserve"> </w:t>
      </w:r>
      <w:hyperlink r:id="rId117">
        <w:r>
          <w:rPr>
            <w:rStyle w:val="Hyperlink"/>
          </w:rPr>
          <w:t xml:space="preserve">https://doi.org/10.1214/12-STS395</w:t>
        </w:r>
      </w:hyperlink>
    </w:p>
    <w:bookmarkEnd w:id="118"/>
    <w:bookmarkStart w:id="119" w:name="ref-rcore2024"/>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p>
    <w:bookmarkEnd w:id="119"/>
    <w:bookmarkStart w:id="121" w:name="ref-raomolina2015"/>
    <w:p>
      <w:pPr>
        <w:pStyle w:val="Bibliography"/>
      </w:pPr>
      <w:r>
        <w:t xml:space="preserve">Rao, J. N. K., &amp; Molina, I. (2015).</w:t>
      </w:r>
      <w:r>
        <w:t xml:space="preserve"> </w:t>
      </w:r>
      <w:r>
        <w:rPr>
          <w:i/>
          <w:iCs/>
        </w:rPr>
        <w:t xml:space="preserve">Small area estimation</w:t>
      </w:r>
      <w:r>
        <w:t xml:space="preserve"> </w:t>
      </w:r>
      <w:r>
        <w:t xml:space="preserve">(2nd ed.). Wiley.</w:t>
      </w:r>
      <w:r>
        <w:t xml:space="preserve"> </w:t>
      </w:r>
      <w:hyperlink r:id="rId120">
        <w:r>
          <w:rPr>
            <w:rStyle w:val="Hyperlink"/>
          </w:rPr>
          <w:t xml:space="preserve">https://doi.org/10.1002/9781118735855</w:t>
        </w:r>
      </w:hyperlink>
    </w:p>
    <w:bookmarkEnd w:id="121"/>
    <w:bookmarkStart w:id="122" w:name="ref-reardon2011"/>
    <w:p>
      <w:pPr>
        <w:pStyle w:val="Bibliography"/>
      </w:pPr>
      <w:r>
        <w:t xml:space="preserve">Reardon, S. F. (2011). The widening academic-achievement gap between the rich and the poor: New evidence and possible explanations. In G. J. Duncan &amp; R. J. Murnane (Eds.),</w:t>
      </w:r>
      <w:r>
        <w:t xml:space="preserve"> </w:t>
      </w:r>
      <w:r>
        <w:rPr>
          <w:i/>
          <w:iCs/>
        </w:rPr>
        <w:t xml:space="preserve">Whither opportunity? Rising inequality, schools, and children’s life chances</w:t>
      </w:r>
      <w:r>
        <w:t xml:space="preserve"> </w:t>
      </w:r>
      <w:r>
        <w:t xml:space="preserve">(pp. 91–116). Russell Sage Foundation.</w:t>
      </w:r>
    </w:p>
    <w:bookmarkEnd w:id="122"/>
    <w:bookmarkStart w:id="124" w:name="ref-reardonkalogridesshores2019"/>
    <w:p>
      <w:pPr>
        <w:pStyle w:val="Bibliography"/>
      </w:pPr>
      <w:r>
        <w:t xml:space="preserve">Reardon, S. F., Kalogrides, D., &amp; Shores, K. (2019). The geography of racial/ethnic test score gaps.</w:t>
      </w:r>
      <w:r>
        <w:t xml:space="preserve"> </w:t>
      </w:r>
      <w:r>
        <w:rPr>
          <w:i/>
          <w:iCs/>
        </w:rPr>
        <w:t xml:space="preserve">American Journal of Sociology</w:t>
      </w:r>
      <w:r>
        <w:t xml:space="preserve">,</w:t>
      </w:r>
      <w:r>
        <w:t xml:space="preserve"> </w:t>
      </w:r>
      <w:r>
        <w:rPr>
          <w:i/>
          <w:iCs/>
        </w:rPr>
        <w:t xml:space="preserve">124</w:t>
      </w:r>
      <w:r>
        <w:t xml:space="preserve">(4), 1164–1221.</w:t>
      </w:r>
      <w:r>
        <w:t xml:space="preserve"> </w:t>
      </w:r>
      <w:hyperlink r:id="rId123">
        <w:r>
          <w:rPr>
            <w:rStyle w:val="Hyperlink"/>
          </w:rPr>
          <w:t xml:space="preserve">https://doi.org/10.1086/700678</w:t>
        </w:r>
      </w:hyperlink>
    </w:p>
    <w:bookmarkEnd w:id="124"/>
    <w:bookmarkStart w:id="126" w:name="ref-rigbystasinopoulos2005"/>
    <w:p>
      <w:pPr>
        <w:pStyle w:val="Bibliography"/>
      </w:pPr>
      <w:r>
        <w:t xml:space="preserve">Rigby, R. A., &amp; Stasinopoulos, D. M. (2005). Generalized additive models for location, scale and shape.</w:t>
      </w:r>
      <w:r>
        <w:t xml:space="preserve"> </w:t>
      </w:r>
      <w:r>
        <w:rPr>
          <w:i/>
          <w:iCs/>
        </w:rPr>
        <w:t xml:space="preserve">Journal of the Royal Statistical Society, Series C</w:t>
      </w:r>
      <w:r>
        <w:t xml:space="preserve">,</w:t>
      </w:r>
      <w:r>
        <w:t xml:space="preserve"> </w:t>
      </w:r>
      <w:r>
        <w:rPr>
          <w:i/>
          <w:iCs/>
        </w:rPr>
        <w:t xml:space="preserve">54</w:t>
      </w:r>
      <w:r>
        <w:t xml:space="preserve">(3), 507–554.</w:t>
      </w:r>
      <w:r>
        <w:t xml:space="preserve"> </w:t>
      </w:r>
      <w:hyperlink r:id="rId125">
        <w:r>
          <w:rPr>
            <w:rStyle w:val="Hyperlink"/>
          </w:rPr>
          <w:t xml:space="preserve">https://doi.org/10.1111/j.1467-9876.2005.00510.x</w:t>
        </w:r>
      </w:hyperlink>
    </w:p>
    <w:bookmarkEnd w:id="126"/>
    <w:bookmarkStart w:id="128" w:name="ref-roth2001ethnic"/>
    <w:p>
      <w:pPr>
        <w:pStyle w:val="Bibliography"/>
      </w:pPr>
      <w:r>
        <w:t xml:space="preserve">Roth, P. L., Bevier, C. A., Bobko, P., Switzer, F. S., &amp; Tyler, P. (2001). Ethnic group differences in cognitive ability in employment and educational settings: A meta-analysis.</w:t>
      </w:r>
      <w:r>
        <w:t xml:space="preserve"> </w:t>
      </w:r>
      <w:r>
        <w:rPr>
          <w:i/>
          <w:iCs/>
        </w:rPr>
        <w:t xml:space="preserve">Personnel Psychology</w:t>
      </w:r>
      <w:r>
        <w:t xml:space="preserve">,</w:t>
      </w:r>
      <w:r>
        <w:t xml:space="preserve"> </w:t>
      </w:r>
      <w:r>
        <w:rPr>
          <w:i/>
          <w:iCs/>
        </w:rPr>
        <w:t xml:space="preserve">54</w:t>
      </w:r>
      <w:r>
        <w:t xml:space="preserve">(2), 297–330.</w:t>
      </w:r>
      <w:r>
        <w:t xml:space="preserve"> </w:t>
      </w:r>
      <w:hyperlink r:id="rId127">
        <w:r>
          <w:rPr>
            <w:rStyle w:val="Hyperlink"/>
          </w:rPr>
          <w:t xml:space="preserve">https://doi.org/10.1111/j.1744-6570.2001.tb00094.x</w:t>
        </w:r>
      </w:hyperlink>
    </w:p>
    <w:bookmarkEnd w:id="128"/>
    <w:bookmarkStart w:id="130" w:name="ref-rubin1984bayesianly"/>
    <w:p>
      <w:pPr>
        <w:pStyle w:val="Bibliography"/>
      </w:pPr>
      <w:r>
        <w:t xml:space="preserve">Rubin, D. B. (1984). Bayesianly justifiable and relevant frequency calculations for the applied statistician.</w:t>
      </w:r>
      <w:r>
        <w:t xml:space="preserve"> </w:t>
      </w:r>
      <w:r>
        <w:rPr>
          <w:i/>
          <w:iCs/>
        </w:rPr>
        <w:t xml:space="preserve">Annals of Statistics</w:t>
      </w:r>
      <w:r>
        <w:t xml:space="preserve">,</w:t>
      </w:r>
      <w:r>
        <w:t xml:space="preserve"> </w:t>
      </w:r>
      <w:r>
        <w:rPr>
          <w:i/>
          <w:iCs/>
        </w:rPr>
        <w:t xml:space="preserve">12</w:t>
      </w:r>
      <w:r>
        <w:t xml:space="preserve">(4), 1151–1172.</w:t>
      </w:r>
      <w:r>
        <w:t xml:space="preserve"> </w:t>
      </w:r>
      <w:hyperlink r:id="rId129">
        <w:r>
          <w:rPr>
            <w:rStyle w:val="Hyperlink"/>
          </w:rPr>
          <w:t xml:space="preserve">https://doi.org/10.1214/aos/1176346785</w:t>
        </w:r>
      </w:hyperlink>
    </w:p>
    <w:bookmarkEnd w:id="130"/>
    <w:bookmarkStart w:id="132" w:name="ref-rubin1987mi"/>
    <w:p>
      <w:pPr>
        <w:pStyle w:val="Bibliography"/>
      </w:pPr>
      <w:r>
        <w:t xml:space="preserve">Rubin, D. B. (1987).</w:t>
      </w:r>
      <w:r>
        <w:t xml:space="preserve"> </w:t>
      </w:r>
      <w:r>
        <w:rPr>
          <w:i/>
          <w:iCs/>
        </w:rPr>
        <w:t xml:space="preserve">Multiple imputation for nonresponse in surveys</w:t>
      </w:r>
      <w:r>
        <w:t xml:space="preserve">. Wiley.</w:t>
      </w:r>
      <w:r>
        <w:t xml:space="preserve"> </w:t>
      </w:r>
      <w:hyperlink r:id="rId131">
        <w:r>
          <w:rPr>
            <w:rStyle w:val="Hyperlink"/>
          </w:rPr>
          <w:t xml:space="preserve">https://doi.org/10.1002/9780470316696</w:t>
        </w:r>
      </w:hyperlink>
    </w:p>
    <w:bookmarkEnd w:id="132"/>
    <w:bookmarkStart w:id="134" w:name="ref-sackettkuncelhezlett2009"/>
    <w:p>
      <w:pPr>
        <w:pStyle w:val="Bibliography"/>
      </w:pPr>
      <w:r>
        <w:t xml:space="preserve">Sackett, P. R., Kuncel, N. R., Arneson, J. J., Cooper, S. R., &amp; Waters, S. D. (2009). Does socioeconomic status explain the relationship between admissions tests and post-secondary academic performance?</w:t>
      </w:r>
      <w:r>
        <w:t xml:space="preserve"> </w:t>
      </w:r>
      <w:r>
        <w:rPr>
          <w:i/>
          <w:iCs/>
        </w:rPr>
        <w:t xml:space="preserve">Psychological Bulletin</w:t>
      </w:r>
      <w:r>
        <w:t xml:space="preserve">,</w:t>
      </w:r>
      <w:r>
        <w:t xml:space="preserve"> </w:t>
      </w:r>
      <w:r>
        <w:rPr>
          <w:i/>
          <w:iCs/>
        </w:rPr>
        <w:t xml:space="preserve">135</w:t>
      </w:r>
      <w:r>
        <w:t xml:space="preserve">(1), 1–22.</w:t>
      </w:r>
      <w:r>
        <w:t xml:space="preserve"> </w:t>
      </w:r>
      <w:hyperlink r:id="rId133">
        <w:r>
          <w:rPr>
            <w:rStyle w:val="Hyperlink"/>
          </w:rPr>
          <w:t xml:space="preserve">https://doi.org/10.1037/a0013978</w:t>
        </w:r>
      </w:hyperlink>
    </w:p>
    <w:bookmarkEnd w:id="134"/>
    <w:bookmarkStart w:id="136" w:name="ref-stasinopoulosrigby2007"/>
    <w:p>
      <w:pPr>
        <w:pStyle w:val="Bibliography"/>
      </w:pPr>
      <w:r>
        <w:t xml:space="preserve">Stasinopoulos, D. M., &amp; Rigby, R. A. (2007). Generalized additive models for location scale and shape (</w:t>
      </w:r>
      <w:r>
        <w:t xml:space="preserve">GAMLSS</w:t>
      </w:r>
      <w:r>
        <w:t xml:space="preserve">)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23</w:t>
      </w:r>
      <w:r>
        <w:t xml:space="preserve">(7), 1–46.</w:t>
      </w:r>
      <w:r>
        <w:t xml:space="preserve"> </w:t>
      </w:r>
      <w:hyperlink r:id="rId135">
        <w:r>
          <w:rPr>
            <w:rStyle w:val="Hyperlink"/>
          </w:rPr>
          <w:t xml:space="preserve">https://doi.org/10.18637/jss.v023.i07</w:t>
        </w:r>
      </w:hyperlink>
    </w:p>
    <w:bookmarkEnd w:id="136"/>
    <w:bookmarkStart w:id="138" w:name="ref-vehtari2021rhat"/>
    <w:p>
      <w:pPr>
        <w:pStyle w:val="Bibliography"/>
      </w:pPr>
      <w:r>
        <w:t xml:space="preserve">Vehtari, A., Gelman, A., Simpson, D., Carpenter, B., &amp; Bürkner, P.-C. (2021). Rank-normalization, folding, and localization: An improved</w:t>
      </w:r>
      <w:r>
        <w:t xml:space="preserve"> </w:t>
      </w:r>
      <m:oMath>
        <m:acc>
          <m:accPr>
            <m:chr m:val="̂"/>
          </m:accPr>
          <m:e>
            <m:r>
              <m:t>R</m:t>
            </m:r>
          </m:e>
        </m:acc>
      </m:oMath>
      <w:r>
        <w:t xml:space="preserve"> </w:t>
      </w:r>
      <w:r>
        <w:t xml:space="preserve">for assessing convergence of</w:t>
      </w:r>
      <w:r>
        <w:t xml:space="preserve"> </w:t>
      </w:r>
      <w:r>
        <w:t xml:space="preserve">MCMC</w:t>
      </w:r>
      <w:r>
        <w:t xml:space="preserve">.</w:t>
      </w:r>
      <w:r>
        <w:t xml:space="preserve"> </w:t>
      </w:r>
      <w:r>
        <w:rPr>
          <w:i/>
          <w:iCs/>
        </w:rPr>
        <w:t xml:space="preserve">Bayesian Analysis</w:t>
      </w:r>
      <w:r>
        <w:t xml:space="preserve">,</w:t>
      </w:r>
      <w:r>
        <w:t xml:space="preserve"> </w:t>
      </w:r>
      <w:r>
        <w:rPr>
          <w:i/>
          <w:iCs/>
        </w:rPr>
        <w:t xml:space="preserve">16</w:t>
      </w:r>
      <w:r>
        <w:t xml:space="preserve">(2), 667–718.</w:t>
      </w:r>
      <w:r>
        <w:t xml:space="preserve"> </w:t>
      </w:r>
      <w:hyperlink r:id="rId137">
        <w:r>
          <w:rPr>
            <w:rStyle w:val="Hyperlink"/>
          </w:rPr>
          <w:t xml:space="preserve">https://doi.org/10.1214/20-BA1221</w:t>
        </w:r>
      </w:hyperlink>
    </w:p>
    <w:bookmarkEnd w:id="138"/>
    <w:bookmarkStart w:id="140" w:name="ref-wangheitjan2008"/>
    <w:p>
      <w:pPr>
        <w:pStyle w:val="Bibliography"/>
      </w:pPr>
      <w:r>
        <w:t xml:space="preserve">Wang, H., &amp; Heitjan, D. F. (2008). Modeling heaping in self-reported cigarette counts.</w:t>
      </w:r>
      <w:r>
        <w:t xml:space="preserve"> </w:t>
      </w:r>
      <w:r>
        <w:rPr>
          <w:i/>
          <w:iCs/>
        </w:rPr>
        <w:t xml:space="preserve">Statistics in Medicine</w:t>
      </w:r>
      <w:r>
        <w:t xml:space="preserve">,</w:t>
      </w:r>
      <w:r>
        <w:t xml:space="preserve"> </w:t>
      </w:r>
      <w:r>
        <w:rPr>
          <w:i/>
          <w:iCs/>
        </w:rPr>
        <w:t xml:space="preserve">27</w:t>
      </w:r>
      <w:r>
        <w:t xml:space="preserve">(19), 3789–3804.</w:t>
      </w:r>
      <w:r>
        <w:t xml:space="preserve"> </w:t>
      </w:r>
      <w:hyperlink r:id="rId139">
        <w:r>
          <w:rPr>
            <w:rStyle w:val="Hyperlink"/>
          </w:rPr>
          <w:t xml:space="preserve">https://doi.org/10.1002/sim.3281</w:t>
        </w:r>
      </w:hyperlink>
    </w:p>
    <w:bookmarkEnd w:id="140"/>
    <w:bookmarkStart w:id="142" w:name="ref-wickham2016ggplot2"/>
    <w:p>
      <w:pPr>
        <w:pStyle w:val="Bibliography"/>
      </w:pPr>
      <w:r>
        <w:t xml:space="preserve">Wickham, H. (2016).</w:t>
      </w:r>
      <w:r>
        <w:t xml:space="preserve"> </w:t>
      </w:r>
      <w:r>
        <w:rPr>
          <w:i/>
          <w:iCs/>
        </w:rPr>
        <w:t xml:space="preserve">ggplot2</w:t>
      </w:r>
      <w:r>
        <w:rPr>
          <w:i/>
          <w:iCs/>
        </w:rPr>
        <w:t xml:space="preserve">: Elegant graphics for data analysis</w:t>
      </w:r>
      <w:r>
        <w:t xml:space="preserve"> </w:t>
      </w:r>
      <w:r>
        <w:t xml:space="preserve">(2nd ed.). Springer-Verlag.</w:t>
      </w:r>
      <w:r>
        <w:t xml:space="preserve"> </w:t>
      </w:r>
      <w:hyperlink r:id="rId141">
        <w:r>
          <w:rPr>
            <w:rStyle w:val="Hyperlink"/>
          </w:rPr>
          <w:t xml:space="preserve">https://doi.org/10.1007/978-3-319-24277-4</w:t>
        </w:r>
      </w:hyperlink>
    </w:p>
    <w:bookmarkEnd w:id="142"/>
    <w:bookmarkStart w:id="143" w:name="ref-wickham2023dplyr"/>
    <w:p>
      <w:pPr>
        <w:pStyle w:val="Bibliography"/>
      </w:pPr>
      <w:r>
        <w:t xml:space="preserve">Wickham, H., François, R., Henry, L., Müller, K., &amp; Vaughan, D. (2023).</w:t>
      </w:r>
      <w:r>
        <w:t xml:space="preserve"> </w:t>
      </w:r>
      <w:r>
        <w:rPr>
          <w:i/>
          <w:iCs/>
        </w:rPr>
        <w:t xml:space="preserve">dplyr</w:t>
      </w:r>
      <w:r>
        <w:rPr>
          <w:i/>
          <w:iCs/>
        </w:rPr>
        <w:t xml:space="preserve">: A grammar of data manipulation</w:t>
      </w:r>
      <w:r>
        <w:t xml:space="preserve">.</w:t>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Throughout the</w:t>
      </w:r>
      <w:r>
        <w:t xml:space="preserve"> </w:t>
      </w:r>
      <w:r>
        <w:t xml:space="preserve">tables and figures we abbreviate the longer labels:</w:t>
      </w:r>
      <w:r>
        <w:t xml:space="preserve"> </w:t>
      </w:r>
      <w:r>
        <w:t xml:space="preserve">“Black”</w:t>
      </w:r>
      <w:r>
        <w:t xml:space="preserve"> </w:t>
      </w:r>
      <w:r>
        <w:t xml:space="preserve">for</w:t>
      </w:r>
      <w:r>
        <w:t xml:space="preserve"> </w:t>
      </w:r>
      <w:r>
        <w:t xml:space="preserve">Black/African American,</w:t>
      </w:r>
      <w:r>
        <w:t xml:space="preserve"> </w:t>
      </w:r>
      <w:r>
        <w:t xml:space="preserve">“Two or more”</w:t>
      </w:r>
      <w:r>
        <w:t xml:space="preserve"> </w:t>
      </w:r>
      <w:r>
        <w:t xml:space="preserve">for Two or More Races,</w:t>
      </w:r>
      <w:r>
        <w:t xml:space="preserve"> </w:t>
      </w:r>
      <w:r>
        <w:t xml:space="preserve">“Am.</w:t>
      </w:r>
      <w:r>
        <w:t xml:space="preserve"> </w:t>
      </w:r>
      <w:r>
        <w:t xml:space="preserve">Indian”</w:t>
      </w:r>
      <w:r>
        <w:t xml:space="preserve"> </w:t>
      </w:r>
      <w:r>
        <w:t xml:space="preserve">for American Indian/Alaska Native,</w:t>
      </w:r>
      <w:r>
        <w:t xml:space="preserve"> </w:t>
      </w:r>
      <w:r>
        <w:t xml:space="preserve">“Pacific Isl.”</w:t>
      </w:r>
      <w:r>
        <w:t xml:space="preserve"> </w:t>
      </w:r>
      <w:r>
        <w:t xml:space="preserve">for Native</w:t>
      </w:r>
      <w:r>
        <w:t xml:space="preserve"> </w:t>
      </w:r>
      <w:r>
        <w:t xml:space="preserve">Hawaiian/Other Pacific Islander, and</w:t>
      </w:r>
      <w:r>
        <w:t xml:space="preserve"> </w:t>
      </w:r>
      <w:r>
        <w:t xml:space="preserve">“No response”</w:t>
      </w:r>
      <w:r>
        <w:t xml:space="preserve"> </w:t>
      </w:r>
      <w:r>
        <w:t xml:space="preserve">for the residual</w:t>
      </w:r>
      <w:r>
        <w:t xml:space="preserve"> </w:t>
      </w:r>
      <w:r>
        <w:t xml:space="preserve">described below.</w:t>
      </w:r>
    </w:p>
  </w:footnote>
  <w:footnote w:id="37">
    <w:p>
      <w:pPr>
        <w:pStyle w:val="FootnoteText"/>
      </w:pPr>
      <w:r>
        <w:rPr>
          <w:rStyle w:val="FootnoteReference"/>
        </w:rPr>
        <w:footnoteRef/>
      </w:r>
      <w:r>
        <w:t xml:space="preserve"> </w:t>
      </w:r>
      <w:r>
        <w:t xml:space="preserve">The group is</w:t>
      </w:r>
      <w:r>
        <w:t xml:space="preserve"> </w:t>
      </w:r>
      <w:r>
        <w:t xml:space="preserve">structurally a mixture of distinct ancestral populations, but a</w:t>
      </w:r>
      <w:r>
        <w:t xml:space="preserve"> </w:t>
      </w:r>
      <w:r>
        <w:t xml:space="preserve">richer mixture density for this one group would not be identified by</w:t>
      </w:r>
      <w:r>
        <w:t xml:space="preserve"> </w:t>
      </w:r>
      <w:r>
        <w:t xml:space="preserve">six band totals per cell, and the empirical residuals (see</w:t>
      </w:r>
      <w:r>
        <w:t xml:space="preserve"> </w:t>
      </w:r>
      <w:hyperlink w:anchor="fig-ppc-resid">
        <w:r>
          <w:rPr>
            <w:rStyle w:val="Hyperlink"/>
          </w:rPr>
          <w:t xml:space="preserve">Figure 3</w:t>
        </w:r>
      </w:hyperlink>
      <w:r>
        <w:t xml:space="preserve">) do not visibly require 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rPr>
    </w:rPrDefault>
    <w:pPrDefault>
      <w:pPr>
        <w:spacing w:after="240" w:line="480" w:lineRule="auto"/>
        <w:jc w:val="lef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48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24" Target="media/rId24.png" /><Relationship Type="http://schemas.openxmlformats.org/officeDocument/2006/relationships/image" Id="rId52" Target="media/rId52.png" /><Relationship Type="http://schemas.openxmlformats.org/officeDocument/2006/relationships/image" Id="rId70" Target="media/rId70.png" /><Relationship Type="http://schemas.openxmlformats.org/officeDocument/2006/relationships/image" Id="rId65" Target="media/rId65.png" /><Relationship Type="http://schemas.openxmlformats.org/officeDocument/2006/relationships/hyperlink" Id="rId131" Target="https://doi.org/10.1002/9780470316696" TargetMode="External" /><Relationship Type="http://schemas.openxmlformats.org/officeDocument/2006/relationships/hyperlink" Id="rId120" Target="https://doi.org/10.1002/9781118735855" TargetMode="External" /><Relationship Type="http://schemas.openxmlformats.org/officeDocument/2006/relationships/hyperlink" Id="rId139" Target="https://doi.org/10.1002/sim.3281" TargetMode="External" /><Relationship Type="http://schemas.openxmlformats.org/officeDocument/2006/relationships/hyperlink" Id="rId141" Target="https://doi.org/10.1007/978-3-319-24277-4" TargetMode="External" /><Relationship Type="http://schemas.openxmlformats.org/officeDocument/2006/relationships/hyperlink" Id="rId110" Target="https://doi.org/10.1016/C2012-0-00477-2" TargetMode="External" /><Relationship Type="http://schemas.openxmlformats.org/officeDocument/2006/relationships/hyperlink" Id="rId79" Target="https://doi.org/10.1017/CBO9781139248891" TargetMode="External" /><Relationship Type="http://schemas.openxmlformats.org/officeDocument/2006/relationships/hyperlink" Id="rId133" Target="https://doi.org/10.1037/a0013978" TargetMode="External" /><Relationship Type="http://schemas.openxmlformats.org/officeDocument/2006/relationships/hyperlink" Id="rId89" Target="https://doi.org/10.1080/01621459.1979.10482505" TargetMode="External" /><Relationship Type="http://schemas.openxmlformats.org/officeDocument/2006/relationships/hyperlink" Id="rId108" Target="https://doi.org/10.1080/10627197.2011.635956" TargetMode="External" /><Relationship Type="http://schemas.openxmlformats.org/officeDocument/2006/relationships/hyperlink" Id="rId123" Target="https://doi.org/10.1086/700678" TargetMode="External" /><Relationship Type="http://schemas.openxmlformats.org/officeDocument/2006/relationships/hyperlink" Id="rId102" Target="https://doi.org/10.1093/biomet/81.4.701" TargetMode="External" /><Relationship Type="http://schemas.openxmlformats.org/officeDocument/2006/relationships/hyperlink" Id="rId106" Target="https://doi.org/10.1093/biomet/asp053" TargetMode="External" /><Relationship Type="http://schemas.openxmlformats.org/officeDocument/2006/relationships/hyperlink" Id="rId91" Target="https://doi.org/10.1111/j.0956-7976.2004.00687.x" TargetMode="External" /><Relationship Type="http://schemas.openxmlformats.org/officeDocument/2006/relationships/hyperlink" Id="rId125" Target="https://doi.org/10.1111/j.1467-9876.2005.00510.x" TargetMode="External" /><Relationship Type="http://schemas.openxmlformats.org/officeDocument/2006/relationships/hyperlink" Id="rId127" Target="https://doi.org/10.1111/j.1744-6570.2001.tb00094.x" TargetMode="External" /><Relationship Type="http://schemas.openxmlformats.org/officeDocument/2006/relationships/hyperlink" Id="rId94" Target="https://doi.org/10.1111/rssa.12378" TargetMode="External" /><Relationship Type="http://schemas.openxmlformats.org/officeDocument/2006/relationships/hyperlink" Id="rId112" Target="https://doi.org/10.1177/0963721410389459" TargetMode="External" /><Relationship Type="http://schemas.openxmlformats.org/officeDocument/2006/relationships/hyperlink" Id="rId96" Target="https://doi.org/10.1201/b16018" TargetMode="External" /><Relationship Type="http://schemas.openxmlformats.org/officeDocument/2006/relationships/hyperlink" Id="rId117" Target="https://doi.org/10.1214/12-STS395" TargetMode="External" /><Relationship Type="http://schemas.openxmlformats.org/officeDocument/2006/relationships/hyperlink" Id="rId137" Target="https://doi.org/10.1214/20-BA1221" TargetMode="External" /><Relationship Type="http://schemas.openxmlformats.org/officeDocument/2006/relationships/hyperlink" Id="rId115" Target="https://doi.org/10.1214/aos/1176325622" TargetMode="External" /><Relationship Type="http://schemas.openxmlformats.org/officeDocument/2006/relationships/hyperlink" Id="rId129" Target="https://doi.org/10.1214/aos/1176346785" TargetMode="External" /><Relationship Type="http://schemas.openxmlformats.org/officeDocument/2006/relationships/hyperlink" Id="rId104" Target="https://doi.org/10.1214/aos/1176348396" TargetMode="External" /><Relationship Type="http://schemas.openxmlformats.org/officeDocument/2006/relationships/hyperlink" Id="rId100" Target="https://doi.org/10.1214/ss/1177012601" TargetMode="External" /><Relationship Type="http://schemas.openxmlformats.org/officeDocument/2006/relationships/hyperlink" Id="rId135" Target="https://doi.org/10.18637/jss.v023.i07" TargetMode="External" /><Relationship Type="http://schemas.openxmlformats.org/officeDocument/2006/relationships/hyperlink" Id="rId84" Target="https://doi.org/10.18637/jss.v076.i01" TargetMode="External" /><Relationship Type="http://schemas.openxmlformats.org/officeDocument/2006/relationships/hyperlink" Id="rId81" Target="https://doi.org/10.48550/arXiv.1701.02434" TargetMode="External" /></Relationships>
</file>

<file path=word/_rels/footnotes.xml.rels><?xml version="1.0" encoding="UTF-8"?><Relationships xmlns="http://schemas.openxmlformats.org/package/2006/relationships"><Relationship Type="http://schemas.openxmlformats.org/officeDocument/2006/relationships/hyperlink" Id="rId131" Target="https://doi.org/10.1002/9780470316696" TargetMode="External" /><Relationship Type="http://schemas.openxmlformats.org/officeDocument/2006/relationships/hyperlink" Id="rId120" Target="https://doi.org/10.1002/9781118735855" TargetMode="External" /><Relationship Type="http://schemas.openxmlformats.org/officeDocument/2006/relationships/hyperlink" Id="rId139" Target="https://doi.org/10.1002/sim.3281" TargetMode="External" /><Relationship Type="http://schemas.openxmlformats.org/officeDocument/2006/relationships/hyperlink" Id="rId141" Target="https://doi.org/10.1007/978-3-319-24277-4" TargetMode="External" /><Relationship Type="http://schemas.openxmlformats.org/officeDocument/2006/relationships/hyperlink" Id="rId110" Target="https://doi.org/10.1016/C2012-0-00477-2" TargetMode="External" /><Relationship Type="http://schemas.openxmlformats.org/officeDocument/2006/relationships/hyperlink" Id="rId79" Target="https://doi.org/10.1017/CBO9781139248891" TargetMode="External" /><Relationship Type="http://schemas.openxmlformats.org/officeDocument/2006/relationships/hyperlink" Id="rId133" Target="https://doi.org/10.1037/a0013978" TargetMode="External" /><Relationship Type="http://schemas.openxmlformats.org/officeDocument/2006/relationships/hyperlink" Id="rId89" Target="https://doi.org/10.1080/01621459.1979.10482505" TargetMode="External" /><Relationship Type="http://schemas.openxmlformats.org/officeDocument/2006/relationships/hyperlink" Id="rId108" Target="https://doi.org/10.1080/10627197.2011.635956" TargetMode="External" /><Relationship Type="http://schemas.openxmlformats.org/officeDocument/2006/relationships/hyperlink" Id="rId123" Target="https://doi.org/10.1086/700678" TargetMode="External" /><Relationship Type="http://schemas.openxmlformats.org/officeDocument/2006/relationships/hyperlink" Id="rId102" Target="https://doi.org/10.1093/biomet/81.4.701" TargetMode="External" /><Relationship Type="http://schemas.openxmlformats.org/officeDocument/2006/relationships/hyperlink" Id="rId106" Target="https://doi.org/10.1093/biomet/asp053" TargetMode="External" /><Relationship Type="http://schemas.openxmlformats.org/officeDocument/2006/relationships/hyperlink" Id="rId91" Target="https://doi.org/10.1111/j.0956-7976.2004.00687.x" TargetMode="External" /><Relationship Type="http://schemas.openxmlformats.org/officeDocument/2006/relationships/hyperlink" Id="rId125" Target="https://doi.org/10.1111/j.1467-9876.2005.00510.x" TargetMode="External" /><Relationship Type="http://schemas.openxmlformats.org/officeDocument/2006/relationships/hyperlink" Id="rId127" Target="https://doi.org/10.1111/j.1744-6570.2001.tb00094.x" TargetMode="External" /><Relationship Type="http://schemas.openxmlformats.org/officeDocument/2006/relationships/hyperlink" Id="rId94" Target="https://doi.org/10.1111/rssa.12378" TargetMode="External" /><Relationship Type="http://schemas.openxmlformats.org/officeDocument/2006/relationships/hyperlink" Id="rId112" Target="https://doi.org/10.1177/0963721410389459" TargetMode="External" /><Relationship Type="http://schemas.openxmlformats.org/officeDocument/2006/relationships/hyperlink" Id="rId96" Target="https://doi.org/10.1201/b16018" TargetMode="External" /><Relationship Type="http://schemas.openxmlformats.org/officeDocument/2006/relationships/hyperlink" Id="rId117" Target="https://doi.org/10.1214/12-STS395" TargetMode="External" /><Relationship Type="http://schemas.openxmlformats.org/officeDocument/2006/relationships/hyperlink" Id="rId137" Target="https://doi.org/10.1214/20-BA1221" TargetMode="External" /><Relationship Type="http://schemas.openxmlformats.org/officeDocument/2006/relationships/hyperlink" Id="rId115" Target="https://doi.org/10.1214/aos/1176325622" TargetMode="External" /><Relationship Type="http://schemas.openxmlformats.org/officeDocument/2006/relationships/hyperlink" Id="rId129" Target="https://doi.org/10.1214/aos/1176346785" TargetMode="External" /><Relationship Type="http://schemas.openxmlformats.org/officeDocument/2006/relationships/hyperlink" Id="rId104" Target="https://doi.org/10.1214/aos/1176348396" TargetMode="External" /><Relationship Type="http://schemas.openxmlformats.org/officeDocument/2006/relationships/hyperlink" Id="rId100" Target="https://doi.org/10.1214/ss/1177012601" TargetMode="External" /><Relationship Type="http://schemas.openxmlformats.org/officeDocument/2006/relationships/hyperlink" Id="rId135" Target="https://doi.org/10.18637/jss.v023.i07" TargetMode="External" /><Relationship Type="http://schemas.openxmlformats.org/officeDocument/2006/relationships/hyperlink" Id="rId84" Target="https://doi.org/10.18637/jss.v076.i01" TargetMode="External" /><Relationship Type="http://schemas.openxmlformats.org/officeDocument/2006/relationships/hyperlink" Id="rId81" Target="https://doi.org/10.48550/arXiv.1701.024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Model for the Distribution of SAT Total Scores</dc:title>
  <dc:creator/>
  <cp:keywords>SAT, score distributions, grouped data, sinh-arcsinh distribution, hierarchical Bayesian model, tail estimation</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google-scholar">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True</vt:lpwstr>
  </property>
  <property fmtid="{D5CDD505-2E9C-101B-9397-08002B2CF9AE}" pid="11" name="toc-title">
    <vt:lpwstr>Table of contents</vt:lpwstr>
  </property>
</Properties>
</file>