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1E0" w:firstRow="1" w:lastRow="1" w:firstColumn="1" w:lastColumn="1" w:noHBand="0" w:noVBand="0"/>
      </w:tblPr>
      <w:tblGrid>
        <w:gridCol w:w="9864"/>
      </w:tblGrid>
      <w:tr w:rsidR="00440FBF" w:rsidRPr="001D0E2F" w14:paraId="5E7FC022" w14:textId="77777777" w:rsidTr="00785829">
        <w:tc>
          <w:tcPr>
            <w:tcW w:w="5000" w:type="pct"/>
            <w:shd w:val="clear" w:color="auto" w:fill="CDDDE5"/>
            <w:vAlign w:val="bottom"/>
          </w:tcPr>
          <w:p w14:paraId="6F745F7A" w14:textId="0A14A74F" w:rsidR="00440FBF" w:rsidRPr="001D0E2F" w:rsidRDefault="00CE5F00" w:rsidP="00440FBF">
            <w:pPr>
              <w:pStyle w:val="BannerTitle"/>
              <w:rPr>
                <w:color w:val="007CB1"/>
              </w:rPr>
            </w:pPr>
            <w:r>
              <w:rPr>
                <w:color w:val="007CB1"/>
              </w:rPr>
              <w:t xml:space="preserve">Indicative </w:t>
            </w:r>
            <w:r w:rsidR="00BA3051" w:rsidRPr="001D0E2F">
              <w:rPr>
                <w:color w:val="007CB1"/>
              </w:rPr>
              <w:t xml:space="preserve">Term </w:t>
            </w:r>
            <w:r w:rsidR="00440FBF" w:rsidRPr="001D0E2F">
              <w:rPr>
                <w:color w:val="007CB1"/>
              </w:rPr>
              <w:t>Sheet</w:t>
            </w:r>
          </w:p>
        </w:tc>
      </w:tr>
      <w:tr w:rsidR="00BE7DC7" w:rsidRPr="001D0E2F" w14:paraId="5E9B4793" w14:textId="77777777" w:rsidTr="00785829">
        <w:tc>
          <w:tcPr>
            <w:tcW w:w="5000" w:type="pct"/>
            <w:shd w:val="clear" w:color="auto" w:fill="0091B1"/>
            <w:vAlign w:val="bottom"/>
          </w:tcPr>
          <w:p w14:paraId="65FAB915" w14:textId="18B4BB06" w:rsidR="00BC5FF7" w:rsidRPr="001D0E2F" w:rsidRDefault="00AB5FCF" w:rsidP="0077714D">
            <w:pPr>
              <w:pStyle w:val="StyleLabelCustomColorRGB2052212291"/>
            </w:pPr>
            <w:r>
              <w:t>Indicative</w:t>
            </w:r>
            <w:r w:rsidRPr="001D0E2F">
              <w:t xml:space="preserve"> </w:t>
            </w:r>
            <w:r w:rsidR="00BE7DC7" w:rsidRPr="001D0E2F">
              <w:t>Terms and Conditions</w:t>
            </w:r>
            <w:r w:rsidR="00FF0172" w:rsidRPr="001D0E2F">
              <w:t xml:space="preserve"> as of </w:t>
            </w:r>
            <w:r w:rsidR="00ED6E7E">
              <w:fldChar w:fldCharType="begin"/>
            </w:r>
            <w:r w:rsidR="00ED6E7E">
              <w:instrText xml:space="preserve"> DATE  \@ "d MMMM yyyy"  \* MERGEFORMAT </w:instrText>
            </w:r>
            <w:r w:rsidR="00ED6E7E">
              <w:fldChar w:fldCharType="separate"/>
            </w:r>
            <w:r w:rsidR="0021624C">
              <w:rPr>
                <w:noProof/>
              </w:rPr>
              <w:t>4 January 2024</w:t>
            </w:r>
            <w:r w:rsidR="00ED6E7E">
              <w:fldChar w:fldCharType="end"/>
            </w:r>
          </w:p>
        </w:tc>
      </w:tr>
      <w:tr w:rsidR="00BC5FF7" w:rsidRPr="001D0E2F" w14:paraId="181EE5A7" w14:textId="77777777" w:rsidTr="00785829">
        <w:trPr>
          <w:trHeight w:val="80"/>
        </w:trPr>
        <w:tc>
          <w:tcPr>
            <w:tcW w:w="5000" w:type="pct"/>
            <w:shd w:val="clear" w:color="auto" w:fill="0091B1"/>
          </w:tcPr>
          <w:p w14:paraId="0615B04B" w14:textId="5E9B61F1" w:rsidR="0021499E" w:rsidRPr="009A6261" w:rsidRDefault="0021499E" w:rsidP="00917C43">
            <w:pPr>
              <w:pStyle w:val="Heading4"/>
              <w:ind w:left="735"/>
              <w:rPr>
                <w:rFonts w:ascii="Arial" w:hAnsi="Arial"/>
                <w:color w:val="FFFFFF"/>
                <w:sz w:val="24"/>
                <w:lang w:val="en-US" w:eastAsia="zh-CN"/>
              </w:rPr>
            </w:pPr>
            <w:r>
              <w:rPr>
                <w:rFonts w:ascii="Arial" w:hAnsi="Arial"/>
                <w:color w:val="FFFFFF"/>
                <w:sz w:val="24"/>
                <w:lang w:val="en-US" w:eastAsia="zh-CN"/>
              </w:rPr>
              <w:t xml:space="preserve">1 Year USD </w:t>
            </w:r>
            <w:r w:rsidR="001B1FF3">
              <w:rPr>
                <w:rFonts w:ascii="Arial" w:hAnsi="Arial"/>
                <w:color w:val="FFFFFF"/>
                <w:sz w:val="24"/>
                <w:lang w:val="en-US" w:eastAsia="zh-CN"/>
              </w:rPr>
              <w:t xml:space="preserve">Excess Return </w:t>
            </w:r>
            <w:r>
              <w:rPr>
                <w:rFonts w:ascii="Arial" w:hAnsi="Arial"/>
                <w:color w:val="FFFFFF"/>
                <w:sz w:val="24"/>
                <w:lang w:val="en-US" w:eastAsia="zh-CN"/>
              </w:rPr>
              <w:t xml:space="preserve">Swap linked to </w:t>
            </w:r>
            <w:r w:rsidR="00CE5F00">
              <w:rPr>
                <w:rFonts w:ascii="Arial" w:hAnsi="Arial"/>
                <w:color w:val="FFFFFF"/>
                <w:sz w:val="24"/>
                <w:lang w:val="en-US" w:eastAsia="zh-CN"/>
              </w:rPr>
              <w:t>[</w:t>
            </w:r>
            <w:r w:rsidR="00382D43">
              <w:rPr>
                <w:rFonts w:ascii="Arial" w:hAnsi="Arial" w:cs="Arial"/>
                <w:color w:val="FFFFFF"/>
                <w:sz w:val="24"/>
                <w:lang w:val="en-US" w:eastAsia="zh-CN"/>
              </w:rPr>
              <w:t>●</w:t>
            </w:r>
            <w:r w:rsidR="00CE5F00">
              <w:rPr>
                <w:rFonts w:ascii="Arial" w:hAnsi="Arial"/>
                <w:color w:val="FFFFFF"/>
                <w:sz w:val="24"/>
                <w:lang w:val="en-US" w:eastAsia="zh-CN"/>
              </w:rPr>
              <w:t>]</w:t>
            </w:r>
          </w:p>
          <w:p w14:paraId="0918D137" w14:textId="77777777" w:rsidR="00BC5FF7" w:rsidRPr="00BA3051" w:rsidRDefault="00BA3051" w:rsidP="00C651ED">
            <w:pPr>
              <w:pStyle w:val="BannerTitleLevel2"/>
              <w:rPr>
                <w:rFonts w:eastAsia="SimSun"/>
                <w:color w:val="CDDDE5"/>
                <w:sz w:val="20"/>
                <w:szCs w:val="20"/>
                <w:u w:val="single"/>
                <w:lang w:eastAsia="zh-CN"/>
              </w:rPr>
            </w:pPr>
            <w:r w:rsidRPr="00BA3051">
              <w:rPr>
                <w:rFonts w:eastAsia="SimSun"/>
                <w:color w:val="CDDDE5"/>
                <w:sz w:val="20"/>
                <w:szCs w:val="20"/>
                <w:u w:val="single"/>
                <w:lang w:eastAsia="zh-CN"/>
              </w:rPr>
              <w:t>Strictly Private and Confidential</w:t>
            </w:r>
          </w:p>
        </w:tc>
      </w:tr>
      <w:tr w:rsidR="008F0147" w:rsidRPr="001D0E2F" w14:paraId="2D004D3E" w14:textId="77777777" w:rsidTr="00785829">
        <w:trPr>
          <w:trHeight w:val="32"/>
        </w:trPr>
        <w:tc>
          <w:tcPr>
            <w:tcW w:w="5000" w:type="pct"/>
            <w:shd w:val="clear" w:color="auto" w:fill="auto"/>
          </w:tcPr>
          <w:p w14:paraId="745CF3C2" w14:textId="77777777" w:rsidR="008F0147" w:rsidRPr="001D0E2F" w:rsidRDefault="008F0147" w:rsidP="00DC25EA">
            <w:pPr>
              <w:pStyle w:val="Spacer"/>
              <w:rPr>
                <w:sz w:val="4"/>
                <w:szCs w:val="4"/>
              </w:rPr>
            </w:pPr>
          </w:p>
        </w:tc>
      </w:tr>
      <w:tr w:rsidR="00FF0172" w:rsidRPr="001D0E2F" w14:paraId="157330B4" w14:textId="77777777" w:rsidTr="00785829">
        <w:trPr>
          <w:trHeight w:val="32"/>
        </w:trPr>
        <w:tc>
          <w:tcPr>
            <w:tcW w:w="5000" w:type="pct"/>
            <w:shd w:val="clear" w:color="auto" w:fill="auto"/>
          </w:tcPr>
          <w:p w14:paraId="7FA00F6C" w14:textId="77777777" w:rsidR="00FF0172" w:rsidRPr="001D0E2F" w:rsidRDefault="00FF0172" w:rsidP="00DC25EA">
            <w:pPr>
              <w:pStyle w:val="Spacer"/>
              <w:rPr>
                <w:sz w:val="4"/>
                <w:szCs w:val="4"/>
              </w:rPr>
            </w:pPr>
          </w:p>
          <w:p w14:paraId="3A7CA283" w14:textId="77777777" w:rsidR="00FF0172" w:rsidRPr="001D0E2F" w:rsidRDefault="00AB3608" w:rsidP="00A80F8A">
            <w:pPr>
              <w:pStyle w:val="Spacer"/>
              <w:jc w:val="both"/>
              <w:rPr>
                <w:sz w:val="4"/>
                <w:szCs w:val="4"/>
              </w:rPr>
            </w:pPr>
            <w:r w:rsidRPr="001D0E2F">
              <w:rPr>
                <w:i/>
                <w:sz w:val="11"/>
              </w:rPr>
              <w:t>WE ARE WILLING TO DISCUSS A TRANSACTION WITH YOU BECAUSE WE UNDERSTAND THAT YOU HAVE SUFFICIENT KNOWLEDGE AND EXPERIENCE TO MAKE YOUR OWN EVALUATION OF THE MERITS AND RISK OF A TRANSACTION OF THIS TYPE AND YOU ARE NOT RELYING ON BNP PARIBAS NOR ANY OF THE COMPANIES IN THE BNP PARIBAS GROUP FOR INFORMATION, ADVICE OR RECOMMENDATIONS OF ANY SORT OTHER THAN THE FACTUAL TERMS OF THE TRANSACTION.  THIS INDICATIVE TERM SHEET DOES NOT IDENTIFY ALL THE RISKS (DIRECT OR INDIRECT) OR OTHER CONSIDERATIONS WHICH MIGHT BE MATERIAL TO YOU WHEN ENTERING INTO A TRANSACTION OF THIS TYPE.  YOU SHOULD CONSULT YOUR OWN PROFESSIONAL ADVISORS WITH RESPECT TO THIS TYPE OF TRANSACTION AND YOU SHOULD REFRAIN FROM ENTERING INTO ANY TRANSACTION WITH US UNLESS YOU HAVE FULLY UNDERSTOOD THE ASSOCIATED RISKS AND HAVE INDEPENDENTLY DETERMINED THAT THE TRANSACTION IS APPROPRIATE FOR YOU.</w:t>
            </w:r>
          </w:p>
          <w:p w14:paraId="5A73543B" w14:textId="77777777" w:rsidR="00FF0172" w:rsidRPr="001D0E2F" w:rsidRDefault="00FF0172" w:rsidP="00DC25EA">
            <w:pPr>
              <w:pStyle w:val="Spacer"/>
              <w:rPr>
                <w:sz w:val="4"/>
                <w:szCs w:val="4"/>
              </w:rPr>
            </w:pPr>
          </w:p>
        </w:tc>
      </w:tr>
    </w:tbl>
    <w:p w14:paraId="7F2037FD" w14:textId="77777777" w:rsidR="008D55EC" w:rsidRPr="001D0E2F" w:rsidRDefault="008D55EC" w:rsidP="00A716CC">
      <w:pPr>
        <w:pStyle w:val="Spacer"/>
      </w:pPr>
    </w:p>
    <w:p w14:paraId="1210D382" w14:textId="77777777" w:rsidR="00A716CC" w:rsidRPr="001D0E2F" w:rsidRDefault="00A716CC" w:rsidP="00A716CC">
      <w:pPr>
        <w:pStyle w:val="Spacer"/>
        <w:sectPr w:rsidR="00A716CC" w:rsidRPr="001D0E2F" w:rsidSect="0092681C">
          <w:headerReference w:type="even" r:id="rId8"/>
          <w:headerReference w:type="default" r:id="rId9"/>
          <w:footerReference w:type="even" r:id="rId10"/>
          <w:footerReference w:type="default" r:id="rId11"/>
          <w:pgSz w:w="11906" w:h="16838" w:code="9"/>
          <w:pgMar w:top="1701" w:right="851" w:bottom="1531" w:left="1191" w:header="851" w:footer="680" w:gutter="0"/>
          <w:cols w:space="708"/>
          <w:docGrid w:linePitch="360"/>
        </w:sectPr>
      </w:pPr>
    </w:p>
    <w:p w14:paraId="2A8ED99A" w14:textId="77777777" w:rsidR="00A716CC" w:rsidRPr="001D0E2F" w:rsidRDefault="00A716CC" w:rsidP="00A716CC">
      <w:pPr>
        <w:pStyle w:val="4p"/>
      </w:pPr>
    </w:p>
    <w:p w14:paraId="453EA556" w14:textId="77777777" w:rsidR="00A14AAC" w:rsidRPr="001D0E2F" w:rsidRDefault="00A14AAC" w:rsidP="00C35FDD">
      <w:pPr>
        <w:tabs>
          <w:tab w:val="left" w:pos="2610"/>
        </w:tabs>
        <w:ind w:left="3060" w:hanging="3060"/>
        <w:jc w:val="right"/>
        <w:rPr>
          <w:b/>
          <w:sz w:val="19"/>
          <w:szCs w:val="19"/>
          <w:u w:val="single"/>
        </w:rPr>
      </w:pPr>
    </w:p>
    <w:p w14:paraId="0F59BD85" w14:textId="77777777" w:rsidR="00FF0172" w:rsidRPr="00325847" w:rsidRDefault="00FF0172" w:rsidP="00FF0172">
      <w:pPr>
        <w:tabs>
          <w:tab w:val="left" w:pos="2610"/>
        </w:tabs>
        <w:ind w:left="3060" w:hanging="3060"/>
        <w:jc w:val="both"/>
        <w:rPr>
          <w:rFonts w:ascii="Arial Bold" w:hAnsi="Arial Bold"/>
          <w:b/>
          <w:caps/>
          <w:sz w:val="19"/>
          <w:szCs w:val="19"/>
          <w:u w:val="single"/>
        </w:rPr>
      </w:pPr>
      <w:r w:rsidRPr="00325847">
        <w:rPr>
          <w:rFonts w:ascii="Arial Bold" w:hAnsi="Arial Bold"/>
          <w:b/>
          <w:caps/>
          <w:sz w:val="19"/>
          <w:szCs w:val="19"/>
          <w:u w:val="single"/>
        </w:rPr>
        <w:t>General Terms</w:t>
      </w:r>
    </w:p>
    <w:p w14:paraId="00C852AA" w14:textId="77777777" w:rsidR="00FF0172" w:rsidRPr="001D0E2F" w:rsidRDefault="00FF0172" w:rsidP="00FF0172">
      <w:pPr>
        <w:tabs>
          <w:tab w:val="left" w:pos="2610"/>
        </w:tabs>
        <w:ind w:left="3060" w:hanging="3060"/>
        <w:jc w:val="both"/>
      </w:pPr>
    </w:p>
    <w:p w14:paraId="2017F1D7" w14:textId="1118BEA2" w:rsidR="00FF0172" w:rsidRPr="00382D43" w:rsidRDefault="00FF0172" w:rsidP="00FF0172">
      <w:pPr>
        <w:tabs>
          <w:tab w:val="left" w:pos="2340"/>
        </w:tabs>
        <w:ind w:left="2880" w:hanging="2880"/>
        <w:jc w:val="both"/>
        <w:rPr>
          <w:lang w:val="en-US"/>
        </w:rPr>
      </w:pPr>
      <w:r w:rsidRPr="001D0E2F">
        <w:rPr>
          <w:lang w:val="en-US"/>
        </w:rPr>
        <w:t>BNP Paribas Reference</w:t>
      </w:r>
      <w:r w:rsidRPr="001D0E2F">
        <w:rPr>
          <w:lang w:val="en-US"/>
        </w:rPr>
        <w:tab/>
      </w:r>
      <w:r w:rsidRPr="00382D43">
        <w:rPr>
          <w:lang w:val="en-US"/>
        </w:rPr>
        <w:t>:</w:t>
      </w:r>
      <w:r w:rsidRPr="00382D43">
        <w:rPr>
          <w:lang w:val="en-US"/>
        </w:rPr>
        <w:tab/>
      </w:r>
      <w:r w:rsidR="0021624C" w:rsidRPr="00382D43">
        <w:rPr>
          <w:lang w:val="en-US"/>
        </w:rPr>
        <w:t>[</w:t>
      </w:r>
      <w:r w:rsidR="0021624C" w:rsidRPr="00382D43">
        <w:rPr>
          <w:rFonts w:cs="Arial"/>
          <w:lang w:val="en-US"/>
        </w:rPr>
        <w:t>●</w:t>
      </w:r>
      <w:r w:rsidR="0021624C" w:rsidRPr="00382D43">
        <w:rPr>
          <w:lang w:val="en-US"/>
        </w:rPr>
        <w:t>]</w:t>
      </w:r>
    </w:p>
    <w:p w14:paraId="51A593C8" w14:textId="77777777" w:rsidR="00037EE2" w:rsidRPr="00382D43" w:rsidRDefault="00037EE2" w:rsidP="00FF0172">
      <w:pPr>
        <w:tabs>
          <w:tab w:val="left" w:pos="2340"/>
        </w:tabs>
        <w:ind w:left="2880" w:hanging="2880"/>
        <w:jc w:val="both"/>
        <w:rPr>
          <w:lang w:val="en-US"/>
        </w:rPr>
      </w:pPr>
    </w:p>
    <w:p w14:paraId="58233A5B" w14:textId="77777777" w:rsidR="00FF0172" w:rsidRPr="00382D43" w:rsidRDefault="006A5B76" w:rsidP="00FF0172">
      <w:pPr>
        <w:tabs>
          <w:tab w:val="left" w:pos="2340"/>
        </w:tabs>
        <w:ind w:left="2880" w:hanging="2880"/>
        <w:jc w:val="both"/>
        <w:rPr>
          <w:lang w:val="en-US"/>
        </w:rPr>
      </w:pPr>
      <w:r w:rsidRPr="00382D43">
        <w:rPr>
          <w:lang w:val="en-US"/>
        </w:rPr>
        <w:t>Party A</w:t>
      </w:r>
      <w:r w:rsidR="00FF0172" w:rsidRPr="00382D43">
        <w:rPr>
          <w:lang w:val="en-US"/>
        </w:rPr>
        <w:tab/>
        <w:t>:</w:t>
      </w:r>
      <w:r w:rsidR="00FF0172" w:rsidRPr="00382D43">
        <w:rPr>
          <w:lang w:val="en-US"/>
        </w:rPr>
        <w:tab/>
        <w:t>BNP Paribas</w:t>
      </w:r>
    </w:p>
    <w:p w14:paraId="5A829D5C" w14:textId="77777777" w:rsidR="00FF0172" w:rsidRPr="00382D43" w:rsidRDefault="00FF0172" w:rsidP="00FF0172">
      <w:pPr>
        <w:tabs>
          <w:tab w:val="left" w:pos="2340"/>
        </w:tabs>
        <w:ind w:left="2880" w:hanging="2880"/>
        <w:rPr>
          <w:lang w:val="en-US"/>
        </w:rPr>
      </w:pPr>
    </w:p>
    <w:p w14:paraId="5FDBA644" w14:textId="6651D3F4" w:rsidR="00F62C54" w:rsidRPr="00382D43" w:rsidRDefault="00AC3492" w:rsidP="00F62C54">
      <w:pPr>
        <w:tabs>
          <w:tab w:val="left" w:pos="2340"/>
        </w:tabs>
        <w:ind w:left="2880" w:hanging="2880"/>
        <w:rPr>
          <w:lang w:val="en-US"/>
        </w:rPr>
      </w:pPr>
      <w:r w:rsidRPr="00382D43">
        <w:rPr>
          <w:lang w:val="en-US"/>
        </w:rPr>
        <w:t>Party B</w:t>
      </w:r>
      <w:r w:rsidR="00FF0172" w:rsidRPr="00382D43">
        <w:rPr>
          <w:lang w:val="en-US"/>
        </w:rPr>
        <w:tab/>
        <w:t>:</w:t>
      </w:r>
      <w:r w:rsidR="00FF0172" w:rsidRPr="00382D43">
        <w:rPr>
          <w:lang w:val="en-US"/>
        </w:rPr>
        <w:tab/>
      </w:r>
      <w:r w:rsidR="0021624C" w:rsidRPr="00382D43">
        <w:t>Hana Securities Co., Ltd.</w:t>
      </w:r>
      <w:r w:rsidR="00917C43" w:rsidRPr="00382D43">
        <w:rPr>
          <w:lang w:val="en-US"/>
        </w:rPr>
        <w:t xml:space="preserve"> </w:t>
      </w:r>
      <w:r w:rsidR="00B84B19" w:rsidRPr="00382D43">
        <w:rPr>
          <w:lang w:val="en-US"/>
        </w:rPr>
        <w:t>(</w:t>
      </w:r>
      <w:r w:rsidR="00917C43" w:rsidRPr="00382D43">
        <w:rPr>
          <w:lang w:val="en-US"/>
        </w:rPr>
        <w:t>CRDS:</w:t>
      </w:r>
      <w:r w:rsidR="007A3348" w:rsidRPr="00382D43">
        <w:rPr>
          <w:lang w:val="en-US"/>
        </w:rPr>
        <w:t xml:space="preserve"> </w:t>
      </w:r>
      <w:r w:rsidR="0021624C" w:rsidRPr="00382D43">
        <w:rPr>
          <w:lang w:val="en-US"/>
        </w:rPr>
        <w:t>HSMTSEL</w:t>
      </w:r>
      <w:r w:rsidR="00B84B19" w:rsidRPr="00382D43">
        <w:rPr>
          <w:lang w:val="en-US"/>
        </w:rPr>
        <w:t>)</w:t>
      </w:r>
    </w:p>
    <w:p w14:paraId="0886625D" w14:textId="77777777" w:rsidR="00865D01" w:rsidRPr="00382D43" w:rsidRDefault="00865D01" w:rsidP="00F62C54">
      <w:pPr>
        <w:tabs>
          <w:tab w:val="left" w:pos="2340"/>
        </w:tabs>
        <w:ind w:left="2880" w:hanging="2880"/>
        <w:rPr>
          <w:lang w:val="en-US"/>
        </w:rPr>
      </w:pPr>
    </w:p>
    <w:p w14:paraId="26782D3A" w14:textId="7E7E1E84" w:rsidR="00865D01" w:rsidRPr="00382D43" w:rsidRDefault="00865D01" w:rsidP="00F62C54">
      <w:pPr>
        <w:tabs>
          <w:tab w:val="left" w:pos="2340"/>
        </w:tabs>
        <w:ind w:left="2880" w:hanging="2880"/>
      </w:pPr>
      <w:r w:rsidRPr="00382D43">
        <w:t>Transaction Type</w:t>
      </w:r>
      <w:r w:rsidRPr="00382D43">
        <w:tab/>
        <w:t>:</w:t>
      </w:r>
      <w:r w:rsidRPr="00382D43">
        <w:tab/>
        <w:t>Index Swap Transaction (Cash Settlement)</w:t>
      </w:r>
    </w:p>
    <w:p w14:paraId="6B6BE0AF" w14:textId="77777777" w:rsidR="00F62C54" w:rsidRPr="00382D43" w:rsidRDefault="00F62C54" w:rsidP="006232DE">
      <w:pPr>
        <w:tabs>
          <w:tab w:val="left" w:pos="2340"/>
        </w:tabs>
        <w:ind w:left="2880" w:hanging="2880"/>
        <w:jc w:val="both"/>
      </w:pPr>
    </w:p>
    <w:p w14:paraId="249798E1" w14:textId="6C3D2ED9" w:rsidR="000E46AA" w:rsidRPr="00382D43" w:rsidRDefault="00FF0172" w:rsidP="00BA3051">
      <w:pPr>
        <w:tabs>
          <w:tab w:val="left" w:pos="2340"/>
        </w:tabs>
        <w:ind w:left="2880" w:hanging="2880"/>
        <w:jc w:val="both"/>
      </w:pPr>
      <w:r w:rsidRPr="00382D43">
        <w:t>Trade Date</w:t>
      </w:r>
      <w:r w:rsidR="00A1543A" w:rsidRPr="00382D43">
        <w:tab/>
        <w:t>:</w:t>
      </w:r>
      <w:r w:rsidR="00A1543A" w:rsidRPr="00382D43">
        <w:tab/>
      </w:r>
      <w:r w:rsidR="0021624C" w:rsidRPr="00382D43">
        <w:rPr>
          <w:lang w:val="en-US"/>
        </w:rPr>
        <w:t>[</w:t>
      </w:r>
      <w:r w:rsidR="0021624C" w:rsidRPr="00382D43">
        <w:rPr>
          <w:rFonts w:cs="Arial"/>
          <w:lang w:val="en-US"/>
        </w:rPr>
        <w:t>●</w:t>
      </w:r>
      <w:r w:rsidR="0021624C" w:rsidRPr="00382D43">
        <w:rPr>
          <w:lang w:val="en-US"/>
        </w:rPr>
        <w:t>]</w:t>
      </w:r>
    </w:p>
    <w:p w14:paraId="29A3ABA6" w14:textId="77777777" w:rsidR="003A6BC3" w:rsidRPr="00382D43" w:rsidRDefault="003A6BC3" w:rsidP="00BA3051">
      <w:pPr>
        <w:tabs>
          <w:tab w:val="left" w:pos="2340"/>
        </w:tabs>
        <w:ind w:left="2880" w:hanging="2880"/>
        <w:jc w:val="both"/>
      </w:pPr>
    </w:p>
    <w:p w14:paraId="70931E4D" w14:textId="023B3AAA" w:rsidR="001302A5" w:rsidRPr="00382D43" w:rsidRDefault="00970000" w:rsidP="00BA3051">
      <w:pPr>
        <w:tabs>
          <w:tab w:val="left" w:pos="2340"/>
        </w:tabs>
        <w:ind w:left="2880" w:hanging="2880"/>
        <w:jc w:val="both"/>
        <w:rPr>
          <w:lang w:val="en-US"/>
        </w:rPr>
      </w:pPr>
      <w:r w:rsidRPr="00382D43">
        <w:t xml:space="preserve">Initial Pricing </w:t>
      </w:r>
      <w:r w:rsidR="000E46AA" w:rsidRPr="00382D43">
        <w:t>Date</w:t>
      </w:r>
      <w:r w:rsidR="00FF0172" w:rsidRPr="00382D43">
        <w:tab/>
        <w:t>:</w:t>
      </w:r>
      <w:r w:rsidR="00FF0172" w:rsidRPr="00382D43">
        <w:tab/>
      </w:r>
      <w:r w:rsidR="0021624C" w:rsidRPr="00382D43">
        <w:rPr>
          <w:lang w:val="en-US"/>
        </w:rPr>
        <w:t>[</w:t>
      </w:r>
      <w:r w:rsidR="0021624C" w:rsidRPr="00382D43">
        <w:rPr>
          <w:rFonts w:cs="Arial"/>
          <w:lang w:val="en-US"/>
        </w:rPr>
        <w:t>●</w:t>
      </w:r>
      <w:r w:rsidR="0021624C" w:rsidRPr="00382D43">
        <w:rPr>
          <w:lang w:val="en-US"/>
        </w:rPr>
        <w:t>]</w:t>
      </w:r>
    </w:p>
    <w:p w14:paraId="56FE5BF1" w14:textId="77777777" w:rsidR="00AC3492" w:rsidRPr="00382D43" w:rsidRDefault="00AC3492" w:rsidP="00FF0172">
      <w:pPr>
        <w:tabs>
          <w:tab w:val="left" w:pos="2340"/>
        </w:tabs>
        <w:ind w:left="2880" w:hanging="2880"/>
        <w:jc w:val="both"/>
        <w:rPr>
          <w:szCs w:val="18"/>
          <w:lang w:val="en-US"/>
        </w:rPr>
      </w:pPr>
    </w:p>
    <w:p w14:paraId="771A2302" w14:textId="35463ABD" w:rsidR="00E43281" w:rsidRPr="00382D43" w:rsidRDefault="00AC3492" w:rsidP="00FF0172">
      <w:pPr>
        <w:tabs>
          <w:tab w:val="left" w:pos="2340"/>
        </w:tabs>
        <w:ind w:left="2880" w:hanging="2880"/>
        <w:jc w:val="both"/>
        <w:rPr>
          <w:rFonts w:eastAsia="SimSun" w:cs="Arial"/>
          <w:szCs w:val="18"/>
          <w:lang w:val="en-US"/>
        </w:rPr>
      </w:pPr>
      <w:r w:rsidRPr="00382D43">
        <w:rPr>
          <w:szCs w:val="18"/>
        </w:rPr>
        <w:t>Effective Date</w:t>
      </w:r>
      <w:r w:rsidRPr="00382D43">
        <w:rPr>
          <w:szCs w:val="18"/>
        </w:rPr>
        <w:tab/>
        <w:t>:</w:t>
      </w:r>
      <w:r w:rsidRPr="00382D43">
        <w:rPr>
          <w:szCs w:val="18"/>
        </w:rPr>
        <w:tab/>
      </w:r>
      <w:r w:rsidR="0021624C" w:rsidRPr="00382D43">
        <w:rPr>
          <w:lang w:val="en-US"/>
        </w:rPr>
        <w:t>[</w:t>
      </w:r>
      <w:r w:rsidR="0021624C" w:rsidRPr="00382D43">
        <w:rPr>
          <w:rFonts w:cs="Arial"/>
          <w:lang w:val="en-US"/>
        </w:rPr>
        <w:t>●</w:t>
      </w:r>
      <w:r w:rsidR="0021624C" w:rsidRPr="00382D43">
        <w:rPr>
          <w:lang w:val="en-US"/>
        </w:rPr>
        <w:t>]</w:t>
      </w:r>
    </w:p>
    <w:p w14:paraId="40BE0A99" w14:textId="77777777" w:rsidR="00E43281" w:rsidRPr="00382D43" w:rsidRDefault="00E43281" w:rsidP="00FF0172">
      <w:pPr>
        <w:tabs>
          <w:tab w:val="left" w:pos="2340"/>
        </w:tabs>
        <w:ind w:left="2880" w:hanging="2880"/>
        <w:jc w:val="both"/>
      </w:pPr>
    </w:p>
    <w:p w14:paraId="55A9679F" w14:textId="62483A3B" w:rsidR="000619BA" w:rsidRPr="00382D43" w:rsidRDefault="00970000" w:rsidP="00FF0172">
      <w:pPr>
        <w:tabs>
          <w:tab w:val="left" w:pos="2340"/>
        </w:tabs>
        <w:ind w:left="2880" w:hanging="2880"/>
        <w:jc w:val="both"/>
        <w:rPr>
          <w:rFonts w:cs="Arial"/>
          <w:bCs/>
          <w:szCs w:val="18"/>
          <w:lang w:eastAsia="zh-CN"/>
        </w:rPr>
      </w:pPr>
      <w:r w:rsidRPr="00382D43">
        <w:t>Final Pricing</w:t>
      </w:r>
      <w:r w:rsidR="0081131A" w:rsidRPr="00382D43">
        <w:t xml:space="preserve"> </w:t>
      </w:r>
      <w:r w:rsidR="009113AF" w:rsidRPr="00382D43">
        <w:t>Date</w:t>
      </w:r>
      <w:r w:rsidR="009113AF" w:rsidRPr="00382D43">
        <w:tab/>
      </w:r>
      <w:r w:rsidR="009113AF" w:rsidRPr="00382D43">
        <w:rPr>
          <w:rFonts w:cs="Arial"/>
          <w:bCs/>
          <w:szCs w:val="18"/>
          <w:lang w:eastAsia="zh-CN"/>
        </w:rPr>
        <w:t xml:space="preserve">: </w:t>
      </w:r>
      <w:r w:rsidR="009113AF" w:rsidRPr="00382D43">
        <w:rPr>
          <w:rFonts w:cs="Arial"/>
          <w:b/>
          <w:szCs w:val="18"/>
          <w:lang w:eastAsia="zh-CN"/>
        </w:rPr>
        <w:tab/>
      </w:r>
      <w:r w:rsidR="0021624C" w:rsidRPr="00382D43">
        <w:rPr>
          <w:lang w:val="en-US"/>
        </w:rPr>
        <w:t>[</w:t>
      </w:r>
      <w:r w:rsidR="0021624C" w:rsidRPr="00382D43">
        <w:rPr>
          <w:rFonts w:cs="Arial"/>
          <w:lang w:val="en-US"/>
        </w:rPr>
        <w:t>●</w:t>
      </w:r>
      <w:r w:rsidR="0021624C" w:rsidRPr="00382D43">
        <w:rPr>
          <w:lang w:val="en-US"/>
        </w:rPr>
        <w:t>]</w:t>
      </w:r>
    </w:p>
    <w:p w14:paraId="5EF92902" w14:textId="77777777" w:rsidR="009113AF" w:rsidRPr="00382D43" w:rsidRDefault="009113AF" w:rsidP="00FF0172">
      <w:pPr>
        <w:tabs>
          <w:tab w:val="left" w:pos="2340"/>
        </w:tabs>
        <w:ind w:left="2880" w:hanging="2880"/>
        <w:jc w:val="both"/>
      </w:pPr>
    </w:p>
    <w:p w14:paraId="17A7214C" w14:textId="6DF703E7" w:rsidR="00FF0172" w:rsidRPr="00382D43" w:rsidRDefault="002534B9" w:rsidP="00FF0172">
      <w:pPr>
        <w:tabs>
          <w:tab w:val="left" w:pos="2340"/>
        </w:tabs>
        <w:ind w:left="2880" w:hanging="2880"/>
        <w:jc w:val="both"/>
        <w:rPr>
          <w:rFonts w:eastAsia="SimSun" w:cs="Arial"/>
          <w:szCs w:val="18"/>
        </w:rPr>
      </w:pPr>
      <w:r w:rsidRPr="00382D43">
        <w:t>Termination Date</w:t>
      </w:r>
      <w:r w:rsidRPr="00382D43">
        <w:tab/>
        <w:t>:</w:t>
      </w:r>
      <w:r w:rsidRPr="00382D43">
        <w:tab/>
      </w:r>
      <w:r w:rsidR="000619BA" w:rsidRPr="00382D43">
        <w:rPr>
          <w:szCs w:val="18"/>
        </w:rPr>
        <w:t>T</w:t>
      </w:r>
      <w:r w:rsidR="005B4EA6" w:rsidRPr="00382D43">
        <w:rPr>
          <w:szCs w:val="18"/>
        </w:rPr>
        <w:t xml:space="preserve">he </w:t>
      </w:r>
      <w:r w:rsidR="0021624C" w:rsidRPr="00382D43">
        <w:rPr>
          <w:lang w:val="en-US"/>
        </w:rPr>
        <w:t>[</w:t>
      </w:r>
      <w:r w:rsidR="0021624C" w:rsidRPr="00382D43">
        <w:rPr>
          <w:rFonts w:cs="Arial"/>
          <w:lang w:val="en-US"/>
        </w:rPr>
        <w:t>●</w:t>
      </w:r>
      <w:r w:rsidR="0021624C" w:rsidRPr="00382D43">
        <w:rPr>
          <w:lang w:val="en-US"/>
        </w:rPr>
        <w:t>]</w:t>
      </w:r>
      <w:r w:rsidR="00B8215C" w:rsidRPr="00382D43">
        <w:rPr>
          <w:lang w:val="en-US"/>
        </w:rPr>
        <w:t xml:space="preserve"> </w:t>
      </w:r>
      <w:r w:rsidR="001545BF" w:rsidRPr="00382D43">
        <w:rPr>
          <w:szCs w:val="18"/>
        </w:rPr>
        <w:t xml:space="preserve">Currency </w:t>
      </w:r>
      <w:r w:rsidR="00B33A10" w:rsidRPr="00382D43">
        <w:rPr>
          <w:szCs w:val="18"/>
        </w:rPr>
        <w:t>Business Day immediately after the Valuation Dat</w:t>
      </w:r>
      <w:r w:rsidR="00312682" w:rsidRPr="00382D43">
        <w:rPr>
          <w:szCs w:val="18"/>
        </w:rPr>
        <w:t xml:space="preserve">e (currently expected to </w:t>
      </w:r>
      <w:r w:rsidR="00CA1503" w:rsidRPr="00382D43">
        <w:rPr>
          <w:szCs w:val="18"/>
        </w:rPr>
        <w:t>be</w:t>
      </w:r>
      <w:r w:rsidR="00A1543A" w:rsidRPr="00382D43">
        <w:rPr>
          <w:szCs w:val="18"/>
        </w:rPr>
        <w:t xml:space="preserve"> </w:t>
      </w:r>
      <w:r w:rsidR="0021624C" w:rsidRPr="00382D43">
        <w:rPr>
          <w:lang w:val="en-US"/>
        </w:rPr>
        <w:t>[</w:t>
      </w:r>
      <w:r w:rsidR="0021624C" w:rsidRPr="00382D43">
        <w:rPr>
          <w:rFonts w:cs="Arial"/>
          <w:lang w:val="en-US"/>
        </w:rPr>
        <w:t>●</w:t>
      </w:r>
      <w:r w:rsidR="0021624C" w:rsidRPr="00382D43">
        <w:rPr>
          <w:lang w:val="en-US"/>
        </w:rPr>
        <w:t>]</w:t>
      </w:r>
      <w:r w:rsidR="00F00B96" w:rsidRPr="00382D43">
        <w:rPr>
          <w:szCs w:val="18"/>
        </w:rPr>
        <w:t>)</w:t>
      </w:r>
    </w:p>
    <w:p w14:paraId="01B525D9" w14:textId="77777777" w:rsidR="004361F5" w:rsidRPr="00382D43" w:rsidRDefault="004361F5" w:rsidP="00FF0172">
      <w:pPr>
        <w:tabs>
          <w:tab w:val="left" w:pos="2340"/>
        </w:tabs>
        <w:ind w:left="2880" w:hanging="2880"/>
        <w:jc w:val="both"/>
      </w:pPr>
    </w:p>
    <w:p w14:paraId="1D79A304" w14:textId="3746F1DD" w:rsidR="000E1272" w:rsidRPr="00382D43" w:rsidRDefault="00970000" w:rsidP="0081131A">
      <w:pPr>
        <w:tabs>
          <w:tab w:val="left" w:pos="2340"/>
        </w:tabs>
        <w:ind w:left="2880" w:hanging="2880"/>
        <w:jc w:val="both"/>
        <w:rPr>
          <w:lang w:val="en-US"/>
        </w:rPr>
      </w:pPr>
      <w:r w:rsidRPr="00382D43">
        <w:rPr>
          <w:rFonts w:eastAsia="??"/>
        </w:rPr>
        <w:t xml:space="preserve">Initial </w:t>
      </w:r>
      <w:r w:rsidR="0057767E" w:rsidRPr="00382D43">
        <w:rPr>
          <w:rFonts w:eastAsia="??"/>
        </w:rPr>
        <w:t xml:space="preserve">Notional </w:t>
      </w:r>
      <w:r w:rsidRPr="00382D43">
        <w:rPr>
          <w:rFonts w:eastAsia="??"/>
        </w:rPr>
        <w:t>Quantity</w:t>
      </w:r>
      <w:r w:rsidRPr="00382D43">
        <w:rPr>
          <w:rFonts w:eastAsia="??"/>
        </w:rPr>
        <w:tab/>
      </w:r>
      <w:r w:rsidR="0057767E" w:rsidRPr="00382D43">
        <w:rPr>
          <w:rFonts w:eastAsia="??"/>
        </w:rPr>
        <w:t>:</w:t>
      </w:r>
      <w:r w:rsidR="0057767E" w:rsidRPr="00382D43">
        <w:rPr>
          <w:rFonts w:eastAsia="??"/>
        </w:rPr>
        <w:tab/>
      </w:r>
      <w:r w:rsidR="0021624C" w:rsidRPr="00382D43">
        <w:rPr>
          <w:rFonts w:eastAsia="??"/>
        </w:rPr>
        <w:t xml:space="preserve">USD </w:t>
      </w:r>
      <w:r w:rsidR="0021624C" w:rsidRPr="00382D43">
        <w:rPr>
          <w:lang w:val="en-US"/>
        </w:rPr>
        <w:t>[</w:t>
      </w:r>
      <w:r w:rsidR="0021624C" w:rsidRPr="00382D43">
        <w:rPr>
          <w:rFonts w:cs="Arial"/>
          <w:lang w:val="en-US"/>
        </w:rPr>
        <w:t>●</w:t>
      </w:r>
      <w:r w:rsidR="0021624C" w:rsidRPr="00382D43">
        <w:rPr>
          <w:lang w:val="en-US"/>
        </w:rPr>
        <w:t>]</w:t>
      </w:r>
    </w:p>
    <w:p w14:paraId="0E9DEF42" w14:textId="77777777" w:rsidR="0081131A" w:rsidRPr="00382D43" w:rsidRDefault="0081131A" w:rsidP="0057767E">
      <w:pPr>
        <w:tabs>
          <w:tab w:val="left" w:pos="2340"/>
        </w:tabs>
        <w:ind w:left="2880" w:hanging="2880"/>
        <w:jc w:val="both"/>
        <w:rPr>
          <w:rFonts w:eastAsia="??"/>
        </w:rPr>
      </w:pPr>
    </w:p>
    <w:p w14:paraId="7A302716" w14:textId="42757042" w:rsidR="000E1272" w:rsidRPr="00382D43" w:rsidRDefault="00970000" w:rsidP="0057767E">
      <w:pPr>
        <w:tabs>
          <w:tab w:val="left" w:pos="2340"/>
        </w:tabs>
        <w:ind w:left="2880" w:hanging="2880"/>
        <w:jc w:val="both"/>
        <w:rPr>
          <w:rFonts w:eastAsia="??"/>
        </w:rPr>
      </w:pPr>
      <w:r w:rsidRPr="00382D43">
        <w:rPr>
          <w:rFonts w:eastAsia="??"/>
        </w:rPr>
        <w:t>Notional Quantity</w:t>
      </w:r>
      <w:r w:rsidR="00B8215C" w:rsidRPr="00382D43">
        <w:rPr>
          <w:rFonts w:eastAsia="??"/>
        </w:rPr>
        <w:tab/>
        <w:t xml:space="preserve">: </w:t>
      </w:r>
      <w:r w:rsidR="00B8215C" w:rsidRPr="00382D43">
        <w:rPr>
          <w:rFonts w:eastAsia="??"/>
        </w:rPr>
        <w:tab/>
      </w:r>
      <w:r w:rsidRPr="00382D43">
        <w:rPr>
          <w:rFonts w:eastAsia="??"/>
        </w:rPr>
        <w:t xml:space="preserve">On any Commodity Business Day subsequent to the Trade Date, the sum of the Initial Notional Quantity, minus any </w:t>
      </w:r>
      <w:r w:rsidR="00185AD8" w:rsidRPr="00382D43">
        <w:rPr>
          <w:rFonts w:eastAsia="??"/>
        </w:rPr>
        <w:t>Termination Notional Quantity</w:t>
      </w:r>
      <w:r w:rsidRPr="00382D43">
        <w:rPr>
          <w:rFonts w:eastAsia="??"/>
        </w:rPr>
        <w:t>.</w:t>
      </w:r>
    </w:p>
    <w:p w14:paraId="54FED11F" w14:textId="77777777" w:rsidR="00045FCE" w:rsidRPr="00382D43" w:rsidRDefault="00045FCE" w:rsidP="00FF0172">
      <w:pPr>
        <w:tabs>
          <w:tab w:val="left" w:pos="2340"/>
        </w:tabs>
        <w:ind w:left="2880" w:hanging="2880"/>
        <w:jc w:val="both"/>
      </w:pPr>
    </w:p>
    <w:p w14:paraId="4EA9644F" w14:textId="252B00FD" w:rsidR="00A14AAC" w:rsidRPr="00382D43" w:rsidRDefault="00BC4163" w:rsidP="00D9199A">
      <w:pPr>
        <w:tabs>
          <w:tab w:val="left" w:pos="2340"/>
        </w:tabs>
        <w:ind w:left="2880" w:hanging="2880"/>
        <w:jc w:val="both"/>
        <w:rPr>
          <w:szCs w:val="20"/>
          <w:lang w:val="en-US" w:eastAsia="en-US"/>
        </w:rPr>
      </w:pPr>
      <w:r w:rsidRPr="00382D43">
        <w:rPr>
          <w:szCs w:val="20"/>
          <w:lang w:val="en-US" w:eastAsia="en-US"/>
        </w:rPr>
        <w:t>Underlying (</w:t>
      </w:r>
      <w:r w:rsidRPr="00382D43">
        <w:rPr>
          <w:b/>
          <w:i/>
          <w:szCs w:val="20"/>
          <w:lang w:val="en-US" w:eastAsia="en-US"/>
        </w:rPr>
        <w:t>Index</w:t>
      </w:r>
      <w:r w:rsidRPr="00382D43">
        <w:rPr>
          <w:szCs w:val="20"/>
          <w:lang w:val="en-US" w:eastAsia="en-US"/>
        </w:rPr>
        <w:t>)</w:t>
      </w:r>
      <w:r w:rsidRPr="00382D43">
        <w:rPr>
          <w:szCs w:val="20"/>
          <w:lang w:val="en-US" w:eastAsia="en-US"/>
        </w:rPr>
        <w:tab/>
      </w:r>
      <w:r w:rsidR="00A14AAC" w:rsidRPr="00382D43">
        <w:rPr>
          <w:szCs w:val="20"/>
          <w:lang w:val="en-US" w:eastAsia="en-US"/>
        </w:rPr>
        <w:t>:</w:t>
      </w:r>
      <w:r w:rsidR="00A14AAC" w:rsidRPr="00382D43">
        <w:rPr>
          <w:szCs w:val="20"/>
          <w:lang w:val="en-US" w:eastAsia="en-US"/>
        </w:rPr>
        <w:tab/>
      </w:r>
      <w:r w:rsidR="006B0578" w:rsidRPr="00382D43">
        <w:rPr>
          <w:szCs w:val="20"/>
          <w:lang w:val="en-US" w:eastAsia="en-US"/>
        </w:rPr>
        <w:t>[</w:t>
      </w:r>
      <w:r w:rsidR="006B0578" w:rsidRPr="00382D43">
        <w:rPr>
          <w:szCs w:val="20"/>
          <w:lang w:val="en-US" w:eastAsia="en-US"/>
        </w:rPr>
        <w:t>BNP Paribas Daily CDI Carry ex-Agriculture and Livestock Index</w:t>
      </w:r>
      <w:r w:rsidR="006B0578" w:rsidRPr="00382D43">
        <w:rPr>
          <w:szCs w:val="20"/>
          <w:lang w:val="en-US" w:eastAsia="en-US"/>
        </w:rPr>
        <w:t xml:space="preserve">; </w:t>
      </w:r>
      <w:r w:rsidR="006B0578" w:rsidRPr="00382D43">
        <w:rPr>
          <w:szCs w:val="20"/>
          <w:lang w:val="en-US" w:eastAsia="en-US"/>
        </w:rPr>
        <w:t>BNP Paribas Alpha Momentum ex-Agriculture and Livestock Net Index</w:t>
      </w:r>
      <w:r w:rsidR="006B0578" w:rsidRPr="00382D43">
        <w:rPr>
          <w:szCs w:val="20"/>
          <w:lang w:val="en-US" w:eastAsia="en-US"/>
        </w:rPr>
        <w:t xml:space="preserve">; </w:t>
      </w:r>
      <w:r w:rsidR="006B0578" w:rsidRPr="00382D43">
        <w:rPr>
          <w:szCs w:val="20"/>
          <w:lang w:val="en-US" w:eastAsia="en-US"/>
        </w:rPr>
        <w:t>BNP Paribas CDI Skewness ex-A&amp;L ER Index</w:t>
      </w:r>
      <w:r w:rsidR="006B0578" w:rsidRPr="00382D43">
        <w:rPr>
          <w:szCs w:val="20"/>
          <w:lang w:val="en-US" w:eastAsia="en-US"/>
        </w:rPr>
        <w:t>]</w:t>
      </w:r>
    </w:p>
    <w:p w14:paraId="537A0091" w14:textId="77777777" w:rsidR="00BC4163" w:rsidRPr="00382D43" w:rsidRDefault="00BC4163" w:rsidP="00F54574">
      <w:pPr>
        <w:tabs>
          <w:tab w:val="left" w:pos="2340"/>
        </w:tabs>
        <w:ind w:left="2880" w:hanging="2880"/>
        <w:jc w:val="both"/>
        <w:rPr>
          <w:szCs w:val="20"/>
          <w:lang w:val="en-US" w:eastAsia="en-US"/>
        </w:rPr>
      </w:pPr>
    </w:p>
    <w:p w14:paraId="0A749AAA" w14:textId="7DD19D62" w:rsidR="00BC4163" w:rsidRPr="00382D43" w:rsidRDefault="00BC4163" w:rsidP="00D9199A">
      <w:pPr>
        <w:tabs>
          <w:tab w:val="left" w:pos="2340"/>
        </w:tabs>
        <w:ind w:left="2880" w:hanging="2880"/>
        <w:jc w:val="both"/>
        <w:rPr>
          <w:rFonts w:eastAsia="??"/>
        </w:rPr>
      </w:pPr>
      <w:r w:rsidRPr="00382D43">
        <w:rPr>
          <w:szCs w:val="20"/>
          <w:lang w:val="en-US" w:eastAsia="en-US"/>
        </w:rPr>
        <w:t>Bloomberg Code</w:t>
      </w:r>
      <w:r w:rsidRPr="00382D43">
        <w:rPr>
          <w:szCs w:val="20"/>
          <w:lang w:val="en-US" w:eastAsia="en-US"/>
        </w:rPr>
        <w:tab/>
        <w:t>:</w:t>
      </w:r>
      <w:r w:rsidRPr="00382D43">
        <w:rPr>
          <w:szCs w:val="20"/>
          <w:lang w:val="en-US" w:eastAsia="en-US"/>
        </w:rPr>
        <w:tab/>
      </w:r>
      <w:r w:rsidR="00CE5F00" w:rsidRPr="00382D43">
        <w:rPr>
          <w:szCs w:val="20"/>
          <w:lang w:val="en-US" w:eastAsia="en-US"/>
        </w:rPr>
        <w:t>[</w:t>
      </w:r>
      <w:r w:rsidR="006B0578" w:rsidRPr="00382D43">
        <w:rPr>
          <w:lang w:val="en-US"/>
        </w:rPr>
        <w:t>BNPXDDXC</w:t>
      </w:r>
      <w:r w:rsidR="006B0578" w:rsidRPr="00382D43">
        <w:rPr>
          <w:lang w:val="en-US"/>
        </w:rPr>
        <w:t xml:space="preserve">; </w:t>
      </w:r>
      <w:r w:rsidR="006B0578" w:rsidRPr="00382D43">
        <w:rPr>
          <w:lang w:val="en-US"/>
        </w:rPr>
        <w:t>BNPINMXA</w:t>
      </w:r>
      <w:r w:rsidR="006B0578" w:rsidRPr="00382D43">
        <w:rPr>
          <w:lang w:val="en-US"/>
        </w:rPr>
        <w:t xml:space="preserve">; </w:t>
      </w:r>
      <w:r w:rsidR="006B0578" w:rsidRPr="00382D43">
        <w:rPr>
          <w:lang w:val="en-US"/>
        </w:rPr>
        <w:t>BNPXCDXS</w:t>
      </w:r>
      <w:r w:rsidR="00CE5F00" w:rsidRPr="00382D43">
        <w:rPr>
          <w:lang w:val="en-US"/>
        </w:rPr>
        <w:t>]</w:t>
      </w:r>
      <w:r w:rsidR="004056FF" w:rsidRPr="00382D43">
        <w:rPr>
          <w:szCs w:val="20"/>
          <w:lang w:val="en-US" w:eastAsia="en-US"/>
        </w:rPr>
        <w:t xml:space="preserve"> </w:t>
      </w:r>
      <w:r w:rsidR="0077714D" w:rsidRPr="00382D43">
        <w:rPr>
          <w:szCs w:val="20"/>
          <w:lang w:val="en-US" w:eastAsia="en-US"/>
        </w:rPr>
        <w:t>Index</w:t>
      </w:r>
    </w:p>
    <w:p w14:paraId="365E1305" w14:textId="77777777" w:rsidR="00D9199A" w:rsidRPr="00382D43" w:rsidRDefault="00D9199A" w:rsidP="00D9199A">
      <w:pPr>
        <w:tabs>
          <w:tab w:val="left" w:pos="2340"/>
        </w:tabs>
        <w:ind w:left="2880" w:hanging="2880"/>
        <w:jc w:val="both"/>
        <w:rPr>
          <w:rFonts w:eastAsia="??"/>
        </w:rPr>
      </w:pPr>
    </w:p>
    <w:p w14:paraId="4ED3D189" w14:textId="68AED14C" w:rsidR="00D9199A" w:rsidRPr="00382D43" w:rsidRDefault="00D9199A" w:rsidP="00D9199A">
      <w:pPr>
        <w:tabs>
          <w:tab w:val="left" w:pos="2340"/>
        </w:tabs>
        <w:ind w:left="2880" w:hanging="2880"/>
        <w:jc w:val="both"/>
        <w:rPr>
          <w:rFonts w:eastAsia="??"/>
        </w:rPr>
      </w:pPr>
      <w:r w:rsidRPr="00382D43">
        <w:rPr>
          <w:rFonts w:eastAsia="??"/>
        </w:rPr>
        <w:t>Index Sponsor</w:t>
      </w:r>
      <w:r w:rsidRPr="00382D43">
        <w:rPr>
          <w:rFonts w:eastAsia="??"/>
        </w:rPr>
        <w:tab/>
        <w:t>:</w:t>
      </w:r>
      <w:r w:rsidRPr="00382D43">
        <w:rPr>
          <w:rFonts w:eastAsia="??"/>
        </w:rPr>
        <w:tab/>
      </w:r>
      <w:r w:rsidR="0081131A" w:rsidRPr="00382D43">
        <w:rPr>
          <w:rFonts w:eastAsia="??"/>
        </w:rPr>
        <w:t>BNP Paribas (the “</w:t>
      </w:r>
      <w:r w:rsidR="0081131A" w:rsidRPr="00382D43">
        <w:rPr>
          <w:rFonts w:eastAsia="??"/>
          <w:b/>
        </w:rPr>
        <w:t>Price Source</w:t>
      </w:r>
      <w:r w:rsidR="0081131A" w:rsidRPr="00382D43">
        <w:rPr>
          <w:rFonts w:eastAsia="??"/>
        </w:rPr>
        <w:t>”)</w:t>
      </w:r>
    </w:p>
    <w:p w14:paraId="74076BD4" w14:textId="77777777" w:rsidR="0081131A" w:rsidRPr="00382D43" w:rsidRDefault="0081131A" w:rsidP="00D9199A">
      <w:pPr>
        <w:tabs>
          <w:tab w:val="left" w:pos="2340"/>
        </w:tabs>
        <w:ind w:left="2880" w:hanging="2880"/>
        <w:jc w:val="both"/>
        <w:rPr>
          <w:szCs w:val="20"/>
          <w:lang w:val="en-US" w:eastAsia="en-US"/>
        </w:rPr>
      </w:pPr>
    </w:p>
    <w:p w14:paraId="49F68FA5" w14:textId="575FEF99" w:rsidR="00BC58F5" w:rsidRPr="00382D43" w:rsidRDefault="00BC58F5" w:rsidP="00D9199A">
      <w:pPr>
        <w:tabs>
          <w:tab w:val="left" w:pos="2340"/>
        </w:tabs>
        <w:ind w:left="2880" w:hanging="2880"/>
        <w:jc w:val="both"/>
        <w:rPr>
          <w:rFonts w:eastAsia="??"/>
          <w:lang w:val="en-US"/>
        </w:rPr>
      </w:pPr>
      <w:r w:rsidRPr="00382D43">
        <w:rPr>
          <w:rFonts w:eastAsia="??"/>
          <w:lang w:val="en-US"/>
        </w:rPr>
        <w:t xml:space="preserve">Index </w:t>
      </w:r>
      <w:r w:rsidR="00970000" w:rsidRPr="00382D43">
        <w:rPr>
          <w:rFonts w:eastAsia="??"/>
          <w:lang w:val="en-US"/>
        </w:rPr>
        <w:t>Calculation Agent</w:t>
      </w:r>
      <w:r w:rsidRPr="00382D43">
        <w:rPr>
          <w:rFonts w:eastAsia="??"/>
          <w:lang w:val="en-US"/>
        </w:rPr>
        <w:tab/>
        <w:t>:</w:t>
      </w:r>
      <w:r w:rsidRPr="00382D43">
        <w:rPr>
          <w:rFonts w:eastAsia="??"/>
          <w:lang w:val="en-US"/>
        </w:rPr>
        <w:tab/>
        <w:t xml:space="preserve">BNP Paribas </w:t>
      </w:r>
    </w:p>
    <w:p w14:paraId="320F6C62" w14:textId="77777777" w:rsidR="00BC58F5" w:rsidRPr="00382D43" w:rsidRDefault="00BC58F5" w:rsidP="00D9199A">
      <w:pPr>
        <w:tabs>
          <w:tab w:val="left" w:pos="2340"/>
        </w:tabs>
        <w:ind w:left="2880" w:hanging="2880"/>
        <w:jc w:val="both"/>
        <w:rPr>
          <w:szCs w:val="20"/>
          <w:lang w:val="en-US" w:eastAsia="en-US"/>
        </w:rPr>
      </w:pPr>
    </w:p>
    <w:p w14:paraId="782AAF79" w14:textId="700030C7" w:rsidR="00970000" w:rsidRPr="00382D43" w:rsidRDefault="00BC58F5" w:rsidP="00970000">
      <w:pPr>
        <w:tabs>
          <w:tab w:val="left" w:pos="2340"/>
        </w:tabs>
        <w:ind w:left="2880" w:hanging="2880"/>
        <w:jc w:val="both"/>
        <w:rPr>
          <w:szCs w:val="20"/>
          <w:lang w:val="en-US" w:eastAsia="en-US"/>
        </w:rPr>
      </w:pPr>
      <w:r w:rsidRPr="00382D43">
        <w:rPr>
          <w:szCs w:val="20"/>
          <w:lang w:val="en-US" w:eastAsia="en-US"/>
        </w:rPr>
        <w:t>Pricing Date</w:t>
      </w:r>
      <w:r w:rsidR="00D9199A" w:rsidRPr="00382D43">
        <w:rPr>
          <w:szCs w:val="20"/>
          <w:lang w:val="en-US" w:eastAsia="en-US"/>
        </w:rPr>
        <w:tab/>
        <w:t>:</w:t>
      </w:r>
      <w:r w:rsidR="00D9199A" w:rsidRPr="00382D43">
        <w:rPr>
          <w:szCs w:val="20"/>
          <w:lang w:val="en-US" w:eastAsia="en-US"/>
        </w:rPr>
        <w:tab/>
      </w:r>
      <w:r w:rsidRPr="00382D43">
        <w:rPr>
          <w:szCs w:val="20"/>
          <w:lang w:val="en-US" w:eastAsia="en-US"/>
        </w:rPr>
        <w:t>Each Commodity Business Day occurring from the Initial Pricing Date (included), to the Final Pricing Date (included)</w:t>
      </w:r>
    </w:p>
    <w:p w14:paraId="494EE4C2" w14:textId="77777777" w:rsidR="00970000" w:rsidRPr="00382D43" w:rsidRDefault="00970000" w:rsidP="00970000">
      <w:pPr>
        <w:tabs>
          <w:tab w:val="left" w:pos="2340"/>
        </w:tabs>
        <w:ind w:left="2880" w:hanging="2880"/>
        <w:jc w:val="both"/>
        <w:rPr>
          <w:szCs w:val="20"/>
          <w:lang w:val="en-US" w:eastAsia="en-US"/>
        </w:rPr>
      </w:pPr>
    </w:p>
    <w:p w14:paraId="264CB81D" w14:textId="070D402F" w:rsidR="00D9199A" w:rsidRPr="00382D43" w:rsidRDefault="00970000" w:rsidP="00970000">
      <w:pPr>
        <w:tabs>
          <w:tab w:val="left" w:pos="2340"/>
        </w:tabs>
        <w:ind w:left="2880" w:hanging="2880"/>
        <w:jc w:val="both"/>
        <w:rPr>
          <w:rFonts w:eastAsia="??"/>
          <w:lang w:val="en-US"/>
        </w:rPr>
      </w:pPr>
      <w:r w:rsidRPr="00382D43">
        <w:rPr>
          <w:rFonts w:eastAsia="??"/>
          <w:lang w:val="en-US"/>
        </w:rPr>
        <w:t>Commodity Business Day</w:t>
      </w:r>
      <w:r w:rsidRPr="00382D43">
        <w:rPr>
          <w:rFonts w:eastAsia="??"/>
          <w:lang w:val="en-US"/>
        </w:rPr>
        <w:tab/>
        <w:t>:</w:t>
      </w:r>
      <w:r w:rsidRPr="00382D43">
        <w:rPr>
          <w:rFonts w:eastAsia="??"/>
          <w:lang w:val="en-US"/>
        </w:rPr>
        <w:tab/>
        <w:t>A day on which (i) the Price Source publishes (or, but for the occurrence of an Index Component Disruption Event or an Index Disruption, would have published) the level of the Index and (ii) the relevant exchange for each Index Component is (or, but for the occurrence of an Index Component Disruption Event or Index Disruption, would have been) open for trading during its regular trading session and on which such exchange published (or, but for the occurrence of an Index Component Disruption Event, would have published) a closing or settlement price for that Index Component.</w:t>
      </w:r>
    </w:p>
    <w:p w14:paraId="6840037B" w14:textId="77777777" w:rsidR="000E46AA" w:rsidRPr="00382D43" w:rsidRDefault="000E46AA" w:rsidP="00F0184A">
      <w:pPr>
        <w:tabs>
          <w:tab w:val="left" w:pos="2340"/>
        </w:tabs>
        <w:ind w:left="2880" w:hanging="2880"/>
        <w:jc w:val="both"/>
      </w:pPr>
    </w:p>
    <w:p w14:paraId="7AD26271" w14:textId="6D8FB0A2" w:rsidR="00F0184A" w:rsidRPr="00382D43" w:rsidRDefault="00F0184A" w:rsidP="00B4455B">
      <w:pPr>
        <w:tabs>
          <w:tab w:val="left" w:pos="2340"/>
        </w:tabs>
        <w:ind w:left="2880" w:hanging="2880"/>
        <w:jc w:val="both"/>
      </w:pPr>
      <w:r w:rsidRPr="00382D43">
        <w:t>Initial Level (</w:t>
      </w:r>
      <w:r w:rsidRPr="00382D43">
        <w:rPr>
          <w:b/>
          <w:i/>
        </w:rPr>
        <w:t>Index</w:t>
      </w:r>
      <w:r w:rsidRPr="00382D43">
        <w:rPr>
          <w:b/>
          <w:i/>
          <w:vertAlign w:val="subscript"/>
        </w:rPr>
        <w:t>0</w:t>
      </w:r>
      <w:r w:rsidRPr="00382D43">
        <w:t>)</w:t>
      </w:r>
      <w:r w:rsidRPr="00382D43">
        <w:tab/>
        <w:t>:</w:t>
      </w:r>
      <w:r w:rsidRPr="00382D43">
        <w:tab/>
      </w:r>
      <w:r w:rsidR="0021624C" w:rsidRPr="00382D43">
        <w:rPr>
          <w:lang w:val="en-US"/>
        </w:rPr>
        <w:t>[</w:t>
      </w:r>
      <w:r w:rsidR="0021624C" w:rsidRPr="00382D43">
        <w:rPr>
          <w:rFonts w:cs="Arial"/>
          <w:lang w:val="en-US"/>
        </w:rPr>
        <w:t>●</w:t>
      </w:r>
      <w:r w:rsidR="0021624C" w:rsidRPr="00382D43">
        <w:rPr>
          <w:lang w:val="en-US"/>
        </w:rPr>
        <w:t>]</w:t>
      </w:r>
      <w:r w:rsidR="00B14D5F" w:rsidRPr="00382D43">
        <w:rPr>
          <w:lang w:val="en-US"/>
        </w:rPr>
        <w:t>,</w:t>
      </w:r>
      <w:r w:rsidRPr="00382D43">
        <w:t xml:space="preserve"> </w:t>
      </w:r>
      <w:r w:rsidR="00B14D5F" w:rsidRPr="00382D43">
        <w:t xml:space="preserve">the </w:t>
      </w:r>
      <w:r w:rsidR="0081131A" w:rsidRPr="00382D43">
        <w:t xml:space="preserve">Commodity </w:t>
      </w:r>
      <w:r w:rsidR="00B14D5F" w:rsidRPr="00382D43">
        <w:t xml:space="preserve">Reference Price of the Index as of the </w:t>
      </w:r>
      <w:r w:rsidR="0081131A" w:rsidRPr="00382D43">
        <w:t xml:space="preserve">Initial Pricing </w:t>
      </w:r>
      <w:r w:rsidR="00B14D5F" w:rsidRPr="00382D43">
        <w:t>Date</w:t>
      </w:r>
    </w:p>
    <w:p w14:paraId="1AFEE113" w14:textId="77777777" w:rsidR="00F0184A" w:rsidRPr="00382D43" w:rsidRDefault="00F0184A" w:rsidP="00F0184A">
      <w:pPr>
        <w:tabs>
          <w:tab w:val="left" w:pos="2340"/>
        </w:tabs>
        <w:ind w:left="2880" w:hanging="2880"/>
        <w:jc w:val="both"/>
        <w:rPr>
          <w:b/>
          <w:bCs/>
          <w:szCs w:val="18"/>
        </w:rPr>
      </w:pPr>
    </w:p>
    <w:p w14:paraId="3F0D4E40" w14:textId="22A97D00" w:rsidR="00F0184A" w:rsidRPr="00382D43" w:rsidRDefault="0081131A" w:rsidP="00F0184A">
      <w:pPr>
        <w:tabs>
          <w:tab w:val="left" w:pos="2340"/>
        </w:tabs>
        <w:ind w:left="2880" w:hanging="2880"/>
        <w:jc w:val="both"/>
        <w:rPr>
          <w:rFonts w:ascii="Arial Bold" w:hAnsi="Arial Bold"/>
          <w:b/>
          <w:caps/>
          <w:sz w:val="19"/>
          <w:szCs w:val="19"/>
          <w:u w:val="single"/>
        </w:rPr>
      </w:pPr>
      <w:r w:rsidRPr="00382D43">
        <w:lastRenderedPageBreak/>
        <w:t xml:space="preserve">Commodity </w:t>
      </w:r>
      <w:r w:rsidR="00F0184A" w:rsidRPr="00382D43">
        <w:t>Reference Price</w:t>
      </w:r>
      <w:r w:rsidR="00F0184A" w:rsidRPr="00382D43">
        <w:tab/>
        <w:t>:</w:t>
      </w:r>
      <w:r w:rsidR="00F0184A" w:rsidRPr="00382D43">
        <w:tab/>
      </w:r>
      <w:r w:rsidR="00A830E7" w:rsidRPr="00382D43">
        <w:t xml:space="preserve">The </w:t>
      </w:r>
      <w:r w:rsidR="00970000" w:rsidRPr="00382D43">
        <w:t>price for a day will be that day's Specified Price for the Index, observed by the Calculation Agent, and displayed by Bloomberg on the page that displays prices effective on that day</w:t>
      </w:r>
      <w:r w:rsidR="00970000" w:rsidRPr="00382D43" w:rsidDel="0081131A">
        <w:t xml:space="preserve"> </w:t>
      </w:r>
    </w:p>
    <w:p w14:paraId="7C7FB780" w14:textId="77777777" w:rsidR="00F0184A" w:rsidRPr="00382D43" w:rsidRDefault="00F0184A" w:rsidP="00F0184A">
      <w:pPr>
        <w:tabs>
          <w:tab w:val="left" w:pos="2340"/>
        </w:tabs>
        <w:ind w:left="2880" w:hanging="2880"/>
        <w:jc w:val="both"/>
        <w:rPr>
          <w:rFonts w:ascii="Arial Bold" w:hAnsi="Arial Bold"/>
          <w:b/>
          <w:caps/>
          <w:sz w:val="19"/>
          <w:szCs w:val="19"/>
          <w:u w:val="single"/>
        </w:rPr>
      </w:pPr>
    </w:p>
    <w:p w14:paraId="6A03BA61" w14:textId="38B5150E" w:rsidR="0081131A" w:rsidRPr="00382D43" w:rsidRDefault="0081131A" w:rsidP="0081131A">
      <w:pPr>
        <w:tabs>
          <w:tab w:val="left" w:pos="2340"/>
        </w:tabs>
        <w:ind w:left="2880" w:hanging="2880"/>
        <w:jc w:val="both"/>
        <w:rPr>
          <w:rFonts w:ascii="Arial Bold" w:hAnsi="Arial Bold"/>
          <w:b/>
          <w:caps/>
          <w:sz w:val="19"/>
          <w:szCs w:val="19"/>
          <w:u w:val="single"/>
        </w:rPr>
      </w:pPr>
      <w:r w:rsidRPr="00382D43">
        <w:t>Specified Price</w:t>
      </w:r>
      <w:r w:rsidRPr="00382D43">
        <w:tab/>
        <w:t>:</w:t>
      </w:r>
      <w:r w:rsidRPr="00382D43">
        <w:tab/>
      </w:r>
      <w:r w:rsidR="00970000" w:rsidRPr="00382D43">
        <w:t>Official closing level of the Index as published by the Price Source, provided that if there exists an Index Component Disruption Event, Index Adjustment Event and/or Additional Market Disruption Event on the relevant day, the Specified Price shall instead be determined pursuant to the provisions of paragraph “Index Component Disruption Events and Consequences thereof”, paragraph “Index Adjustment Events and Consequences thereof” and paragraph “Additional Market Disruption Events and Consequences thereof” below, as appropriate</w:t>
      </w:r>
    </w:p>
    <w:p w14:paraId="79C2ED4A" w14:textId="162F730D" w:rsidR="008E4ACC" w:rsidRPr="00382D43" w:rsidRDefault="008E4ACC" w:rsidP="008E4ACC">
      <w:pPr>
        <w:tabs>
          <w:tab w:val="left" w:pos="2340"/>
          <w:tab w:val="left" w:pos="2610"/>
        </w:tabs>
        <w:jc w:val="both"/>
      </w:pPr>
    </w:p>
    <w:p w14:paraId="143FFDCA" w14:textId="77777777" w:rsidR="008E4ACC" w:rsidRPr="00382D43" w:rsidRDefault="008E4ACC" w:rsidP="008E4ACC">
      <w:pPr>
        <w:tabs>
          <w:tab w:val="left" w:pos="2340"/>
          <w:tab w:val="left" w:pos="2610"/>
        </w:tabs>
        <w:ind w:left="2880" w:hanging="2880"/>
        <w:jc w:val="both"/>
      </w:pPr>
    </w:p>
    <w:p w14:paraId="4D6BA119" w14:textId="77777777" w:rsidR="00F0184A" w:rsidRPr="00382D43" w:rsidRDefault="00F0184A" w:rsidP="009C7ADC">
      <w:pPr>
        <w:tabs>
          <w:tab w:val="left" w:pos="2340"/>
        </w:tabs>
        <w:ind w:left="2880" w:hanging="2880"/>
        <w:jc w:val="both"/>
      </w:pPr>
    </w:p>
    <w:p w14:paraId="35102C67" w14:textId="7AE8CDA5" w:rsidR="00AC3492" w:rsidRPr="00382D43" w:rsidRDefault="0081131A" w:rsidP="004C475A">
      <w:pPr>
        <w:tabs>
          <w:tab w:val="left" w:pos="2340"/>
        </w:tabs>
        <w:ind w:left="2880" w:hanging="2880"/>
        <w:jc w:val="both"/>
        <w:rPr>
          <w:b/>
          <w:bCs/>
          <w:szCs w:val="18"/>
        </w:rPr>
      </w:pPr>
      <w:r w:rsidRPr="00382D43">
        <w:rPr>
          <w:rFonts w:ascii="Arial Bold" w:hAnsi="Arial Bold"/>
          <w:b/>
          <w:caps/>
          <w:sz w:val="19"/>
          <w:szCs w:val="19"/>
          <w:u w:val="single"/>
        </w:rPr>
        <w:t xml:space="preserve">INDEX </w:t>
      </w:r>
      <w:r w:rsidR="006C1469" w:rsidRPr="00382D43">
        <w:rPr>
          <w:rFonts w:ascii="Arial Bold" w:hAnsi="Arial Bold"/>
          <w:b/>
          <w:caps/>
          <w:sz w:val="19"/>
          <w:szCs w:val="19"/>
          <w:u w:val="single"/>
        </w:rPr>
        <w:t>AMOUNT</w:t>
      </w:r>
      <w:r w:rsidR="00135465" w:rsidRPr="00382D43">
        <w:rPr>
          <w:b/>
          <w:bCs/>
          <w:szCs w:val="18"/>
        </w:rPr>
        <w:t xml:space="preserve"> </w:t>
      </w:r>
    </w:p>
    <w:p w14:paraId="6F900609" w14:textId="77777777" w:rsidR="00524F39" w:rsidRPr="00382D43" w:rsidRDefault="00524F39" w:rsidP="005C7F3F">
      <w:pPr>
        <w:tabs>
          <w:tab w:val="left" w:pos="2340"/>
        </w:tabs>
        <w:ind w:left="2880" w:hanging="2880"/>
        <w:jc w:val="both"/>
        <w:rPr>
          <w:szCs w:val="18"/>
        </w:rPr>
      </w:pPr>
    </w:p>
    <w:p w14:paraId="7797F87E" w14:textId="5458C947" w:rsidR="00AC3492" w:rsidRPr="00382D43" w:rsidRDefault="0081131A" w:rsidP="003E684C">
      <w:pPr>
        <w:tabs>
          <w:tab w:val="left" w:pos="2340"/>
        </w:tabs>
        <w:ind w:left="2880" w:hanging="2880"/>
        <w:jc w:val="both"/>
        <w:rPr>
          <w:szCs w:val="18"/>
        </w:rPr>
      </w:pPr>
      <w:r w:rsidRPr="00382D43">
        <w:rPr>
          <w:szCs w:val="18"/>
        </w:rPr>
        <w:t xml:space="preserve">Index </w:t>
      </w:r>
      <w:r w:rsidR="00AC3492" w:rsidRPr="00382D43">
        <w:rPr>
          <w:szCs w:val="18"/>
        </w:rPr>
        <w:t>Amount Payer</w:t>
      </w:r>
      <w:r w:rsidR="005C7F3F" w:rsidRPr="00382D43">
        <w:rPr>
          <w:szCs w:val="18"/>
        </w:rPr>
        <w:tab/>
      </w:r>
      <w:r w:rsidR="00AC3492" w:rsidRPr="00382D43">
        <w:rPr>
          <w:szCs w:val="18"/>
        </w:rPr>
        <w:t>:</w:t>
      </w:r>
      <w:r w:rsidR="00AC3492" w:rsidRPr="00382D43">
        <w:rPr>
          <w:szCs w:val="18"/>
        </w:rPr>
        <w:tab/>
      </w:r>
      <w:r w:rsidR="00135465" w:rsidRPr="00382D43">
        <w:rPr>
          <w:szCs w:val="18"/>
        </w:rPr>
        <w:t xml:space="preserve">Party </w:t>
      </w:r>
      <w:r w:rsidR="001B1FF3" w:rsidRPr="00382D43">
        <w:rPr>
          <w:szCs w:val="18"/>
        </w:rPr>
        <w:t xml:space="preserve">A </w:t>
      </w:r>
      <w:r w:rsidR="00135465" w:rsidRPr="00382D43">
        <w:rPr>
          <w:szCs w:val="18"/>
        </w:rPr>
        <w:t xml:space="preserve">if the </w:t>
      </w:r>
      <w:r w:rsidRPr="00382D43">
        <w:rPr>
          <w:szCs w:val="18"/>
        </w:rPr>
        <w:t xml:space="preserve">Index </w:t>
      </w:r>
      <w:r w:rsidR="00135465" w:rsidRPr="00382D43">
        <w:rPr>
          <w:szCs w:val="18"/>
        </w:rPr>
        <w:t xml:space="preserve">Amount is a positive number; or Party </w:t>
      </w:r>
      <w:r w:rsidR="001B1FF3" w:rsidRPr="00382D43">
        <w:rPr>
          <w:szCs w:val="18"/>
        </w:rPr>
        <w:t xml:space="preserve">B </w:t>
      </w:r>
      <w:r w:rsidR="00135465" w:rsidRPr="00382D43">
        <w:rPr>
          <w:szCs w:val="18"/>
        </w:rPr>
        <w:t xml:space="preserve">if the </w:t>
      </w:r>
      <w:r w:rsidRPr="00382D43">
        <w:rPr>
          <w:szCs w:val="18"/>
        </w:rPr>
        <w:t xml:space="preserve">Index </w:t>
      </w:r>
      <w:r w:rsidR="00135465" w:rsidRPr="00382D43">
        <w:rPr>
          <w:szCs w:val="18"/>
        </w:rPr>
        <w:t xml:space="preserve">Amount is a negative number, in which case, Party </w:t>
      </w:r>
      <w:r w:rsidR="001B1FF3" w:rsidRPr="00382D43">
        <w:rPr>
          <w:szCs w:val="18"/>
        </w:rPr>
        <w:t xml:space="preserve">B </w:t>
      </w:r>
      <w:r w:rsidR="00135465" w:rsidRPr="00382D43">
        <w:rPr>
          <w:szCs w:val="18"/>
        </w:rPr>
        <w:t xml:space="preserve">shall pay the absolute value of the </w:t>
      </w:r>
      <w:r w:rsidRPr="00382D43">
        <w:rPr>
          <w:szCs w:val="18"/>
        </w:rPr>
        <w:t xml:space="preserve">Index </w:t>
      </w:r>
      <w:r w:rsidR="00135465" w:rsidRPr="00382D43">
        <w:rPr>
          <w:szCs w:val="18"/>
        </w:rPr>
        <w:t>Amount.</w:t>
      </w:r>
    </w:p>
    <w:p w14:paraId="1C24FA81" w14:textId="77777777" w:rsidR="00B2268E" w:rsidRPr="00382D43" w:rsidRDefault="00EE004E" w:rsidP="00647723">
      <w:pPr>
        <w:tabs>
          <w:tab w:val="left" w:pos="2340"/>
        </w:tabs>
        <w:ind w:left="2880" w:hanging="2880"/>
        <w:jc w:val="both"/>
      </w:pPr>
      <w:r w:rsidRPr="00382D43">
        <w:t xml:space="preserve">  </w:t>
      </w:r>
      <w:r w:rsidR="00B2268E" w:rsidRPr="00382D43">
        <w:tab/>
      </w:r>
    </w:p>
    <w:p w14:paraId="51AAF3AA" w14:textId="6D2E98CF" w:rsidR="009A2D7F" w:rsidRPr="00382D43" w:rsidRDefault="0081131A" w:rsidP="005D6998">
      <w:pPr>
        <w:tabs>
          <w:tab w:val="left" w:pos="2340"/>
        </w:tabs>
        <w:jc w:val="both"/>
        <w:rPr>
          <w:szCs w:val="18"/>
        </w:rPr>
      </w:pPr>
      <w:r w:rsidRPr="00382D43">
        <w:rPr>
          <w:szCs w:val="18"/>
        </w:rPr>
        <w:t xml:space="preserve">Index </w:t>
      </w:r>
      <w:r w:rsidR="009A2D7F" w:rsidRPr="00382D43">
        <w:rPr>
          <w:szCs w:val="18"/>
        </w:rPr>
        <w:t>Amount</w:t>
      </w:r>
      <w:r w:rsidR="005C7F3F" w:rsidRPr="00382D43">
        <w:rPr>
          <w:szCs w:val="18"/>
        </w:rPr>
        <w:t xml:space="preserve"> </w:t>
      </w:r>
      <w:r w:rsidR="009A2D7F" w:rsidRPr="00382D43">
        <w:rPr>
          <w:szCs w:val="18"/>
        </w:rPr>
        <w:t xml:space="preserve">Payable </w:t>
      </w:r>
    </w:p>
    <w:p w14:paraId="2652A191" w14:textId="4D78420E" w:rsidR="002534B9" w:rsidRPr="00382D43" w:rsidRDefault="009A2D7F" w:rsidP="002534B9">
      <w:pPr>
        <w:tabs>
          <w:tab w:val="left" w:pos="2340"/>
        </w:tabs>
        <w:jc w:val="both"/>
        <w:rPr>
          <w:szCs w:val="18"/>
        </w:rPr>
      </w:pPr>
      <w:r w:rsidRPr="00382D43">
        <w:rPr>
          <w:szCs w:val="18"/>
        </w:rPr>
        <w:t xml:space="preserve">on </w:t>
      </w:r>
      <w:r w:rsidR="00223FAB" w:rsidRPr="00382D43">
        <w:rPr>
          <w:szCs w:val="18"/>
        </w:rPr>
        <w:t xml:space="preserve">the Cash </w:t>
      </w:r>
      <w:r w:rsidR="002534B9" w:rsidRPr="00382D43">
        <w:rPr>
          <w:szCs w:val="18"/>
        </w:rPr>
        <w:t>Settlement</w:t>
      </w:r>
    </w:p>
    <w:p w14:paraId="4B0D053A" w14:textId="2FA92C3F" w:rsidR="00B14D5F" w:rsidRPr="00382D43" w:rsidRDefault="00223FAB" w:rsidP="00B14D5F">
      <w:pPr>
        <w:tabs>
          <w:tab w:val="left" w:pos="2340"/>
        </w:tabs>
        <w:ind w:left="2880" w:hanging="2880"/>
        <w:jc w:val="both"/>
        <w:rPr>
          <w:szCs w:val="18"/>
        </w:rPr>
      </w:pPr>
      <w:r w:rsidRPr="00382D43">
        <w:rPr>
          <w:szCs w:val="18"/>
        </w:rPr>
        <w:t xml:space="preserve">Payment </w:t>
      </w:r>
      <w:r w:rsidR="009A2D7F" w:rsidRPr="00382D43">
        <w:rPr>
          <w:szCs w:val="18"/>
        </w:rPr>
        <w:t>Date</w:t>
      </w:r>
      <w:r w:rsidR="00C9087A" w:rsidRPr="00382D43">
        <w:rPr>
          <w:szCs w:val="18"/>
        </w:rPr>
        <w:t xml:space="preserve"> </w:t>
      </w:r>
      <w:r w:rsidR="009A2D7F" w:rsidRPr="00382D43">
        <w:rPr>
          <w:szCs w:val="18"/>
        </w:rPr>
        <w:t xml:space="preserve"> </w:t>
      </w:r>
      <w:r w:rsidR="004B2E2D" w:rsidRPr="00382D43">
        <w:rPr>
          <w:szCs w:val="18"/>
        </w:rPr>
        <w:tab/>
        <w:t>:</w:t>
      </w:r>
      <w:r w:rsidR="004B2E2D" w:rsidRPr="00382D43">
        <w:rPr>
          <w:szCs w:val="18"/>
        </w:rPr>
        <w:tab/>
        <w:t xml:space="preserve">The </w:t>
      </w:r>
      <w:r w:rsidR="0081131A" w:rsidRPr="00382D43">
        <w:rPr>
          <w:szCs w:val="18"/>
        </w:rPr>
        <w:t>Index</w:t>
      </w:r>
      <w:r w:rsidR="004B2E2D" w:rsidRPr="00382D43">
        <w:rPr>
          <w:szCs w:val="18"/>
        </w:rPr>
        <w:t xml:space="preserve"> Amount in USD will be determined by the Calculation Agent (rounded to two decimal places, 0.005 being rounded up) as follows:</w:t>
      </w:r>
    </w:p>
    <w:p w14:paraId="4D8E5BD5" w14:textId="77777777" w:rsidR="004B2E2D" w:rsidRPr="00382D43" w:rsidRDefault="004B2E2D" w:rsidP="00325847">
      <w:pPr>
        <w:tabs>
          <w:tab w:val="left" w:pos="2340"/>
        </w:tabs>
        <w:ind w:left="2880" w:hanging="2880"/>
        <w:jc w:val="both"/>
        <w:rPr>
          <w:szCs w:val="18"/>
        </w:rPr>
      </w:pPr>
    </w:p>
    <w:p w14:paraId="6965EB72" w14:textId="00806FBD" w:rsidR="004B2E2D" w:rsidRPr="00382D43" w:rsidRDefault="004B2E2D" w:rsidP="00325847">
      <w:pPr>
        <w:tabs>
          <w:tab w:val="left" w:pos="2340"/>
        </w:tabs>
        <w:ind w:left="2880" w:hanging="2880"/>
        <w:jc w:val="both"/>
        <w:rPr>
          <w:i/>
          <w:sz w:val="22"/>
          <w:szCs w:val="22"/>
        </w:rPr>
      </w:pPr>
      <w:r w:rsidRPr="00382D43">
        <w:rPr>
          <w:b/>
          <w:bCs/>
          <w:szCs w:val="18"/>
        </w:rPr>
        <w:tab/>
      </w:r>
      <w:r w:rsidRPr="00382D43">
        <w:rPr>
          <w:b/>
          <w:bCs/>
          <w:szCs w:val="18"/>
        </w:rPr>
        <w:tab/>
      </w:r>
    </w:p>
    <w:p w14:paraId="1682AAC1" w14:textId="61ECD486" w:rsidR="00331572" w:rsidRPr="00382D43" w:rsidRDefault="00331572" w:rsidP="00325847">
      <w:pPr>
        <w:tabs>
          <w:tab w:val="left" w:pos="2340"/>
        </w:tabs>
        <w:ind w:left="2880" w:hanging="2880"/>
        <w:jc w:val="both"/>
        <w:rPr>
          <w:b/>
          <w:bCs/>
          <w:szCs w:val="18"/>
        </w:rPr>
      </w:pPr>
      <w:r w:rsidRPr="00382D43">
        <w:rPr>
          <w:i/>
          <w:sz w:val="22"/>
          <w:szCs w:val="22"/>
        </w:rPr>
        <w:tab/>
      </w:r>
      <w:r w:rsidRPr="00382D43">
        <w:rPr>
          <w:i/>
          <w:sz w:val="22"/>
          <w:szCs w:val="22"/>
        </w:rPr>
        <w:tab/>
      </w:r>
      <m:oMath>
        <m:r>
          <m:rPr>
            <m:sty m:val="p"/>
          </m:rPr>
          <w:rPr>
            <w:rFonts w:ascii="Cambria Math" w:hAnsi="Cambria Math"/>
            <w:sz w:val="22"/>
            <w:szCs w:val="22"/>
          </w:rPr>
          <m:t>Notional Quantity ×</m:t>
        </m:r>
        <m:d>
          <m:dPr>
            <m:begChr m:val="["/>
            <m:endChr m:val="]"/>
            <m:ctrlPr>
              <w:rPr>
                <w:rFonts w:ascii="Cambria Math" w:hAnsi="Cambria Math"/>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Strategy</m:t>
                    </m:r>
                  </m:e>
                  <m:sub>
                    <m:r>
                      <w:rPr>
                        <w:rFonts w:ascii="Cambria Math" w:hAnsi="Cambria Math"/>
                        <w:sz w:val="22"/>
                        <w:szCs w:val="22"/>
                      </w:rPr>
                      <m:t>F</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1-Exit Cost</m:t>
                    </m:r>
                  </m:e>
                </m:d>
              </m:num>
              <m:den>
                <m:sSub>
                  <m:sSubPr>
                    <m:ctrlPr>
                      <w:rPr>
                        <w:rFonts w:ascii="Cambria Math" w:hAnsi="Cambria Math"/>
                        <w:i/>
                        <w:sz w:val="22"/>
                        <w:szCs w:val="22"/>
                      </w:rPr>
                    </m:ctrlPr>
                  </m:sSubPr>
                  <m:e>
                    <m:r>
                      <w:rPr>
                        <w:rFonts w:ascii="Cambria Math" w:hAnsi="Cambria Math"/>
                        <w:sz w:val="22"/>
                        <w:szCs w:val="22"/>
                      </w:rPr>
                      <m:t>Strategy</m:t>
                    </m:r>
                  </m:e>
                  <m:sub>
                    <m:r>
                      <w:rPr>
                        <w:rFonts w:ascii="Cambria Math" w:hAnsi="Cambria Math"/>
                        <w:sz w:val="22"/>
                        <w:szCs w:val="22"/>
                      </w:rPr>
                      <m:t>0</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1+Entry Cost</m:t>
                    </m:r>
                  </m:e>
                </m:d>
              </m:den>
            </m:f>
            <m:r>
              <w:rPr>
                <w:rFonts w:ascii="Cambria Math" w:hAnsi="Cambria Math"/>
                <w:sz w:val="22"/>
                <w:szCs w:val="22"/>
              </w:rPr>
              <m:t>-1</m:t>
            </m:r>
          </m:e>
        </m:d>
      </m:oMath>
    </w:p>
    <w:p w14:paraId="060651EE" w14:textId="77777777" w:rsidR="00F173DC" w:rsidRPr="00382D43" w:rsidRDefault="00F173DC" w:rsidP="00325847">
      <w:pPr>
        <w:tabs>
          <w:tab w:val="left" w:pos="2340"/>
        </w:tabs>
        <w:ind w:left="2880" w:hanging="2880"/>
        <w:jc w:val="both"/>
        <w:rPr>
          <w:szCs w:val="18"/>
        </w:rPr>
      </w:pPr>
    </w:p>
    <w:p w14:paraId="3B81BEF3" w14:textId="77777777" w:rsidR="00F173DC" w:rsidRPr="00382D43" w:rsidRDefault="00F173DC" w:rsidP="00325847">
      <w:pPr>
        <w:pStyle w:val="DefinitionLev2"/>
        <w:spacing w:before="0"/>
        <w:ind w:left="2880"/>
        <w:rPr>
          <w:rFonts w:ascii="Arial" w:eastAsia="Batang" w:hAnsi="Arial" w:cs="Arial"/>
          <w:sz w:val="18"/>
          <w:szCs w:val="18"/>
          <w:lang w:eastAsia="en-GB"/>
        </w:rPr>
      </w:pPr>
      <w:r w:rsidRPr="00382D43">
        <w:rPr>
          <w:rFonts w:ascii="Arial" w:eastAsia="Batang" w:hAnsi="Arial" w:cs="Arial"/>
          <w:sz w:val="18"/>
          <w:szCs w:val="18"/>
          <w:lang w:eastAsia="en-GB"/>
        </w:rPr>
        <w:t xml:space="preserve">Where: </w:t>
      </w:r>
    </w:p>
    <w:p w14:paraId="7B873F8C" w14:textId="77777777" w:rsidR="004F56BE" w:rsidRPr="00382D43" w:rsidRDefault="004F56BE" w:rsidP="00962C4C">
      <w:pPr>
        <w:ind w:left="2160" w:firstLine="720"/>
        <w:jc w:val="both"/>
        <w:rPr>
          <w:rFonts w:cs="Arial"/>
          <w:szCs w:val="18"/>
        </w:rPr>
      </w:pPr>
    </w:p>
    <w:p w14:paraId="6F33FE58" w14:textId="46FD59BF" w:rsidR="00833074" w:rsidRPr="00382D43" w:rsidRDefault="00833074" w:rsidP="00E07C52">
      <w:pPr>
        <w:ind w:left="2880"/>
        <w:jc w:val="both"/>
        <w:rPr>
          <w:rFonts w:cs="Arial"/>
          <w:szCs w:val="18"/>
          <w:lang w:val="en-US"/>
        </w:rPr>
      </w:pPr>
      <w:r w:rsidRPr="00382D43">
        <w:rPr>
          <w:rFonts w:cs="Arial"/>
          <w:b/>
          <w:i/>
          <w:szCs w:val="18"/>
        </w:rPr>
        <w:t>Strategy</w:t>
      </w:r>
      <w:r w:rsidRPr="00382D43">
        <w:rPr>
          <w:rFonts w:ascii="Arial Bold" w:hAnsi="Arial Bold" w:cs="Arial"/>
          <w:b/>
          <w:i/>
          <w:szCs w:val="18"/>
          <w:vertAlign w:val="subscript"/>
        </w:rPr>
        <w:t>0</w:t>
      </w:r>
      <w:r w:rsidRPr="00382D43">
        <w:rPr>
          <w:rFonts w:cs="Arial"/>
          <w:i/>
          <w:szCs w:val="18"/>
        </w:rPr>
        <w:t>:</w:t>
      </w:r>
      <w:r w:rsidRPr="00382D43">
        <w:rPr>
          <w:rFonts w:cs="Arial"/>
          <w:szCs w:val="18"/>
          <w:lang w:val="en-US"/>
        </w:rPr>
        <w:t xml:space="preserve"> The Strategy Value </w:t>
      </w:r>
      <w:r w:rsidR="00F85FDA" w:rsidRPr="00382D43">
        <w:rPr>
          <w:rFonts w:cs="Arial"/>
          <w:szCs w:val="18"/>
        </w:rPr>
        <w:t xml:space="preserve">in respect of the </w:t>
      </w:r>
      <w:r w:rsidR="0081131A" w:rsidRPr="00382D43">
        <w:rPr>
          <w:rFonts w:cs="Arial"/>
          <w:szCs w:val="18"/>
          <w:lang w:val="en-US"/>
        </w:rPr>
        <w:t xml:space="preserve">Initial Pricing </w:t>
      </w:r>
      <w:r w:rsidRPr="00382D43">
        <w:rPr>
          <w:rFonts w:cs="Arial"/>
          <w:szCs w:val="18"/>
          <w:lang w:val="en-US"/>
        </w:rPr>
        <w:t>Date is set to 100%</w:t>
      </w:r>
    </w:p>
    <w:p w14:paraId="38B160BE" w14:textId="77777777" w:rsidR="00833074" w:rsidRPr="00382D43" w:rsidRDefault="00833074" w:rsidP="00833074">
      <w:pPr>
        <w:ind w:left="2160" w:firstLine="720"/>
        <w:jc w:val="both"/>
        <w:rPr>
          <w:rFonts w:cs="Arial"/>
          <w:szCs w:val="18"/>
          <w:lang w:val="en-US"/>
        </w:rPr>
      </w:pPr>
    </w:p>
    <w:p w14:paraId="07D92CB9" w14:textId="61DFE86B" w:rsidR="00833074" w:rsidRPr="00382D43" w:rsidRDefault="00833074" w:rsidP="00833074">
      <w:pPr>
        <w:ind w:left="2160" w:firstLine="720"/>
        <w:jc w:val="both"/>
        <w:rPr>
          <w:rFonts w:cs="Arial"/>
          <w:szCs w:val="18"/>
          <w:lang w:val="en-US"/>
        </w:rPr>
      </w:pPr>
      <w:r w:rsidRPr="00382D43">
        <w:rPr>
          <w:rFonts w:cs="Arial"/>
          <w:b/>
          <w:i/>
          <w:szCs w:val="18"/>
        </w:rPr>
        <w:t>Strategy</w:t>
      </w:r>
      <w:r w:rsidRPr="00382D43">
        <w:rPr>
          <w:rFonts w:ascii="Arial Bold" w:hAnsi="Arial Bold" w:cs="Arial"/>
          <w:b/>
          <w:i/>
          <w:szCs w:val="18"/>
          <w:vertAlign w:val="subscript"/>
        </w:rPr>
        <w:t>F</w:t>
      </w:r>
      <w:r w:rsidRPr="00382D43">
        <w:rPr>
          <w:rFonts w:cs="Arial"/>
          <w:i/>
          <w:szCs w:val="18"/>
        </w:rPr>
        <w:t>:</w:t>
      </w:r>
      <w:r w:rsidRPr="00382D43">
        <w:rPr>
          <w:rFonts w:cs="Arial"/>
          <w:szCs w:val="18"/>
          <w:lang w:val="en-US"/>
        </w:rPr>
        <w:t xml:space="preserve"> The Strategy Value </w:t>
      </w:r>
      <w:r w:rsidR="00F85FDA" w:rsidRPr="00382D43">
        <w:rPr>
          <w:rFonts w:cs="Arial"/>
          <w:szCs w:val="18"/>
        </w:rPr>
        <w:t xml:space="preserve">in respect of the </w:t>
      </w:r>
      <w:r w:rsidR="0081131A" w:rsidRPr="00382D43">
        <w:rPr>
          <w:rFonts w:cs="Arial"/>
          <w:szCs w:val="18"/>
          <w:lang w:val="en-US"/>
        </w:rPr>
        <w:t>Final Pricing</w:t>
      </w:r>
      <w:r w:rsidRPr="00382D43">
        <w:rPr>
          <w:rFonts w:cs="Arial"/>
          <w:szCs w:val="18"/>
          <w:lang w:val="en-US"/>
        </w:rPr>
        <w:t xml:space="preserve"> Date</w:t>
      </w:r>
    </w:p>
    <w:p w14:paraId="5309AE0D" w14:textId="77777777" w:rsidR="00B14D5F" w:rsidRPr="00382D43" w:rsidRDefault="00B14D5F" w:rsidP="00B14D5F">
      <w:pPr>
        <w:jc w:val="both"/>
        <w:rPr>
          <w:rFonts w:cs="Arial"/>
          <w:szCs w:val="18"/>
          <w:lang w:val="en-US"/>
        </w:rPr>
      </w:pPr>
    </w:p>
    <w:p w14:paraId="3567112C" w14:textId="09E49EA1" w:rsidR="00B14D5F" w:rsidRPr="00382D43" w:rsidRDefault="00B14D5F" w:rsidP="00962C4C">
      <w:pPr>
        <w:ind w:left="2160" w:firstLine="720"/>
        <w:jc w:val="both"/>
        <w:rPr>
          <w:rFonts w:cs="Arial"/>
          <w:iCs/>
          <w:szCs w:val="18"/>
          <w:lang w:eastAsia="ko-KR"/>
        </w:rPr>
      </w:pPr>
      <w:r w:rsidRPr="00382D43">
        <w:rPr>
          <w:rFonts w:cs="Arial"/>
          <w:b/>
          <w:i/>
          <w:szCs w:val="18"/>
          <w:lang w:eastAsia="ko-KR"/>
        </w:rPr>
        <w:t>Entry Cost</w:t>
      </w:r>
      <w:r w:rsidRPr="00382D43">
        <w:rPr>
          <w:rFonts w:cs="Arial"/>
          <w:szCs w:val="18"/>
          <w:lang w:eastAsia="ko-KR"/>
        </w:rPr>
        <w:t xml:space="preserve">: </w:t>
      </w:r>
      <w:r w:rsidR="0021624C" w:rsidRPr="00382D43">
        <w:rPr>
          <w:lang w:val="en-US"/>
        </w:rPr>
        <w:t>[</w:t>
      </w:r>
      <w:r w:rsidR="0021624C" w:rsidRPr="00382D43">
        <w:rPr>
          <w:rFonts w:cs="Arial"/>
          <w:lang w:val="en-US"/>
        </w:rPr>
        <w:t>●</w:t>
      </w:r>
      <w:r w:rsidR="0021624C" w:rsidRPr="00382D43">
        <w:rPr>
          <w:lang w:val="en-US"/>
        </w:rPr>
        <w:t>]</w:t>
      </w:r>
      <w:r w:rsidR="0021624C" w:rsidRPr="00382D43">
        <w:rPr>
          <w:lang w:val="en-US"/>
        </w:rPr>
        <w:t>%</w:t>
      </w:r>
    </w:p>
    <w:p w14:paraId="4E0AA6C4" w14:textId="77777777" w:rsidR="00B14D5F" w:rsidRPr="00382D43" w:rsidRDefault="00B14D5F" w:rsidP="00B14D5F">
      <w:pPr>
        <w:jc w:val="both"/>
        <w:rPr>
          <w:rFonts w:cs="Arial"/>
          <w:iCs/>
          <w:szCs w:val="18"/>
          <w:lang w:eastAsia="ko-KR"/>
        </w:rPr>
      </w:pPr>
    </w:p>
    <w:p w14:paraId="09AC889F" w14:textId="5DFF0AEB" w:rsidR="00B14D5F" w:rsidRPr="00382D43" w:rsidRDefault="00917C43" w:rsidP="00962C4C">
      <w:pPr>
        <w:ind w:left="2160" w:firstLine="720"/>
        <w:jc w:val="both"/>
        <w:rPr>
          <w:rFonts w:cs="Arial"/>
          <w:szCs w:val="18"/>
          <w:lang w:eastAsia="ko-KR"/>
        </w:rPr>
      </w:pPr>
      <w:r w:rsidRPr="00382D43">
        <w:rPr>
          <w:rStyle w:val="headings-normal"/>
          <w:b/>
          <w:i/>
          <w:szCs w:val="18"/>
          <w:lang w:val="en-US" w:eastAsia="ko-KR"/>
        </w:rPr>
        <w:t>Exit Cost</w:t>
      </w:r>
      <w:r w:rsidRPr="00382D43">
        <w:rPr>
          <w:rStyle w:val="headings-normal"/>
          <w:szCs w:val="18"/>
          <w:lang w:val="en-US" w:eastAsia="ko-KR"/>
        </w:rPr>
        <w:t xml:space="preserve">: </w:t>
      </w:r>
      <w:r w:rsidR="0021624C" w:rsidRPr="00382D43">
        <w:rPr>
          <w:lang w:val="en-US"/>
        </w:rPr>
        <w:t>[</w:t>
      </w:r>
      <w:r w:rsidR="0021624C" w:rsidRPr="00382D43">
        <w:rPr>
          <w:rFonts w:cs="Arial"/>
          <w:lang w:val="en-US"/>
        </w:rPr>
        <w:t>●</w:t>
      </w:r>
      <w:r w:rsidR="0021624C" w:rsidRPr="00382D43">
        <w:rPr>
          <w:lang w:val="en-US"/>
        </w:rPr>
        <w:t>]</w:t>
      </w:r>
      <w:r w:rsidR="0021624C" w:rsidRPr="00382D43">
        <w:rPr>
          <w:lang w:val="en-US"/>
        </w:rPr>
        <w:t>%</w:t>
      </w:r>
    </w:p>
    <w:p w14:paraId="3B01DFF4" w14:textId="77777777" w:rsidR="00B14D5F" w:rsidRPr="00382D43" w:rsidRDefault="00B14D5F" w:rsidP="00E14BEB">
      <w:pPr>
        <w:pStyle w:val="DefinitionLev2"/>
        <w:spacing w:before="0"/>
        <w:ind w:left="2880"/>
        <w:rPr>
          <w:rFonts w:ascii="Arial" w:eastAsia="Batang" w:hAnsi="Arial" w:cs="Arial"/>
          <w:b/>
          <w:bCs/>
          <w:sz w:val="18"/>
          <w:szCs w:val="18"/>
          <w:lang w:eastAsia="ko-KR"/>
        </w:rPr>
      </w:pPr>
    </w:p>
    <w:p w14:paraId="7FF4855A" w14:textId="0FE4C589" w:rsidR="00833074" w:rsidRPr="00382D43" w:rsidRDefault="00833074" w:rsidP="00833074">
      <w:pPr>
        <w:tabs>
          <w:tab w:val="left" w:pos="2340"/>
        </w:tabs>
        <w:ind w:left="2880" w:hanging="2880"/>
        <w:jc w:val="both"/>
        <w:rPr>
          <w:szCs w:val="18"/>
        </w:rPr>
      </w:pPr>
      <w:r w:rsidRPr="00382D43">
        <w:rPr>
          <w:szCs w:val="18"/>
        </w:rPr>
        <w:t>Strategy Value (</w:t>
      </w:r>
      <w:r w:rsidRPr="00382D43">
        <w:rPr>
          <w:b/>
          <w:i/>
          <w:szCs w:val="18"/>
        </w:rPr>
        <w:t>Strategy</w:t>
      </w:r>
      <w:r w:rsidRPr="00382D43">
        <w:rPr>
          <w:b/>
          <w:i/>
          <w:szCs w:val="18"/>
          <w:vertAlign w:val="subscript"/>
        </w:rPr>
        <w:t>t</w:t>
      </w:r>
      <w:r w:rsidRPr="00382D43">
        <w:rPr>
          <w:szCs w:val="18"/>
        </w:rPr>
        <w:t>)</w:t>
      </w:r>
      <w:r w:rsidRPr="00382D43">
        <w:rPr>
          <w:szCs w:val="18"/>
        </w:rPr>
        <w:tab/>
        <w:t>:</w:t>
      </w:r>
      <w:r w:rsidRPr="00382D43">
        <w:rPr>
          <w:szCs w:val="18"/>
        </w:rPr>
        <w:tab/>
        <w:t xml:space="preserve">The Strategy Value as of a </w:t>
      </w:r>
      <w:r w:rsidR="00BC58F5" w:rsidRPr="00382D43">
        <w:rPr>
          <w:szCs w:val="20"/>
          <w:lang w:val="en-US" w:eastAsia="en-US"/>
        </w:rPr>
        <w:t>Pricing Date</w:t>
      </w:r>
      <w:r w:rsidRPr="00382D43">
        <w:rPr>
          <w:szCs w:val="18"/>
        </w:rPr>
        <w:t xml:space="preserve"> t is determined by the Calculation Agent in accordance with the following formula:</w:t>
      </w:r>
    </w:p>
    <w:p w14:paraId="62ACD9E2" w14:textId="77777777" w:rsidR="00833074" w:rsidRPr="00382D43" w:rsidRDefault="00833074" w:rsidP="00833074">
      <w:pPr>
        <w:tabs>
          <w:tab w:val="left" w:pos="2340"/>
        </w:tabs>
        <w:ind w:left="2880" w:hanging="2880"/>
        <w:jc w:val="both"/>
        <w:rPr>
          <w:szCs w:val="18"/>
        </w:rPr>
      </w:pPr>
    </w:p>
    <w:p w14:paraId="1C2FAD9D" w14:textId="77777777" w:rsidR="00833074" w:rsidRPr="00382D43" w:rsidRDefault="00833074" w:rsidP="00833074">
      <w:pPr>
        <w:tabs>
          <w:tab w:val="left" w:pos="2340"/>
        </w:tabs>
        <w:ind w:left="2880" w:hanging="2880"/>
        <w:jc w:val="both"/>
        <w:rPr>
          <w:b/>
          <w:i/>
          <w:sz w:val="22"/>
          <w:szCs w:val="22"/>
        </w:rPr>
      </w:pPr>
      <w:r w:rsidRPr="00382D43">
        <w:rPr>
          <w:szCs w:val="18"/>
        </w:rPr>
        <w:tab/>
      </w:r>
      <w:r w:rsidRPr="00382D43">
        <w:rPr>
          <w:szCs w:val="18"/>
        </w:rPr>
        <w:tab/>
      </w:r>
      <m:oMath>
        <m:sSub>
          <m:sSubPr>
            <m:ctrlPr>
              <w:rPr>
                <w:rFonts w:ascii="Cambria Math" w:hAnsi="Cambria Math"/>
                <w:b/>
                <w:i/>
                <w:sz w:val="22"/>
                <w:szCs w:val="22"/>
              </w:rPr>
            </m:ctrlPr>
          </m:sSubPr>
          <m:e>
            <m:r>
              <m:rPr>
                <m:sty m:val="bi"/>
              </m:rPr>
              <w:rPr>
                <w:rFonts w:ascii="Cambria Math" w:hAnsi="Cambria Math"/>
                <w:sz w:val="22"/>
                <w:szCs w:val="22"/>
              </w:rPr>
              <m:t>Strategy</m:t>
            </m:r>
          </m:e>
          <m:sub>
            <m:r>
              <m:rPr>
                <m:sty m:val="bi"/>
              </m:rPr>
              <w:rPr>
                <w:rFonts w:ascii="Cambria Math" w:hAnsi="Cambria Math"/>
                <w:sz w:val="22"/>
                <w:szCs w:val="22"/>
              </w:rPr>
              <m:t>t</m:t>
            </m:r>
          </m:sub>
        </m:sSub>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Strategy</m:t>
            </m:r>
          </m:e>
          <m:sub>
            <m:r>
              <m:rPr>
                <m:sty m:val="bi"/>
              </m:rPr>
              <w:rPr>
                <w:rFonts w:ascii="Cambria Math" w:hAnsi="Cambria Math"/>
                <w:sz w:val="22"/>
                <w:szCs w:val="22"/>
              </w:rPr>
              <m:t>t-1</m:t>
            </m:r>
          </m:sub>
        </m:sSub>
        <m:r>
          <m:rPr>
            <m:sty m:val="bi"/>
          </m:rPr>
          <w:rPr>
            <w:rFonts w:ascii="Cambria Math" w:hAnsi="Cambria Math"/>
            <w:sz w:val="22"/>
            <w:szCs w:val="22"/>
          </w:rPr>
          <m:t>×</m:t>
        </m:r>
        <m:d>
          <m:dPr>
            <m:begChr m:val="["/>
            <m:endChr m:val="]"/>
            <m:ctrlPr>
              <w:rPr>
                <w:rFonts w:ascii="Cambria Math" w:hAnsi="Cambria Math"/>
                <w:b/>
                <w:i/>
                <w:sz w:val="22"/>
                <w:szCs w:val="22"/>
              </w:rPr>
            </m:ctrlPr>
          </m:dPr>
          <m:e>
            <m:f>
              <m:fPr>
                <m:ctrlPr>
                  <w:rPr>
                    <w:rFonts w:ascii="Cambria Math" w:hAnsi="Cambria Math"/>
                    <w:b/>
                    <w:i/>
                    <w:sz w:val="22"/>
                    <w:szCs w:val="22"/>
                  </w:rPr>
                </m:ctrlPr>
              </m:fPr>
              <m:num>
                <m:sSub>
                  <m:sSubPr>
                    <m:ctrlPr>
                      <w:rPr>
                        <w:rFonts w:ascii="Cambria Math" w:hAnsi="Cambria Math"/>
                        <w:b/>
                        <w:i/>
                        <w:sz w:val="22"/>
                        <w:szCs w:val="22"/>
                      </w:rPr>
                    </m:ctrlPr>
                  </m:sSubPr>
                  <m:e>
                    <m:r>
                      <m:rPr>
                        <m:sty m:val="bi"/>
                      </m:rPr>
                      <w:rPr>
                        <w:rFonts w:ascii="Cambria Math" w:hAnsi="Cambria Math"/>
                        <w:sz w:val="22"/>
                        <w:szCs w:val="22"/>
                      </w:rPr>
                      <m:t>Index</m:t>
                    </m:r>
                  </m:e>
                  <m:sub>
                    <m:r>
                      <m:rPr>
                        <m:sty m:val="bi"/>
                      </m:rPr>
                      <w:rPr>
                        <w:rFonts w:ascii="Cambria Math" w:hAnsi="Cambria Math"/>
                        <w:sz w:val="22"/>
                        <w:szCs w:val="22"/>
                      </w:rPr>
                      <m:t>t</m:t>
                    </m:r>
                  </m:sub>
                </m:sSub>
              </m:num>
              <m:den>
                <m:sSub>
                  <m:sSubPr>
                    <m:ctrlPr>
                      <w:rPr>
                        <w:rFonts w:ascii="Cambria Math" w:hAnsi="Cambria Math"/>
                        <w:b/>
                        <w:i/>
                        <w:sz w:val="22"/>
                        <w:szCs w:val="22"/>
                      </w:rPr>
                    </m:ctrlPr>
                  </m:sSubPr>
                  <m:e>
                    <m:r>
                      <m:rPr>
                        <m:sty m:val="bi"/>
                      </m:rPr>
                      <w:rPr>
                        <w:rFonts w:ascii="Cambria Math" w:hAnsi="Cambria Math"/>
                        <w:sz w:val="22"/>
                        <w:szCs w:val="22"/>
                      </w:rPr>
                      <m:t>Index</m:t>
                    </m:r>
                  </m:e>
                  <m:sub>
                    <m:r>
                      <m:rPr>
                        <m:sty m:val="bi"/>
                      </m:rPr>
                      <w:rPr>
                        <w:rFonts w:ascii="Cambria Math" w:hAnsi="Cambria Math"/>
                        <w:sz w:val="22"/>
                        <w:szCs w:val="22"/>
                      </w:rPr>
                      <m:t>t-1</m:t>
                    </m:r>
                  </m:sub>
                </m:sSub>
              </m:den>
            </m:f>
            <m:r>
              <m:rPr>
                <m:sty m:val="bi"/>
              </m:rPr>
              <w:rPr>
                <w:rFonts w:ascii="Cambria Math" w:hAnsi="Cambria Math"/>
                <w:sz w:val="22"/>
                <w:szCs w:val="22"/>
              </w:rPr>
              <m:t>-AF×</m:t>
            </m:r>
            <m:f>
              <m:fPr>
                <m:ctrlPr>
                  <w:rPr>
                    <w:rFonts w:ascii="Cambria Math" w:hAnsi="Cambria Math"/>
                    <w:b/>
                    <w:i/>
                    <w:sz w:val="22"/>
                    <w:szCs w:val="22"/>
                  </w:rPr>
                </m:ctrlPr>
              </m:fPr>
              <m:num>
                <m:sSub>
                  <m:sSubPr>
                    <m:ctrlPr>
                      <w:rPr>
                        <w:rFonts w:ascii="Cambria Math" w:hAnsi="Cambria Math"/>
                        <w:b/>
                        <w:i/>
                        <w:sz w:val="22"/>
                        <w:szCs w:val="22"/>
                      </w:rPr>
                    </m:ctrlPr>
                  </m:sSubPr>
                  <m:e>
                    <m:r>
                      <m:rPr>
                        <m:sty m:val="bi"/>
                      </m:rPr>
                      <w:rPr>
                        <w:rFonts w:ascii="Cambria Math" w:hAnsi="Cambria Math"/>
                        <w:sz w:val="22"/>
                        <w:szCs w:val="22"/>
                      </w:rPr>
                      <m:t>Act</m:t>
                    </m:r>
                  </m:e>
                  <m:sub>
                    <m:r>
                      <m:rPr>
                        <m:sty m:val="bi"/>
                      </m:rPr>
                      <w:rPr>
                        <w:rFonts w:ascii="Cambria Math" w:hAnsi="Cambria Math"/>
                        <w:sz w:val="22"/>
                        <w:szCs w:val="22"/>
                      </w:rPr>
                      <m:t>t-1,t</m:t>
                    </m:r>
                  </m:sub>
                </m:sSub>
              </m:num>
              <m:den>
                <m:r>
                  <m:rPr>
                    <m:sty m:val="bi"/>
                  </m:rPr>
                  <w:rPr>
                    <w:rFonts w:ascii="Cambria Math" w:hAnsi="Cambria Math"/>
                    <w:sz w:val="22"/>
                    <w:szCs w:val="22"/>
                  </w:rPr>
                  <m:t>360</m:t>
                </m:r>
              </m:den>
            </m:f>
          </m:e>
        </m:d>
      </m:oMath>
    </w:p>
    <w:p w14:paraId="6C2412D6" w14:textId="77777777" w:rsidR="00833074" w:rsidRPr="00382D43" w:rsidRDefault="00833074" w:rsidP="00833074">
      <w:pPr>
        <w:tabs>
          <w:tab w:val="left" w:pos="2340"/>
        </w:tabs>
        <w:ind w:left="2880" w:hanging="2880"/>
        <w:jc w:val="both"/>
        <w:rPr>
          <w:i/>
          <w:sz w:val="22"/>
          <w:szCs w:val="22"/>
        </w:rPr>
      </w:pPr>
    </w:p>
    <w:p w14:paraId="3EF37B6D" w14:textId="77777777" w:rsidR="00833074" w:rsidRPr="00382D43" w:rsidRDefault="00833074" w:rsidP="00833074">
      <w:pPr>
        <w:pStyle w:val="DefinitionLev2"/>
        <w:spacing w:before="0"/>
        <w:ind w:left="2880"/>
        <w:rPr>
          <w:rFonts w:ascii="Arial" w:eastAsia="Batang" w:hAnsi="Arial" w:cs="Arial"/>
          <w:sz w:val="18"/>
          <w:szCs w:val="18"/>
          <w:lang w:eastAsia="en-GB"/>
        </w:rPr>
      </w:pPr>
      <w:r w:rsidRPr="00382D43">
        <w:rPr>
          <w:rFonts w:ascii="Arial" w:eastAsia="Batang" w:hAnsi="Arial" w:cs="Arial"/>
          <w:sz w:val="18"/>
          <w:szCs w:val="18"/>
          <w:lang w:eastAsia="en-GB"/>
        </w:rPr>
        <w:t xml:space="preserve">Where: </w:t>
      </w:r>
    </w:p>
    <w:p w14:paraId="1DD2DCCA" w14:textId="77777777" w:rsidR="00833074" w:rsidRPr="00382D43" w:rsidRDefault="00833074" w:rsidP="00833074">
      <w:pPr>
        <w:pStyle w:val="TableBlack"/>
        <w:ind w:left="2880"/>
        <w:jc w:val="both"/>
        <w:rPr>
          <w:rFonts w:cs="Arial"/>
          <w:b/>
          <w:i/>
          <w:sz w:val="18"/>
          <w:szCs w:val="18"/>
        </w:rPr>
      </w:pPr>
    </w:p>
    <w:p w14:paraId="3D6D0334" w14:textId="3C61A353" w:rsidR="00833074" w:rsidRPr="00382D43" w:rsidRDefault="00833074" w:rsidP="00833074">
      <w:pPr>
        <w:pStyle w:val="TableBlack"/>
        <w:ind w:left="2880"/>
        <w:jc w:val="both"/>
        <w:rPr>
          <w:rFonts w:cs="Arial"/>
          <w:sz w:val="18"/>
          <w:szCs w:val="18"/>
          <w:vertAlign w:val="subscript"/>
          <w:lang w:val="en-GB"/>
        </w:rPr>
      </w:pPr>
      <w:r w:rsidRPr="00382D43">
        <w:rPr>
          <w:rFonts w:cs="Arial"/>
          <w:b/>
          <w:i/>
          <w:sz w:val="18"/>
          <w:szCs w:val="18"/>
        </w:rPr>
        <w:t>Strategy</w:t>
      </w:r>
      <w:r w:rsidRPr="00382D43">
        <w:rPr>
          <w:rFonts w:cs="Arial"/>
          <w:b/>
          <w:i/>
          <w:sz w:val="18"/>
          <w:szCs w:val="18"/>
          <w:vertAlign w:val="subscript"/>
        </w:rPr>
        <w:t>t-1</w:t>
      </w:r>
      <w:r w:rsidRPr="00382D43">
        <w:rPr>
          <w:rFonts w:cs="Arial"/>
          <w:i/>
          <w:iCs/>
          <w:sz w:val="18"/>
          <w:szCs w:val="18"/>
        </w:rPr>
        <w:t>:</w:t>
      </w:r>
      <w:r w:rsidRPr="00382D43">
        <w:rPr>
          <w:rFonts w:cs="Arial"/>
          <w:sz w:val="18"/>
          <w:szCs w:val="18"/>
        </w:rPr>
        <w:t xml:space="preserve"> The Strategy Value as of the </w:t>
      </w:r>
      <w:r w:rsidR="00BC58F5" w:rsidRPr="00382D43">
        <w:rPr>
          <w:rFonts w:cs="Arial"/>
          <w:sz w:val="18"/>
          <w:szCs w:val="18"/>
        </w:rPr>
        <w:t>Pricing Date</w:t>
      </w:r>
      <w:r w:rsidRPr="00382D43">
        <w:rPr>
          <w:rFonts w:cs="Arial"/>
          <w:sz w:val="18"/>
          <w:szCs w:val="18"/>
        </w:rPr>
        <w:t xml:space="preserve"> immediately preceding the </w:t>
      </w:r>
      <w:r w:rsidR="00BC58F5" w:rsidRPr="00382D43">
        <w:rPr>
          <w:rFonts w:cs="Arial"/>
          <w:sz w:val="18"/>
          <w:szCs w:val="18"/>
        </w:rPr>
        <w:t>Pricing Date</w:t>
      </w:r>
      <w:r w:rsidRPr="00382D43">
        <w:rPr>
          <w:rFonts w:cs="Arial"/>
          <w:sz w:val="18"/>
          <w:szCs w:val="18"/>
        </w:rPr>
        <w:t xml:space="preserve"> t. For the avoidance of doubt, for </w:t>
      </w:r>
      <w:r w:rsidR="00BC58F5" w:rsidRPr="00382D43">
        <w:rPr>
          <w:rFonts w:cs="Arial"/>
          <w:sz w:val="18"/>
          <w:szCs w:val="18"/>
        </w:rPr>
        <w:t>Pricing Date</w:t>
      </w:r>
      <w:r w:rsidRPr="00382D43">
        <w:rPr>
          <w:rFonts w:cs="Arial"/>
          <w:sz w:val="18"/>
          <w:szCs w:val="18"/>
        </w:rPr>
        <w:t xml:space="preserve"> t (where t=1), </w:t>
      </w:r>
      <w:r w:rsidRPr="00382D43">
        <w:rPr>
          <w:rFonts w:cs="Arial"/>
          <w:sz w:val="18"/>
          <w:szCs w:val="18"/>
          <w:lang w:val="en-GB"/>
        </w:rPr>
        <w:t>Strategy</w:t>
      </w:r>
      <w:r w:rsidRPr="00382D43">
        <w:rPr>
          <w:rFonts w:cs="Arial"/>
          <w:sz w:val="18"/>
          <w:szCs w:val="18"/>
          <w:vertAlign w:val="subscript"/>
          <w:lang w:val="en-GB"/>
        </w:rPr>
        <w:t>t-1</w:t>
      </w:r>
      <w:r w:rsidRPr="00382D43">
        <w:rPr>
          <w:rFonts w:cs="Arial"/>
          <w:sz w:val="18"/>
          <w:szCs w:val="18"/>
          <w:lang w:val="en-GB"/>
        </w:rPr>
        <w:t xml:space="preserve"> shall be equal to Strategy</w:t>
      </w:r>
      <w:r w:rsidRPr="00382D43">
        <w:rPr>
          <w:rFonts w:cs="Arial"/>
          <w:sz w:val="18"/>
          <w:szCs w:val="18"/>
          <w:vertAlign w:val="subscript"/>
          <w:lang w:val="en-GB"/>
        </w:rPr>
        <w:t>0</w:t>
      </w:r>
    </w:p>
    <w:p w14:paraId="1A20C938" w14:textId="77777777" w:rsidR="00833074" w:rsidRPr="00382D43" w:rsidRDefault="00833074" w:rsidP="00833074">
      <w:pPr>
        <w:pStyle w:val="TableBlack"/>
        <w:ind w:left="2880"/>
        <w:jc w:val="both"/>
        <w:rPr>
          <w:rFonts w:cs="Arial"/>
          <w:sz w:val="18"/>
          <w:szCs w:val="18"/>
          <w:vertAlign w:val="subscript"/>
          <w:lang w:val="en-GB"/>
        </w:rPr>
      </w:pPr>
    </w:p>
    <w:p w14:paraId="76D42F53" w14:textId="2E19149D" w:rsidR="00833074" w:rsidRPr="00382D43" w:rsidRDefault="00833074" w:rsidP="00833074">
      <w:pPr>
        <w:pStyle w:val="TableBlack"/>
        <w:ind w:left="2880"/>
        <w:jc w:val="both"/>
        <w:rPr>
          <w:rFonts w:cs="Arial"/>
          <w:iCs/>
          <w:sz w:val="18"/>
          <w:szCs w:val="18"/>
          <w:lang w:val="en-GB"/>
        </w:rPr>
      </w:pPr>
      <w:r w:rsidRPr="00382D43">
        <w:rPr>
          <w:rFonts w:cs="Arial"/>
          <w:b/>
          <w:i/>
          <w:sz w:val="18"/>
          <w:szCs w:val="18"/>
          <w:lang w:val="en-GB"/>
        </w:rPr>
        <w:t>AF</w:t>
      </w:r>
      <w:r w:rsidRPr="00382D43">
        <w:rPr>
          <w:rFonts w:cs="Arial"/>
          <w:i/>
          <w:sz w:val="18"/>
          <w:szCs w:val="18"/>
          <w:lang w:val="en-GB"/>
        </w:rPr>
        <w:t xml:space="preserve">: </w:t>
      </w:r>
      <w:r w:rsidRPr="00382D43">
        <w:rPr>
          <w:rFonts w:cs="Arial"/>
          <w:iCs/>
          <w:sz w:val="18"/>
          <w:szCs w:val="18"/>
          <w:lang w:val="en-GB"/>
        </w:rPr>
        <w:t xml:space="preserve">The Adjustment Factor set to </w:t>
      </w:r>
      <w:r w:rsidR="0021624C" w:rsidRPr="00382D43">
        <w:t>[</w:t>
      </w:r>
      <w:r w:rsidR="0021624C" w:rsidRPr="00382D43">
        <w:rPr>
          <w:rFonts w:cs="Arial"/>
        </w:rPr>
        <w:t>●</w:t>
      </w:r>
      <w:r w:rsidR="0021624C" w:rsidRPr="00382D43">
        <w:t>]</w:t>
      </w:r>
      <w:r w:rsidR="0021624C" w:rsidRPr="00382D43">
        <w:t>%</w:t>
      </w:r>
      <w:r w:rsidRPr="00382D43">
        <w:rPr>
          <w:rFonts w:cs="Arial"/>
          <w:iCs/>
          <w:sz w:val="18"/>
          <w:szCs w:val="18"/>
          <w:lang w:val="en-GB"/>
        </w:rPr>
        <w:t>, corresponding to replication costs, expressed as a percentage and on a per annum basis</w:t>
      </w:r>
    </w:p>
    <w:p w14:paraId="45287604" w14:textId="7535907D" w:rsidR="00833074" w:rsidRPr="00382D43" w:rsidRDefault="00833074" w:rsidP="00833074">
      <w:pPr>
        <w:pStyle w:val="TableBlack"/>
        <w:jc w:val="both"/>
        <w:rPr>
          <w:rFonts w:cs="Arial"/>
          <w:i/>
          <w:sz w:val="18"/>
          <w:szCs w:val="18"/>
          <w:lang w:val="en-GB"/>
        </w:rPr>
      </w:pPr>
    </w:p>
    <w:p w14:paraId="3C4462D3" w14:textId="7C2A3187" w:rsidR="00833074" w:rsidRPr="00382D43" w:rsidRDefault="00833074" w:rsidP="00833074">
      <w:pPr>
        <w:pStyle w:val="TableBlack"/>
        <w:ind w:left="2880"/>
        <w:jc w:val="both"/>
        <w:rPr>
          <w:rFonts w:cs="Arial"/>
          <w:iCs/>
          <w:sz w:val="18"/>
          <w:szCs w:val="18"/>
          <w:lang w:val="en-GB"/>
        </w:rPr>
      </w:pPr>
      <w:r w:rsidRPr="00382D43">
        <w:rPr>
          <w:rFonts w:cs="Arial"/>
          <w:b/>
          <w:i/>
          <w:sz w:val="18"/>
          <w:szCs w:val="18"/>
        </w:rPr>
        <w:t>Act</w:t>
      </w:r>
      <w:r w:rsidRPr="00382D43">
        <w:rPr>
          <w:rFonts w:cs="Arial"/>
          <w:b/>
          <w:i/>
          <w:sz w:val="18"/>
          <w:szCs w:val="18"/>
          <w:vertAlign w:val="subscript"/>
        </w:rPr>
        <w:t>t-1,t</w:t>
      </w:r>
      <w:r w:rsidRPr="00382D43">
        <w:rPr>
          <w:rFonts w:cs="Arial"/>
          <w:i/>
          <w:sz w:val="18"/>
          <w:szCs w:val="18"/>
          <w:lang w:val="en-GB"/>
        </w:rPr>
        <w:t xml:space="preserve">:   </w:t>
      </w:r>
      <w:r w:rsidRPr="00382D43">
        <w:rPr>
          <w:rFonts w:cs="Arial"/>
          <w:iCs/>
          <w:sz w:val="18"/>
          <w:szCs w:val="18"/>
          <w:lang w:val="en-GB"/>
        </w:rPr>
        <w:t xml:space="preserve">The number of calendar days from but excluding the </w:t>
      </w:r>
      <w:r w:rsidR="00970000" w:rsidRPr="00382D43">
        <w:rPr>
          <w:rFonts w:cs="Arial"/>
          <w:sz w:val="18"/>
          <w:szCs w:val="18"/>
        </w:rPr>
        <w:t>Pricing Date</w:t>
      </w:r>
      <w:r w:rsidRPr="00382D43">
        <w:rPr>
          <w:rFonts w:cs="Arial"/>
          <w:iCs/>
          <w:sz w:val="18"/>
          <w:szCs w:val="18"/>
          <w:lang w:val="en-GB"/>
        </w:rPr>
        <w:t xml:space="preserve"> t-1</w:t>
      </w:r>
      <w:r w:rsidRPr="00382D43" w:rsidDel="00047FC0">
        <w:rPr>
          <w:rFonts w:cs="Arial"/>
          <w:sz w:val="18"/>
          <w:szCs w:val="18"/>
        </w:rPr>
        <w:t xml:space="preserve"> </w:t>
      </w:r>
      <w:r w:rsidRPr="00382D43">
        <w:rPr>
          <w:rFonts w:cs="Arial"/>
          <w:iCs/>
          <w:sz w:val="18"/>
          <w:szCs w:val="18"/>
          <w:lang w:val="en-GB"/>
        </w:rPr>
        <w:t xml:space="preserve">to and including </w:t>
      </w:r>
      <w:r w:rsidR="00970000" w:rsidRPr="00382D43">
        <w:rPr>
          <w:rFonts w:cs="Arial"/>
          <w:sz w:val="18"/>
          <w:szCs w:val="18"/>
        </w:rPr>
        <w:t>Pricing Date</w:t>
      </w:r>
      <w:r w:rsidRPr="00382D43">
        <w:rPr>
          <w:rFonts w:cs="Arial"/>
          <w:iCs/>
          <w:sz w:val="18"/>
          <w:szCs w:val="18"/>
          <w:lang w:val="en-GB"/>
        </w:rPr>
        <w:t xml:space="preserve"> t</w:t>
      </w:r>
    </w:p>
    <w:p w14:paraId="26901DA8" w14:textId="452F7F74" w:rsidR="00833074" w:rsidRPr="00382D43" w:rsidRDefault="00833074" w:rsidP="00833074">
      <w:pPr>
        <w:pStyle w:val="TableBlack"/>
        <w:ind w:right="-108"/>
        <w:jc w:val="both"/>
        <w:rPr>
          <w:rFonts w:cs="Arial"/>
          <w:i/>
          <w:sz w:val="18"/>
          <w:szCs w:val="18"/>
          <w:lang w:val="en-GB"/>
        </w:rPr>
      </w:pPr>
    </w:p>
    <w:p w14:paraId="01CE8A2E" w14:textId="6EFF3D7F" w:rsidR="00833074" w:rsidRPr="00382D43" w:rsidRDefault="00833074" w:rsidP="00833074">
      <w:pPr>
        <w:ind w:left="2880"/>
        <w:jc w:val="both"/>
        <w:rPr>
          <w:rFonts w:cs="Arial"/>
          <w:szCs w:val="18"/>
          <w:lang w:val="en-US"/>
        </w:rPr>
      </w:pPr>
      <w:r w:rsidRPr="00382D43">
        <w:rPr>
          <w:rFonts w:cs="Arial"/>
          <w:b/>
          <w:i/>
          <w:szCs w:val="18"/>
        </w:rPr>
        <w:t>Index</w:t>
      </w:r>
      <w:r w:rsidRPr="00382D43">
        <w:rPr>
          <w:rFonts w:cs="Arial"/>
          <w:b/>
          <w:i/>
          <w:szCs w:val="18"/>
          <w:vertAlign w:val="subscript"/>
        </w:rPr>
        <w:t>t</w:t>
      </w:r>
      <w:r w:rsidRPr="00382D43">
        <w:rPr>
          <w:rFonts w:cs="Arial"/>
          <w:i/>
          <w:iCs/>
          <w:szCs w:val="18"/>
          <w:lang w:val="en-US"/>
        </w:rPr>
        <w:t>:</w:t>
      </w:r>
      <w:r w:rsidRPr="00382D43">
        <w:rPr>
          <w:rFonts w:cs="Arial"/>
          <w:szCs w:val="18"/>
          <w:lang w:val="en-US"/>
        </w:rPr>
        <w:t xml:space="preserve"> The </w:t>
      </w:r>
      <w:r w:rsidR="00004755" w:rsidRPr="00382D43">
        <w:rPr>
          <w:rFonts w:cs="Arial"/>
          <w:szCs w:val="18"/>
          <w:lang w:val="en-US"/>
        </w:rPr>
        <w:t xml:space="preserve">Commodity </w:t>
      </w:r>
      <w:r w:rsidRPr="00382D43">
        <w:rPr>
          <w:rFonts w:cs="Arial"/>
          <w:szCs w:val="18"/>
          <w:lang w:val="en-US"/>
        </w:rPr>
        <w:t xml:space="preserve">Reference Price of the Index in respect of the </w:t>
      </w:r>
      <w:r w:rsidR="00BC58F5" w:rsidRPr="00382D43">
        <w:rPr>
          <w:rFonts w:cs="Arial"/>
          <w:szCs w:val="18"/>
          <w:lang w:val="en-US"/>
        </w:rPr>
        <w:t>Pricing Date</w:t>
      </w:r>
      <w:r w:rsidRPr="00382D43">
        <w:rPr>
          <w:rFonts w:cs="Arial"/>
          <w:szCs w:val="18"/>
          <w:lang w:val="en-US"/>
        </w:rPr>
        <w:t xml:space="preserve"> t</w:t>
      </w:r>
    </w:p>
    <w:p w14:paraId="5A9AE8D7" w14:textId="47C22905" w:rsidR="004104E6" w:rsidRPr="00382D43" w:rsidRDefault="004104E6" w:rsidP="00833074">
      <w:pPr>
        <w:ind w:left="2880"/>
        <w:jc w:val="both"/>
        <w:rPr>
          <w:rFonts w:cs="Arial"/>
          <w:szCs w:val="18"/>
          <w:lang w:val="en-US"/>
        </w:rPr>
      </w:pPr>
    </w:p>
    <w:p w14:paraId="4D0356B7" w14:textId="63FF0D59" w:rsidR="004104E6" w:rsidRPr="00382D43" w:rsidRDefault="004104E6" w:rsidP="004104E6">
      <w:pPr>
        <w:ind w:left="2880"/>
        <w:jc w:val="both"/>
        <w:rPr>
          <w:rFonts w:cs="Arial"/>
          <w:szCs w:val="18"/>
          <w:lang w:val="en-US"/>
        </w:rPr>
      </w:pPr>
      <w:r w:rsidRPr="00382D43">
        <w:rPr>
          <w:rFonts w:cs="Arial"/>
          <w:b/>
          <w:i/>
          <w:szCs w:val="18"/>
        </w:rPr>
        <w:t>Index</w:t>
      </w:r>
      <w:r w:rsidRPr="00382D43">
        <w:rPr>
          <w:rFonts w:cs="Arial"/>
          <w:b/>
          <w:i/>
          <w:szCs w:val="18"/>
          <w:vertAlign w:val="subscript"/>
        </w:rPr>
        <w:t>t</w:t>
      </w:r>
      <w:r w:rsidRPr="00382D43">
        <w:rPr>
          <w:rFonts w:ascii="DengXian" w:eastAsia="DengXian" w:hAnsi="DengXian" w:cs="Arial" w:hint="eastAsia"/>
          <w:b/>
          <w:i/>
          <w:szCs w:val="18"/>
          <w:vertAlign w:val="subscript"/>
          <w:lang w:eastAsia="zh-CN"/>
        </w:rPr>
        <w:t>-1</w:t>
      </w:r>
      <w:r w:rsidRPr="00382D43">
        <w:rPr>
          <w:rFonts w:cs="Arial"/>
          <w:i/>
          <w:iCs/>
          <w:szCs w:val="18"/>
          <w:lang w:val="en-US"/>
        </w:rPr>
        <w:t>:</w:t>
      </w:r>
      <w:r w:rsidRPr="00382D43">
        <w:rPr>
          <w:rFonts w:cs="Arial"/>
          <w:szCs w:val="18"/>
          <w:lang w:val="en-US"/>
        </w:rPr>
        <w:t xml:space="preserve"> The </w:t>
      </w:r>
      <w:r w:rsidR="00004755" w:rsidRPr="00382D43">
        <w:rPr>
          <w:rFonts w:cs="Arial"/>
          <w:szCs w:val="18"/>
        </w:rPr>
        <w:t xml:space="preserve">Commodity </w:t>
      </w:r>
      <w:r w:rsidRPr="00382D43">
        <w:rPr>
          <w:rFonts w:cs="Arial"/>
          <w:szCs w:val="18"/>
          <w:lang w:val="en-US"/>
        </w:rPr>
        <w:t xml:space="preserve">Reference Price of the Index in respect of the </w:t>
      </w:r>
      <w:r w:rsidR="00BC58F5" w:rsidRPr="00382D43">
        <w:rPr>
          <w:rFonts w:cs="Arial"/>
          <w:szCs w:val="18"/>
        </w:rPr>
        <w:t>Pricing Date</w:t>
      </w:r>
      <w:r w:rsidRPr="00382D43">
        <w:rPr>
          <w:rFonts w:cs="Arial"/>
          <w:szCs w:val="18"/>
          <w:lang w:val="en-US"/>
        </w:rPr>
        <w:t xml:space="preserve"> </w:t>
      </w:r>
      <w:r w:rsidRPr="00382D43">
        <w:rPr>
          <w:rFonts w:cs="Arial"/>
          <w:szCs w:val="18"/>
        </w:rPr>
        <w:t xml:space="preserve">immediately preceding the </w:t>
      </w:r>
      <w:r w:rsidR="00BC58F5" w:rsidRPr="00382D43">
        <w:rPr>
          <w:rFonts w:cs="Arial"/>
          <w:szCs w:val="18"/>
        </w:rPr>
        <w:t xml:space="preserve">Pricing Date </w:t>
      </w:r>
      <w:r w:rsidRPr="00382D43">
        <w:rPr>
          <w:rFonts w:cs="Arial"/>
          <w:szCs w:val="18"/>
        </w:rPr>
        <w:t>t.</w:t>
      </w:r>
    </w:p>
    <w:p w14:paraId="7EAC7476" w14:textId="77777777" w:rsidR="004104E6" w:rsidRPr="00382D43" w:rsidRDefault="004104E6" w:rsidP="00833074">
      <w:pPr>
        <w:ind w:left="2880"/>
        <w:jc w:val="both"/>
        <w:rPr>
          <w:rFonts w:cs="Arial"/>
          <w:szCs w:val="18"/>
          <w:lang w:val="en-US"/>
        </w:rPr>
      </w:pPr>
    </w:p>
    <w:p w14:paraId="67600B12" w14:textId="3459AE7A" w:rsidR="00B14D5F" w:rsidRPr="00382D43" w:rsidRDefault="00B14D5F" w:rsidP="00833074">
      <w:pPr>
        <w:pStyle w:val="DefinitionLev2"/>
        <w:spacing w:before="0"/>
        <w:rPr>
          <w:rFonts w:ascii="Arial" w:eastAsia="Batang" w:hAnsi="Arial"/>
          <w:b/>
          <w:bCs/>
          <w:sz w:val="18"/>
          <w:szCs w:val="18"/>
          <w:lang w:val="en-US" w:eastAsia="ko-KR"/>
        </w:rPr>
      </w:pPr>
    </w:p>
    <w:p w14:paraId="6D251788" w14:textId="77777777" w:rsidR="00B14D5F" w:rsidRPr="00382D43" w:rsidRDefault="00B14D5F" w:rsidP="00B14D5F">
      <w:pPr>
        <w:tabs>
          <w:tab w:val="left" w:pos="2340"/>
        </w:tabs>
        <w:ind w:left="2880" w:hanging="2880"/>
        <w:jc w:val="both"/>
        <w:rPr>
          <w:i/>
          <w:sz w:val="22"/>
          <w:szCs w:val="22"/>
        </w:rPr>
      </w:pPr>
    </w:p>
    <w:p w14:paraId="4304A528" w14:textId="222760C0" w:rsidR="002A3249" w:rsidRPr="00382D43" w:rsidRDefault="002A3249" w:rsidP="002A3249">
      <w:pPr>
        <w:tabs>
          <w:tab w:val="left" w:pos="2340"/>
        </w:tabs>
        <w:ind w:left="2880" w:hanging="2880"/>
        <w:jc w:val="both"/>
        <w:rPr>
          <w:b/>
          <w:sz w:val="24"/>
          <w:u w:val="single"/>
        </w:rPr>
      </w:pPr>
      <w:r w:rsidRPr="00382D43">
        <w:rPr>
          <w:b/>
          <w:sz w:val="24"/>
          <w:u w:val="single"/>
        </w:rPr>
        <w:t>Optional Early Termination</w:t>
      </w:r>
    </w:p>
    <w:p w14:paraId="2440C6F9" w14:textId="77777777" w:rsidR="002A3249" w:rsidRPr="00382D43" w:rsidRDefault="002A3249" w:rsidP="002A3249">
      <w:pPr>
        <w:tabs>
          <w:tab w:val="left" w:pos="2340"/>
        </w:tabs>
        <w:ind w:left="2880" w:hanging="2880"/>
        <w:jc w:val="both"/>
        <w:rPr>
          <w:lang w:eastAsia="ko-KR"/>
        </w:rPr>
      </w:pPr>
    </w:p>
    <w:p w14:paraId="3833660C" w14:textId="34521F65" w:rsidR="003A6BC3" w:rsidRPr="00382D43" w:rsidRDefault="003A6BC3" w:rsidP="003A6BC3">
      <w:pPr>
        <w:keepNext/>
        <w:keepLines/>
        <w:tabs>
          <w:tab w:val="left" w:pos="9251"/>
          <w:tab w:val="left" w:pos="10080"/>
        </w:tabs>
        <w:spacing w:afterLines="60" w:after="144"/>
        <w:jc w:val="both"/>
        <w:rPr>
          <w:rFonts w:cs="Arial"/>
          <w:szCs w:val="18"/>
        </w:rPr>
      </w:pPr>
      <w:r w:rsidRPr="00382D43">
        <w:rPr>
          <w:rFonts w:cs="Arial"/>
          <w:szCs w:val="18"/>
        </w:rPr>
        <w:t xml:space="preserve">Party B may, on any Business Day, by giving written notice of not less than </w:t>
      </w:r>
      <w:r w:rsidR="00382D43">
        <w:rPr>
          <w:rFonts w:cs="Arial"/>
          <w:szCs w:val="18"/>
        </w:rPr>
        <w:t>1</w:t>
      </w:r>
      <w:r w:rsidRPr="00382D43">
        <w:rPr>
          <w:rFonts w:cs="Arial"/>
          <w:szCs w:val="18"/>
        </w:rPr>
        <w:t xml:space="preserve"> Commodity Business Day (an “</w:t>
      </w:r>
      <w:r w:rsidRPr="00382D43">
        <w:rPr>
          <w:rFonts w:cs="Arial"/>
          <w:b/>
          <w:szCs w:val="18"/>
        </w:rPr>
        <w:t>Early Termination Notice</w:t>
      </w:r>
      <w:r w:rsidRPr="00382D43">
        <w:rPr>
          <w:rFonts w:cs="Arial"/>
          <w:szCs w:val="18"/>
        </w:rPr>
        <w:t>”) to Party A,  , request  an early termination of this Swap in whole or in part (each an “</w:t>
      </w:r>
      <w:r w:rsidRPr="00382D43">
        <w:rPr>
          <w:rFonts w:cs="Arial"/>
          <w:b/>
          <w:szCs w:val="18"/>
        </w:rPr>
        <w:t>Early Termination</w:t>
      </w:r>
      <w:r w:rsidRPr="00382D43">
        <w:rPr>
          <w:rFonts w:cs="Arial"/>
          <w:szCs w:val="18"/>
        </w:rPr>
        <w:t xml:space="preserve">” </w:t>
      </w:r>
      <w:r w:rsidR="003E684C" w:rsidRPr="00382D43">
        <w:rPr>
          <w:rFonts w:cs="Arial"/>
          <w:szCs w:val="18"/>
        </w:rPr>
        <w:t>and such whole or part the “</w:t>
      </w:r>
      <w:r w:rsidR="003E684C" w:rsidRPr="00382D43">
        <w:rPr>
          <w:rFonts w:cs="Arial"/>
          <w:b/>
          <w:szCs w:val="18"/>
        </w:rPr>
        <w:t xml:space="preserve">Early </w:t>
      </w:r>
      <w:r w:rsidR="003E684C" w:rsidRPr="00382D43">
        <w:rPr>
          <w:rFonts w:cs="Arial"/>
          <w:b/>
          <w:bCs/>
          <w:szCs w:val="18"/>
        </w:rPr>
        <w:t>Termination Notional Quantity</w:t>
      </w:r>
      <w:r w:rsidR="003E684C" w:rsidRPr="00382D43">
        <w:rPr>
          <w:rFonts w:cs="Arial"/>
          <w:szCs w:val="18"/>
        </w:rPr>
        <w:t>”</w:t>
      </w:r>
      <w:r w:rsidRPr="00382D43">
        <w:rPr>
          <w:rFonts w:cs="Arial"/>
          <w:szCs w:val="18"/>
        </w:rPr>
        <w:t>) with effect from the date (the “</w:t>
      </w:r>
      <w:r w:rsidRPr="00382D43">
        <w:rPr>
          <w:rFonts w:cs="Arial"/>
          <w:b/>
          <w:szCs w:val="18"/>
        </w:rPr>
        <w:t>Early Termination Date</w:t>
      </w:r>
      <w:r w:rsidRPr="00382D43">
        <w:rPr>
          <w:rFonts w:cs="Arial"/>
          <w:szCs w:val="18"/>
        </w:rPr>
        <w:t>” or the “</w:t>
      </w:r>
      <w:r w:rsidRPr="00382D43">
        <w:rPr>
          <w:rFonts w:cs="Arial"/>
          <w:b/>
          <w:szCs w:val="18"/>
        </w:rPr>
        <w:t>Partial Early Termination Date</w:t>
      </w:r>
      <w:r w:rsidRPr="00382D43">
        <w:rPr>
          <w:rFonts w:cs="Arial"/>
          <w:szCs w:val="18"/>
        </w:rPr>
        <w:t>”) agreed between the parties (but in any event no later than the Commodity Business Day immediately preceding the Termination Date) and in accordance with the following procedure. If the Early Termination Notice</w:t>
      </w:r>
      <w:r w:rsidR="003E684C" w:rsidRPr="00382D43">
        <w:rPr>
          <w:rFonts w:cs="Arial"/>
          <w:szCs w:val="18"/>
        </w:rPr>
        <w:t xml:space="preserve"> </w:t>
      </w:r>
      <w:r w:rsidRPr="00382D43">
        <w:rPr>
          <w:rFonts w:cs="Arial"/>
          <w:szCs w:val="18"/>
        </w:rPr>
        <w:t xml:space="preserve">is given after </w:t>
      </w:r>
      <w:r w:rsidR="00382D43">
        <w:rPr>
          <w:rFonts w:cs="Arial"/>
          <w:szCs w:val="18"/>
        </w:rPr>
        <w:t>3 p.m</w:t>
      </w:r>
      <w:r w:rsidR="00382D43" w:rsidRPr="00382D43">
        <w:rPr>
          <w:rFonts w:cs="Arial"/>
          <w:szCs w:val="18"/>
        </w:rPr>
        <w:t xml:space="preserve"> </w:t>
      </w:r>
      <w:r w:rsidRPr="00382D43">
        <w:rPr>
          <w:rFonts w:cs="Arial"/>
          <w:szCs w:val="18"/>
        </w:rPr>
        <w:t xml:space="preserve">(local time in </w:t>
      </w:r>
      <w:r w:rsidR="00382D43">
        <w:rPr>
          <w:rFonts w:cs="Arial"/>
          <w:szCs w:val="18"/>
        </w:rPr>
        <w:t>Seoul</w:t>
      </w:r>
      <w:r w:rsidR="00382D43" w:rsidRPr="00382D43">
        <w:rPr>
          <w:rFonts w:cs="Arial"/>
          <w:szCs w:val="18"/>
        </w:rPr>
        <w:t xml:space="preserve">), </w:t>
      </w:r>
      <w:r w:rsidRPr="00382D43">
        <w:rPr>
          <w:rFonts w:cs="Arial"/>
          <w:szCs w:val="18"/>
        </w:rPr>
        <w:t>then the Early Termination Notice</w:t>
      </w:r>
      <w:r w:rsidR="00382D43">
        <w:rPr>
          <w:rFonts w:cs="Arial"/>
          <w:szCs w:val="18"/>
        </w:rPr>
        <w:t xml:space="preserve"> </w:t>
      </w:r>
      <w:r w:rsidRPr="00382D43">
        <w:rPr>
          <w:rFonts w:cs="Arial"/>
          <w:szCs w:val="18"/>
        </w:rPr>
        <w:t>shall be deemed to have been given on the next following Business Day.</w:t>
      </w:r>
    </w:p>
    <w:p w14:paraId="51E3BBDD" w14:textId="6D3D0984" w:rsidR="003E684C" w:rsidRPr="00382D43" w:rsidRDefault="003E684C" w:rsidP="003E684C">
      <w:pPr>
        <w:pStyle w:val="alpha1"/>
        <w:numPr>
          <w:ilvl w:val="0"/>
          <w:numId w:val="45"/>
        </w:numPr>
        <w:ind w:left="567" w:hanging="567"/>
        <w:jc w:val="both"/>
        <w:rPr>
          <w:rFonts w:ascii="Arial" w:hAnsi="Arial" w:cs="Arial"/>
          <w:sz w:val="18"/>
          <w:szCs w:val="18"/>
          <w:lang w:val="en-US" w:eastAsia="en-US"/>
        </w:rPr>
      </w:pPr>
      <w:r w:rsidRPr="00382D43">
        <w:rPr>
          <w:rFonts w:ascii="Arial" w:hAnsi="Arial" w:cs="Arial"/>
          <w:sz w:val="18"/>
          <w:szCs w:val="18"/>
          <w:lang w:val="en-US" w:eastAsia="en-US"/>
        </w:rPr>
        <w:t>Party B shall request an indicative price from Party A for termination of the Swap in whole or in part in its Early Termination Notice;</w:t>
      </w:r>
    </w:p>
    <w:p w14:paraId="1278A010" w14:textId="03ABC9DF" w:rsidR="003E684C" w:rsidRPr="00382D43" w:rsidRDefault="003E684C" w:rsidP="003E684C">
      <w:pPr>
        <w:pStyle w:val="alpha1"/>
        <w:numPr>
          <w:ilvl w:val="0"/>
          <w:numId w:val="45"/>
        </w:numPr>
        <w:ind w:left="567" w:hanging="567"/>
        <w:jc w:val="both"/>
        <w:rPr>
          <w:rFonts w:ascii="Arial" w:hAnsi="Arial" w:cs="Arial"/>
          <w:sz w:val="18"/>
          <w:szCs w:val="18"/>
          <w:lang w:eastAsia="en-US"/>
        </w:rPr>
      </w:pPr>
      <w:r w:rsidRPr="00382D43">
        <w:rPr>
          <w:rFonts w:ascii="Arial" w:hAnsi="Arial" w:cs="Arial"/>
          <w:sz w:val="18"/>
          <w:szCs w:val="18"/>
          <w:lang w:val="en-US" w:eastAsia="en-US"/>
        </w:rPr>
        <w:t>subject to paragraph (e) below, as soon as reasonably practicable upon receipt of any such notice, Party A</w:t>
      </w:r>
      <w:r w:rsidRPr="00382D43" w:rsidDel="00A02024">
        <w:rPr>
          <w:rFonts w:ascii="Arial" w:hAnsi="Arial" w:cs="Arial"/>
          <w:sz w:val="18"/>
          <w:szCs w:val="18"/>
          <w:lang w:val="en-US" w:eastAsia="en-US"/>
        </w:rPr>
        <w:t xml:space="preserve"> </w:t>
      </w:r>
      <w:r w:rsidRPr="00382D43">
        <w:rPr>
          <w:rFonts w:ascii="Arial" w:hAnsi="Arial" w:cs="Arial"/>
          <w:sz w:val="18"/>
          <w:szCs w:val="18"/>
          <w:lang w:val="en-US" w:eastAsia="en-US"/>
        </w:rPr>
        <w:t>shall provide Party B, by written notice, with an indicative price (which may be an amount payable to or by Party B, in either case the "</w:t>
      </w:r>
      <w:r w:rsidRPr="00382D43">
        <w:rPr>
          <w:rFonts w:ascii="Arial" w:hAnsi="Arial" w:cs="Arial"/>
          <w:b/>
          <w:sz w:val="18"/>
          <w:szCs w:val="18"/>
          <w:lang w:val="en-US" w:eastAsia="en-US"/>
        </w:rPr>
        <w:t>Price</w:t>
      </w:r>
      <w:r w:rsidRPr="00382D43">
        <w:rPr>
          <w:rFonts w:ascii="Arial" w:hAnsi="Arial" w:cs="Arial"/>
          <w:sz w:val="18"/>
          <w:szCs w:val="18"/>
          <w:lang w:val="en-US" w:eastAsia="en-US"/>
        </w:rPr>
        <w:t>") for the requested Early Termination  which shall be reflective of the then current market conditions (and shall include a bid-offer spread not greater than 1%), determined by Party A</w:t>
      </w:r>
      <w:r w:rsidRPr="00382D43" w:rsidDel="00A02024">
        <w:rPr>
          <w:rFonts w:ascii="Arial" w:hAnsi="Arial" w:cs="Arial"/>
          <w:sz w:val="18"/>
          <w:szCs w:val="18"/>
          <w:lang w:val="en-US" w:eastAsia="en-US"/>
        </w:rPr>
        <w:t xml:space="preserve"> </w:t>
      </w:r>
      <w:r w:rsidRPr="00382D43">
        <w:rPr>
          <w:rFonts w:ascii="Arial" w:hAnsi="Arial" w:cs="Arial"/>
          <w:sz w:val="18"/>
          <w:szCs w:val="18"/>
          <w:lang w:val="en-US" w:eastAsia="en-US"/>
        </w:rPr>
        <w:t xml:space="preserve">in good faith and in a commercially reasonable manner. In case of Early Termination, the amount </w:t>
      </w:r>
      <w:r w:rsidRPr="00382D43">
        <w:rPr>
          <w:rFonts w:ascii="Arial" w:hAnsi="Arial" w:cs="Arial"/>
          <w:sz w:val="18"/>
          <w:szCs w:val="18"/>
        </w:rPr>
        <w:t>shall be determined in accordance with the below formula:</w:t>
      </w:r>
    </w:p>
    <w:p w14:paraId="2DE61EAD" w14:textId="2999D583" w:rsidR="003E684C" w:rsidRPr="00382D43" w:rsidRDefault="003E684C" w:rsidP="003E684C">
      <w:pPr>
        <w:pStyle w:val="alpha1"/>
        <w:numPr>
          <w:ilvl w:val="0"/>
          <w:numId w:val="0"/>
        </w:numPr>
        <w:ind w:left="567"/>
        <w:jc w:val="both"/>
        <w:rPr>
          <w:rFonts w:ascii="Arial" w:hAnsi="Arial" w:cs="Arial"/>
          <w:sz w:val="18"/>
          <w:szCs w:val="18"/>
          <w:lang w:eastAsia="en-US"/>
        </w:rPr>
      </w:pPr>
    </w:p>
    <w:p w14:paraId="0DA0DC6F" w14:textId="25E18F4B" w:rsidR="003E684C" w:rsidRPr="00382D43" w:rsidRDefault="003E684C" w:rsidP="003E684C">
      <w:pPr>
        <w:pStyle w:val="alpha1"/>
        <w:numPr>
          <w:ilvl w:val="0"/>
          <w:numId w:val="0"/>
        </w:numPr>
        <w:ind w:left="567"/>
        <w:jc w:val="both"/>
        <w:rPr>
          <w:rFonts w:ascii="Arial" w:hAnsi="Arial" w:cs="Arial"/>
          <w:sz w:val="18"/>
          <w:szCs w:val="18"/>
          <w:lang w:eastAsia="en-US"/>
        </w:rPr>
      </w:pPr>
      <m:oMathPara>
        <m:oMath>
          <m:r>
            <m:rPr>
              <m:sty m:val="p"/>
            </m:rPr>
            <w:rPr>
              <w:rFonts w:ascii="Cambria Math" w:hAnsi="Cambria Math"/>
            </w:rPr>
            <m:t xml:space="preserve">Early Termination Notional </m:t>
          </m:r>
          <m:r>
            <m:rPr>
              <m:sty m:val="p"/>
            </m:rPr>
            <w:rPr>
              <w:rFonts w:ascii="Cambria Math" w:hAnsi="Cambria Math" w:cs="Arial"/>
              <w:szCs w:val="18"/>
              <w:lang w:eastAsia="fr-FR"/>
            </w:rPr>
            <m:t>Quantity</m:t>
          </m:r>
          <m:r>
            <m:rPr>
              <m:sty m:val="p"/>
            </m:rPr>
            <w:rPr>
              <w:rFonts w:ascii="Cambria Math" w:hAnsi="Cambria Math"/>
            </w:rPr>
            <m:t xml:space="preserve"> ×</m:t>
          </m:r>
          <m:d>
            <m:dPr>
              <m:begChr m:val="["/>
              <m:endChr m:val="]"/>
              <m:ctrlPr>
                <w:rPr>
                  <w:rFonts w:ascii="Cambria Math" w:hAnsi="Cambria Math"/>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Strategy</m:t>
                      </m:r>
                    </m:e>
                    <m:sub>
                      <m:r>
                        <w:rPr>
                          <w:rFonts w:ascii="Cambria Math" w:hAnsi="Cambria Math"/>
                          <w:sz w:val="22"/>
                          <w:szCs w:val="22"/>
                        </w:rPr>
                        <m:t>Unwinding</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1-Exit Cost</m:t>
                      </m:r>
                    </m:e>
                  </m:d>
                </m:num>
                <m:den>
                  <m:sSub>
                    <m:sSubPr>
                      <m:ctrlPr>
                        <w:rPr>
                          <w:rFonts w:ascii="Cambria Math" w:hAnsi="Cambria Math"/>
                          <w:i/>
                          <w:sz w:val="22"/>
                          <w:szCs w:val="22"/>
                        </w:rPr>
                      </m:ctrlPr>
                    </m:sSubPr>
                    <m:e>
                      <m:r>
                        <w:rPr>
                          <w:rFonts w:ascii="Cambria Math" w:hAnsi="Cambria Math"/>
                          <w:sz w:val="22"/>
                          <w:szCs w:val="22"/>
                        </w:rPr>
                        <m:t>Strategy</m:t>
                      </m:r>
                    </m:e>
                    <m:sub>
                      <m:r>
                        <w:rPr>
                          <w:rFonts w:ascii="Cambria Math" w:hAnsi="Cambria Math"/>
                          <w:sz w:val="22"/>
                          <w:szCs w:val="22"/>
                        </w:rPr>
                        <m:t>0</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1+Entry Cost</m:t>
                      </m:r>
                    </m:e>
                  </m:d>
                </m:den>
              </m:f>
              <m:r>
                <w:rPr>
                  <w:rFonts w:ascii="Cambria Math" w:hAnsi="Cambria Math"/>
                  <w:sz w:val="22"/>
                  <w:szCs w:val="22"/>
                </w:rPr>
                <m:t>-1</m:t>
              </m:r>
            </m:e>
          </m:d>
        </m:oMath>
      </m:oMathPara>
    </w:p>
    <w:p w14:paraId="1EA1E399" w14:textId="6BE7B64B" w:rsidR="003E684C" w:rsidRPr="00382D43" w:rsidRDefault="003E684C" w:rsidP="003E684C">
      <w:pPr>
        <w:pStyle w:val="alpha1"/>
        <w:numPr>
          <w:ilvl w:val="0"/>
          <w:numId w:val="0"/>
        </w:numPr>
        <w:ind w:left="567"/>
        <w:jc w:val="both"/>
        <w:rPr>
          <w:rFonts w:ascii="Arial" w:hAnsi="Arial" w:cs="Arial"/>
          <w:sz w:val="18"/>
          <w:szCs w:val="18"/>
        </w:rPr>
      </w:pPr>
      <w:r w:rsidRPr="00382D43">
        <w:rPr>
          <w:rFonts w:ascii="Arial" w:hAnsi="Arial" w:cs="Arial"/>
          <w:sz w:val="18"/>
          <w:szCs w:val="18"/>
        </w:rPr>
        <w:t>Where:</w:t>
      </w:r>
    </w:p>
    <w:p w14:paraId="1D7BE10F" w14:textId="77777777" w:rsidR="003E684C" w:rsidRPr="003E684C" w:rsidRDefault="003E684C" w:rsidP="003E684C">
      <w:pPr>
        <w:pStyle w:val="alpha1"/>
        <w:numPr>
          <w:ilvl w:val="0"/>
          <w:numId w:val="0"/>
        </w:numPr>
        <w:ind w:left="567"/>
        <w:jc w:val="both"/>
        <w:rPr>
          <w:rFonts w:ascii="Arial" w:hAnsi="Arial" w:cs="Arial"/>
          <w:sz w:val="18"/>
          <w:szCs w:val="18"/>
        </w:rPr>
      </w:pPr>
      <w:r w:rsidRPr="00382D43">
        <w:rPr>
          <w:rFonts w:ascii="Arial" w:hAnsi="Arial" w:cs="Arial"/>
          <w:b/>
          <w:i/>
          <w:sz w:val="18"/>
          <w:szCs w:val="18"/>
        </w:rPr>
        <w:t>Strategy</w:t>
      </w:r>
      <w:r w:rsidRPr="00382D43">
        <w:rPr>
          <w:rFonts w:ascii="Arial" w:hAnsi="Arial" w:cs="Arial"/>
          <w:b/>
          <w:i/>
          <w:sz w:val="18"/>
          <w:szCs w:val="18"/>
          <w:vertAlign w:val="subscript"/>
        </w:rPr>
        <w:t>unwinding</w:t>
      </w:r>
      <w:r w:rsidRPr="00382D43">
        <w:rPr>
          <w:rFonts w:ascii="Arial" w:hAnsi="Arial" w:cs="Arial"/>
          <w:b/>
          <w:sz w:val="18"/>
          <w:szCs w:val="18"/>
        </w:rPr>
        <w:t xml:space="preserve"> </w:t>
      </w:r>
      <w:r w:rsidRPr="00382D43">
        <w:rPr>
          <w:rFonts w:ascii="Arial" w:hAnsi="Arial" w:cs="Arial"/>
          <w:sz w:val="18"/>
          <w:szCs w:val="18"/>
        </w:rPr>
        <w:t xml:space="preserve">means </w:t>
      </w:r>
      <w:r w:rsidRPr="00382D43">
        <w:rPr>
          <w:rFonts w:ascii="Arial" w:eastAsia="Arial" w:hAnsi="Arial" w:cs="Arial"/>
          <w:b/>
          <w:i/>
          <w:sz w:val="18"/>
          <w:szCs w:val="18"/>
        </w:rPr>
        <w:t>Strategy</w:t>
      </w:r>
      <w:r w:rsidRPr="00382D43">
        <w:rPr>
          <w:rFonts w:ascii="Arial" w:eastAsia="Arial" w:hAnsi="Arial" w:cs="Arial"/>
          <w:b/>
          <w:i/>
          <w:sz w:val="18"/>
          <w:szCs w:val="18"/>
          <w:vertAlign w:val="subscript"/>
        </w:rPr>
        <w:t>t</w:t>
      </w:r>
      <w:r w:rsidRPr="00382D43">
        <w:rPr>
          <w:rFonts w:ascii="Arial" w:eastAsia="Arial" w:hAnsi="Arial" w:cs="Arial"/>
          <w:sz w:val="18"/>
          <w:szCs w:val="18"/>
        </w:rPr>
        <w:t xml:space="preserve"> as of the Early </w:t>
      </w:r>
      <w:r w:rsidRPr="003E684C">
        <w:rPr>
          <w:rFonts w:ascii="Arial" w:eastAsia="Arial" w:hAnsi="Arial" w:cs="Arial"/>
          <w:sz w:val="18"/>
          <w:szCs w:val="18"/>
        </w:rPr>
        <w:t>Termination Date or Partial Early Termination Date, as the case may be</w:t>
      </w:r>
      <w:r w:rsidRPr="003E684C">
        <w:rPr>
          <w:rFonts w:ascii="Arial" w:hAnsi="Arial" w:cs="Arial"/>
          <w:sz w:val="18"/>
          <w:szCs w:val="18"/>
        </w:rPr>
        <w:t xml:space="preserve"> </w:t>
      </w:r>
    </w:p>
    <w:p w14:paraId="5C91BD9F" w14:textId="77777777" w:rsidR="003E684C" w:rsidRPr="003E684C" w:rsidRDefault="003E684C" w:rsidP="003E684C">
      <w:pPr>
        <w:pStyle w:val="alpha1"/>
        <w:numPr>
          <w:ilvl w:val="0"/>
          <w:numId w:val="0"/>
        </w:numPr>
        <w:ind w:left="567"/>
        <w:jc w:val="both"/>
        <w:rPr>
          <w:rFonts w:ascii="Arial" w:hAnsi="Arial" w:cs="Arial"/>
          <w:sz w:val="18"/>
          <w:szCs w:val="18"/>
        </w:rPr>
      </w:pPr>
    </w:p>
    <w:p w14:paraId="75266615" w14:textId="77777777" w:rsidR="003E684C" w:rsidRPr="00382D43" w:rsidRDefault="003E684C" w:rsidP="003E684C">
      <w:pPr>
        <w:pStyle w:val="alpha1"/>
        <w:numPr>
          <w:ilvl w:val="0"/>
          <w:numId w:val="45"/>
        </w:numPr>
        <w:ind w:left="567" w:hanging="567"/>
        <w:jc w:val="both"/>
        <w:rPr>
          <w:rFonts w:ascii="Arial" w:hAnsi="Arial" w:cs="Arial"/>
          <w:sz w:val="18"/>
          <w:szCs w:val="18"/>
        </w:rPr>
      </w:pPr>
      <w:r w:rsidRPr="003E684C">
        <w:rPr>
          <w:rFonts w:ascii="Arial" w:hAnsi="Arial" w:cs="Arial"/>
          <w:sz w:val="18"/>
          <w:szCs w:val="18"/>
        </w:rPr>
        <w:t xml:space="preserve">upon being provided with the Price in paragraph (b) above, Party B shall immediately confirm to Party A its acceptance or rejection of the Price. Following any such rejection, the Price shall lapse and shall no longer be capable of being </w:t>
      </w:r>
      <w:r w:rsidRPr="00382D43">
        <w:rPr>
          <w:rFonts w:ascii="Arial" w:hAnsi="Arial" w:cs="Arial"/>
          <w:sz w:val="18"/>
          <w:szCs w:val="18"/>
        </w:rPr>
        <w:t xml:space="preserve">accepted by Party B; </w:t>
      </w:r>
    </w:p>
    <w:p w14:paraId="437603FD" w14:textId="5A33D221" w:rsidR="003E684C" w:rsidRPr="00382D43" w:rsidRDefault="003E684C" w:rsidP="003E684C">
      <w:pPr>
        <w:pStyle w:val="alpha1"/>
        <w:numPr>
          <w:ilvl w:val="0"/>
          <w:numId w:val="45"/>
        </w:numPr>
        <w:ind w:left="567" w:hanging="567"/>
        <w:jc w:val="both"/>
        <w:rPr>
          <w:rFonts w:ascii="Arial" w:hAnsi="Arial" w:cs="Arial"/>
          <w:sz w:val="18"/>
          <w:szCs w:val="18"/>
        </w:rPr>
      </w:pPr>
      <w:r w:rsidRPr="00382D43">
        <w:rPr>
          <w:rFonts w:ascii="Arial" w:hAnsi="Arial" w:cs="Arial"/>
          <w:sz w:val="18"/>
          <w:szCs w:val="18"/>
          <w:lang w:eastAsia="en-US"/>
        </w:rPr>
        <w:t>if the Price is accepted by Party B, the Early Termination request will be irrevocable and will be effected as follows:</w:t>
      </w:r>
    </w:p>
    <w:p w14:paraId="11112DE2" w14:textId="63950A5C" w:rsidR="003E684C" w:rsidRPr="00382D43" w:rsidRDefault="003E684C" w:rsidP="003E684C">
      <w:pPr>
        <w:pStyle w:val="alpha1"/>
        <w:numPr>
          <w:ilvl w:val="0"/>
          <w:numId w:val="47"/>
        </w:numPr>
        <w:jc w:val="both"/>
        <w:rPr>
          <w:rFonts w:ascii="Arial" w:hAnsi="Arial" w:cs="Arial"/>
          <w:sz w:val="18"/>
          <w:szCs w:val="18"/>
        </w:rPr>
      </w:pPr>
      <w:r w:rsidRPr="00382D43">
        <w:rPr>
          <w:rFonts w:ascii="Arial" w:hAnsi="Arial" w:cs="Arial"/>
          <w:sz w:val="18"/>
          <w:szCs w:val="18"/>
          <w:lang w:val="en-US" w:eastAsia="en-US"/>
        </w:rPr>
        <w:t>in respect of an Early Termination of the Swap in whole, the Swap will be terminated in whole on the Early Termination Date agreed by the parties to the Swap by (a) payment from Party A</w:t>
      </w:r>
      <w:r w:rsidRPr="00382D43" w:rsidDel="00A02024">
        <w:rPr>
          <w:rFonts w:ascii="Arial" w:hAnsi="Arial" w:cs="Arial"/>
          <w:sz w:val="18"/>
          <w:szCs w:val="18"/>
          <w:lang w:val="en-US" w:eastAsia="en-US"/>
        </w:rPr>
        <w:t xml:space="preserve"> </w:t>
      </w:r>
      <w:r w:rsidRPr="00382D43">
        <w:rPr>
          <w:rFonts w:ascii="Arial" w:hAnsi="Arial" w:cs="Arial"/>
          <w:sz w:val="18"/>
          <w:szCs w:val="18"/>
          <w:lang w:val="en-US" w:eastAsia="en-US"/>
        </w:rPr>
        <w:t>to Party B of the Price (if the Price is positive) or (b) payment from Party B to Party A</w:t>
      </w:r>
      <w:r w:rsidRPr="00382D43" w:rsidDel="00A02024">
        <w:rPr>
          <w:rFonts w:ascii="Arial" w:hAnsi="Arial" w:cs="Arial"/>
          <w:sz w:val="18"/>
          <w:szCs w:val="18"/>
          <w:lang w:val="en-US" w:eastAsia="en-US"/>
        </w:rPr>
        <w:t xml:space="preserve"> </w:t>
      </w:r>
      <w:r w:rsidRPr="00382D43">
        <w:rPr>
          <w:rFonts w:ascii="Arial" w:hAnsi="Arial" w:cs="Arial"/>
          <w:sz w:val="18"/>
          <w:szCs w:val="18"/>
          <w:lang w:val="en-US" w:eastAsia="en-US"/>
        </w:rPr>
        <w:t>of the absolute value of the Price (if the Price is negative) on such date; or</w:t>
      </w:r>
    </w:p>
    <w:p w14:paraId="67BB4AF4" w14:textId="3C8FAEAA" w:rsidR="003E684C" w:rsidRPr="00382D43" w:rsidRDefault="003E684C" w:rsidP="003E684C">
      <w:pPr>
        <w:pStyle w:val="alpha1"/>
        <w:numPr>
          <w:ilvl w:val="0"/>
          <w:numId w:val="47"/>
        </w:numPr>
        <w:jc w:val="both"/>
        <w:rPr>
          <w:rFonts w:ascii="Arial" w:hAnsi="Arial" w:cs="Arial"/>
          <w:sz w:val="18"/>
          <w:szCs w:val="18"/>
        </w:rPr>
      </w:pPr>
      <w:r w:rsidRPr="00382D43">
        <w:rPr>
          <w:rFonts w:ascii="Arial" w:hAnsi="Arial" w:cs="Arial"/>
          <w:sz w:val="18"/>
          <w:szCs w:val="18"/>
        </w:rPr>
        <w:t>in respect of an Early Termination in part, the Swap will be terminated in part on the Partial Early Termination Date agreed by the parties to the Swap by (a) payment from Party A to Party B of the Price (if the Price is positive)  or (b) by payment from Party B to Party A of the absolute value of the Price (if the Price is negative)  on the Partial Early Termination Date. The Notional Quantity of the Swap shall be reduced with effect from such Partial Early Termination Date by the Termination Amount (as defined below);</w:t>
      </w:r>
    </w:p>
    <w:p w14:paraId="3CB16B97" w14:textId="325FF3CA" w:rsidR="003E684C" w:rsidRPr="00382D43" w:rsidRDefault="003E684C" w:rsidP="00382D43">
      <w:pPr>
        <w:pStyle w:val="alpha1"/>
        <w:numPr>
          <w:ilvl w:val="0"/>
          <w:numId w:val="45"/>
        </w:numPr>
        <w:ind w:left="567" w:hanging="567"/>
        <w:jc w:val="both"/>
        <w:rPr>
          <w:rFonts w:ascii="Arial" w:hAnsi="Arial" w:cs="Arial"/>
          <w:sz w:val="18"/>
          <w:szCs w:val="18"/>
          <w:lang w:eastAsia="en-US"/>
        </w:rPr>
      </w:pPr>
      <w:r w:rsidRPr="00382D43">
        <w:rPr>
          <w:rFonts w:ascii="Arial" w:hAnsi="Arial" w:cs="Arial"/>
          <w:sz w:val="18"/>
          <w:szCs w:val="18"/>
          <w:lang w:eastAsia="en-US"/>
        </w:rPr>
        <w:t>if at any time following the receipt by Party A of an Early Termination Notice there occurs or exists:</w:t>
      </w:r>
    </w:p>
    <w:p w14:paraId="7D794E87" w14:textId="26184CF9" w:rsidR="003E684C" w:rsidRPr="00382D43" w:rsidRDefault="003E684C" w:rsidP="00382D43">
      <w:pPr>
        <w:pStyle w:val="alpha1"/>
        <w:numPr>
          <w:ilvl w:val="0"/>
          <w:numId w:val="53"/>
        </w:numPr>
        <w:jc w:val="both"/>
        <w:rPr>
          <w:rFonts w:ascii="Arial" w:hAnsi="Arial" w:cs="Arial"/>
          <w:sz w:val="18"/>
          <w:szCs w:val="18"/>
          <w:lang w:val="en-US" w:eastAsia="en-US"/>
        </w:rPr>
      </w:pPr>
      <w:r w:rsidRPr="00382D43">
        <w:rPr>
          <w:rFonts w:ascii="Arial" w:hAnsi="Arial" w:cs="Arial"/>
          <w:sz w:val="18"/>
          <w:szCs w:val="18"/>
          <w:lang w:eastAsia="en-US"/>
        </w:rPr>
        <w:t xml:space="preserve">an </w:t>
      </w:r>
      <w:r w:rsidRPr="00382D43">
        <w:rPr>
          <w:rFonts w:ascii="Arial" w:hAnsi="Arial" w:cs="Arial"/>
          <w:sz w:val="18"/>
          <w:szCs w:val="18"/>
          <w:lang w:val="en-US" w:eastAsia="en-US"/>
        </w:rPr>
        <w:t xml:space="preserve">Index Component Disruption Event; or </w:t>
      </w:r>
    </w:p>
    <w:p w14:paraId="31C6869B" w14:textId="5D3FC03E" w:rsidR="003E684C" w:rsidRPr="00382D43" w:rsidRDefault="003E684C" w:rsidP="00382D43">
      <w:pPr>
        <w:pStyle w:val="alpha1"/>
        <w:numPr>
          <w:ilvl w:val="0"/>
          <w:numId w:val="53"/>
        </w:numPr>
        <w:jc w:val="both"/>
        <w:rPr>
          <w:rFonts w:ascii="Arial" w:hAnsi="Arial" w:cs="Arial"/>
          <w:sz w:val="18"/>
          <w:szCs w:val="18"/>
          <w:lang w:val="en-US" w:eastAsia="en-US"/>
        </w:rPr>
      </w:pPr>
      <w:r w:rsidRPr="00382D43">
        <w:rPr>
          <w:rFonts w:ascii="Arial" w:hAnsi="Arial" w:cs="Arial"/>
          <w:sz w:val="18"/>
          <w:szCs w:val="18"/>
          <w:lang w:val="en-US" w:eastAsia="en-US"/>
        </w:rPr>
        <w:t>an Index Adjustment Event; or</w:t>
      </w:r>
    </w:p>
    <w:p w14:paraId="2826C200" w14:textId="71BEF25F" w:rsidR="003E684C" w:rsidRPr="00382D43" w:rsidRDefault="003E684C" w:rsidP="00382D43">
      <w:pPr>
        <w:pStyle w:val="alpha1"/>
        <w:numPr>
          <w:ilvl w:val="0"/>
          <w:numId w:val="53"/>
        </w:numPr>
        <w:jc w:val="both"/>
        <w:rPr>
          <w:rFonts w:ascii="Arial" w:hAnsi="Arial" w:cs="Arial"/>
          <w:sz w:val="18"/>
          <w:szCs w:val="18"/>
          <w:lang w:val="en-US" w:eastAsia="en-US"/>
        </w:rPr>
      </w:pPr>
      <w:r w:rsidRPr="00382D43">
        <w:rPr>
          <w:rFonts w:ascii="Arial" w:hAnsi="Arial" w:cs="Arial"/>
          <w:sz w:val="18"/>
          <w:szCs w:val="18"/>
          <w:lang w:val="en-US" w:eastAsia="en-US"/>
        </w:rPr>
        <w:t>an Additional Market Disruption Event; or</w:t>
      </w:r>
    </w:p>
    <w:p w14:paraId="7150C793" w14:textId="45651D46" w:rsidR="003E684C" w:rsidRPr="00382D43" w:rsidRDefault="003E684C" w:rsidP="00382D43">
      <w:pPr>
        <w:pStyle w:val="alpha1"/>
        <w:numPr>
          <w:ilvl w:val="0"/>
          <w:numId w:val="53"/>
        </w:numPr>
        <w:jc w:val="both"/>
        <w:rPr>
          <w:rFonts w:ascii="Arial" w:hAnsi="Arial" w:cs="Arial"/>
          <w:sz w:val="18"/>
          <w:szCs w:val="18"/>
          <w:lang w:eastAsia="en-US"/>
        </w:rPr>
      </w:pPr>
      <w:r w:rsidRPr="00382D43">
        <w:rPr>
          <w:rFonts w:ascii="Arial" w:hAnsi="Arial" w:cs="Arial"/>
          <w:sz w:val="18"/>
          <w:szCs w:val="18"/>
          <w:lang w:val="en-US" w:eastAsia="en-US"/>
        </w:rPr>
        <w:t>market conditions</w:t>
      </w:r>
      <w:r w:rsidRPr="00382D43">
        <w:rPr>
          <w:rFonts w:ascii="Arial" w:hAnsi="Arial" w:cs="Arial"/>
          <w:sz w:val="18"/>
          <w:szCs w:val="18"/>
          <w:lang w:eastAsia="en-US"/>
        </w:rPr>
        <w:t xml:space="preserve"> which in the sole and absolute discretion of Party A preclude the provision of a Price pursuant to paragraph (b) above (together with the Index Component Disruption Events, Index Adjustment Events and Additional Market Disruption Events, the "Extraordinary Events" or each an “Extraordinary Event”),</w:t>
      </w:r>
    </w:p>
    <w:p w14:paraId="78E2136D" w14:textId="77777777" w:rsidR="003E684C" w:rsidRPr="00382D43" w:rsidRDefault="003E684C" w:rsidP="003E684C">
      <w:pPr>
        <w:pStyle w:val="alpha1"/>
        <w:numPr>
          <w:ilvl w:val="0"/>
          <w:numId w:val="0"/>
        </w:numPr>
        <w:ind w:left="720"/>
        <w:jc w:val="both"/>
        <w:rPr>
          <w:rFonts w:ascii="Arial" w:hAnsi="Arial" w:cs="Arial"/>
          <w:sz w:val="18"/>
          <w:szCs w:val="18"/>
        </w:rPr>
      </w:pPr>
    </w:p>
    <w:p w14:paraId="16F83639" w14:textId="5320DC85" w:rsidR="003E684C" w:rsidRPr="00382D43" w:rsidRDefault="003E684C" w:rsidP="003E684C">
      <w:pPr>
        <w:pStyle w:val="alpha1"/>
        <w:numPr>
          <w:ilvl w:val="0"/>
          <w:numId w:val="0"/>
        </w:numPr>
        <w:ind w:left="720"/>
        <w:jc w:val="both"/>
        <w:rPr>
          <w:rFonts w:ascii="Arial" w:hAnsi="Arial" w:cs="Arial"/>
          <w:color w:val="000000" w:themeColor="text1"/>
          <w:sz w:val="18"/>
          <w:szCs w:val="18"/>
        </w:rPr>
      </w:pPr>
      <w:r w:rsidRPr="00382D43">
        <w:rPr>
          <w:rFonts w:ascii="Arial" w:hAnsi="Arial" w:cs="Arial"/>
          <w:sz w:val="18"/>
          <w:szCs w:val="18"/>
        </w:rPr>
        <w:t>then Party A shall be under no obligation to effect an Early Termination, or to quote any Price and the Early Termination request shall be deemed void.  If Party A has commenced executing the Early Termination request  when an Extraordinary</w:t>
      </w:r>
      <w:r w:rsidRPr="003E684C">
        <w:rPr>
          <w:rFonts w:ascii="Arial" w:hAnsi="Arial" w:cs="Arial"/>
          <w:sz w:val="18"/>
          <w:szCs w:val="18"/>
        </w:rPr>
        <w:t xml:space="preserve"> Event occurs, the Price shall be determined in accordance with the provisions regarding “</w:t>
      </w:r>
      <w:r w:rsidRPr="00382D43">
        <w:rPr>
          <w:rFonts w:ascii="Arial" w:hAnsi="Arial" w:cs="Arial"/>
          <w:color w:val="000000" w:themeColor="text1"/>
          <w:sz w:val="18"/>
          <w:szCs w:val="18"/>
        </w:rPr>
        <w:t>Consequences of an Index Component Disruption Event”.</w:t>
      </w:r>
    </w:p>
    <w:p w14:paraId="319CCB0F" w14:textId="5DF9FCB2" w:rsidR="003E684C" w:rsidRPr="00382D43" w:rsidRDefault="003E684C" w:rsidP="00382D43">
      <w:pPr>
        <w:jc w:val="both"/>
        <w:rPr>
          <w:color w:val="000000" w:themeColor="text1"/>
          <w:szCs w:val="18"/>
        </w:rPr>
      </w:pPr>
    </w:p>
    <w:p w14:paraId="5A601CC4" w14:textId="2EB8CF35" w:rsidR="003E684C" w:rsidRPr="00382D43" w:rsidRDefault="003E684C" w:rsidP="003E684C">
      <w:pPr>
        <w:ind w:left="720"/>
        <w:jc w:val="both"/>
        <w:rPr>
          <w:color w:val="000000" w:themeColor="text1"/>
          <w:szCs w:val="18"/>
        </w:rPr>
      </w:pPr>
      <w:r w:rsidRPr="00382D43">
        <w:rPr>
          <w:color w:val="000000" w:themeColor="text1"/>
          <w:szCs w:val="18"/>
        </w:rPr>
        <w:t>“</w:t>
      </w:r>
      <w:r w:rsidRPr="00382D43">
        <w:rPr>
          <w:b/>
          <w:color w:val="000000" w:themeColor="text1"/>
          <w:szCs w:val="18"/>
        </w:rPr>
        <w:t>Termination Amount</w:t>
      </w:r>
      <w:r w:rsidRPr="00382D43">
        <w:rPr>
          <w:color w:val="000000" w:themeColor="text1"/>
          <w:szCs w:val="18"/>
        </w:rPr>
        <w:t xml:space="preserve">” means the amount in </w:t>
      </w:r>
      <w:r w:rsidR="00382D43" w:rsidRPr="00382D43">
        <w:rPr>
          <w:color w:val="000000" w:themeColor="text1"/>
          <w:szCs w:val="18"/>
        </w:rPr>
        <w:t>USD</w:t>
      </w:r>
      <w:r w:rsidR="00382D43" w:rsidRPr="00382D43">
        <w:rPr>
          <w:color w:val="000000" w:themeColor="text1"/>
          <w:szCs w:val="18"/>
        </w:rPr>
        <w:t xml:space="preserve"> </w:t>
      </w:r>
      <w:r w:rsidRPr="00382D43">
        <w:rPr>
          <w:color w:val="000000" w:themeColor="text1"/>
          <w:szCs w:val="18"/>
        </w:rPr>
        <w:t>by which Party B has requested that the notional size of the Swap be decreased.</w:t>
      </w:r>
    </w:p>
    <w:p w14:paraId="3BC4C79D" w14:textId="6605B746" w:rsidR="003E684C" w:rsidRPr="00382D43" w:rsidRDefault="003E684C" w:rsidP="003E684C">
      <w:pPr>
        <w:keepNext/>
        <w:keepLines/>
        <w:tabs>
          <w:tab w:val="left" w:pos="9251"/>
          <w:tab w:val="left" w:pos="10080"/>
        </w:tabs>
        <w:spacing w:afterLines="60" w:after="144"/>
        <w:ind w:left="720"/>
        <w:jc w:val="both"/>
        <w:rPr>
          <w:color w:val="000000" w:themeColor="text1"/>
          <w:szCs w:val="18"/>
        </w:rPr>
      </w:pPr>
      <w:r w:rsidRPr="00382D43">
        <w:rPr>
          <w:color w:val="000000" w:themeColor="text1"/>
          <w:szCs w:val="18"/>
        </w:rPr>
        <w:tab/>
      </w:r>
    </w:p>
    <w:p w14:paraId="32547EB3" w14:textId="77777777" w:rsidR="003A6BC3" w:rsidRPr="00382D43" w:rsidRDefault="003A6BC3" w:rsidP="002A3249">
      <w:pPr>
        <w:tabs>
          <w:tab w:val="left" w:pos="2340"/>
        </w:tabs>
        <w:ind w:left="2880" w:hanging="2880"/>
        <w:jc w:val="both"/>
        <w:rPr>
          <w:color w:val="000000" w:themeColor="text1"/>
        </w:rPr>
      </w:pPr>
    </w:p>
    <w:p w14:paraId="5A5C96CE" w14:textId="77777777" w:rsidR="00623D27" w:rsidRPr="00382D43" w:rsidRDefault="006C1469" w:rsidP="00325847">
      <w:pPr>
        <w:tabs>
          <w:tab w:val="left" w:pos="2610"/>
        </w:tabs>
        <w:ind w:left="3060" w:hanging="3060"/>
        <w:jc w:val="both"/>
        <w:rPr>
          <w:rFonts w:ascii="Arial Bold" w:hAnsi="Arial Bold"/>
          <w:b/>
          <w:caps/>
          <w:color w:val="000000" w:themeColor="text1"/>
          <w:sz w:val="19"/>
          <w:szCs w:val="19"/>
          <w:u w:val="single"/>
        </w:rPr>
      </w:pPr>
      <w:r w:rsidRPr="00382D43">
        <w:rPr>
          <w:rFonts w:ascii="Arial Bold" w:hAnsi="Arial Bold"/>
          <w:b/>
          <w:color w:val="000000" w:themeColor="text1"/>
          <w:sz w:val="19"/>
          <w:szCs w:val="19"/>
          <w:u w:val="single"/>
        </w:rPr>
        <w:t>SETTLEMENT TERMS</w:t>
      </w:r>
    </w:p>
    <w:p w14:paraId="2D123301" w14:textId="77777777" w:rsidR="00623D27" w:rsidRPr="00382D43" w:rsidRDefault="00623D27" w:rsidP="00623D27">
      <w:pPr>
        <w:tabs>
          <w:tab w:val="left" w:pos="2340"/>
        </w:tabs>
        <w:ind w:left="2880" w:hanging="2880"/>
        <w:jc w:val="both"/>
        <w:rPr>
          <w:color w:val="000000" w:themeColor="text1"/>
        </w:rPr>
      </w:pPr>
    </w:p>
    <w:p w14:paraId="2E3B82DC" w14:textId="77777777" w:rsidR="00623D27" w:rsidRPr="00382D43" w:rsidRDefault="00623D27" w:rsidP="00623D27">
      <w:pPr>
        <w:tabs>
          <w:tab w:val="left" w:pos="2340"/>
        </w:tabs>
        <w:ind w:left="2880" w:hanging="2880"/>
        <w:jc w:val="both"/>
        <w:rPr>
          <w:color w:val="000000" w:themeColor="text1"/>
        </w:rPr>
      </w:pPr>
      <w:r w:rsidRPr="00382D43">
        <w:rPr>
          <w:color w:val="000000" w:themeColor="text1"/>
        </w:rPr>
        <w:t>Settlement Currency</w:t>
      </w:r>
      <w:r w:rsidRPr="00382D43">
        <w:rPr>
          <w:color w:val="000000" w:themeColor="text1"/>
        </w:rPr>
        <w:tab/>
        <w:t>:</w:t>
      </w:r>
      <w:r w:rsidRPr="00382D43">
        <w:rPr>
          <w:color w:val="000000" w:themeColor="text1"/>
        </w:rPr>
        <w:tab/>
      </w:r>
      <w:r w:rsidR="006A7272" w:rsidRPr="00382D43">
        <w:rPr>
          <w:color w:val="000000" w:themeColor="text1"/>
        </w:rPr>
        <w:t>USD</w:t>
      </w:r>
    </w:p>
    <w:p w14:paraId="3C17EF10" w14:textId="77777777" w:rsidR="0002044D" w:rsidRPr="00382D43" w:rsidRDefault="0002044D" w:rsidP="00623D27">
      <w:pPr>
        <w:tabs>
          <w:tab w:val="left" w:pos="2340"/>
        </w:tabs>
        <w:ind w:left="2880" w:hanging="2880"/>
        <w:jc w:val="both"/>
        <w:rPr>
          <w:color w:val="000000" w:themeColor="text1"/>
        </w:rPr>
      </w:pPr>
    </w:p>
    <w:p w14:paraId="7D3B1B0A" w14:textId="77777777" w:rsidR="00623D27" w:rsidRPr="00382D43" w:rsidRDefault="00623D27" w:rsidP="00623D27">
      <w:pPr>
        <w:tabs>
          <w:tab w:val="left" w:pos="2340"/>
        </w:tabs>
        <w:ind w:left="2880" w:hanging="2880"/>
        <w:jc w:val="both"/>
        <w:rPr>
          <w:color w:val="000000" w:themeColor="text1"/>
        </w:rPr>
      </w:pPr>
      <w:r w:rsidRPr="00382D43">
        <w:rPr>
          <w:color w:val="000000" w:themeColor="text1"/>
        </w:rPr>
        <w:t>Settlement</w:t>
      </w:r>
      <w:r w:rsidRPr="00382D43">
        <w:rPr>
          <w:color w:val="000000" w:themeColor="text1"/>
        </w:rPr>
        <w:tab/>
        <w:t>:</w:t>
      </w:r>
      <w:r w:rsidRPr="00382D43">
        <w:rPr>
          <w:color w:val="000000" w:themeColor="text1"/>
        </w:rPr>
        <w:tab/>
        <w:t>Cash Settlement</w:t>
      </w:r>
      <w:r w:rsidR="00AA0A9A" w:rsidRPr="00382D43">
        <w:rPr>
          <w:color w:val="000000" w:themeColor="text1"/>
        </w:rPr>
        <w:t xml:space="preserve"> </w:t>
      </w:r>
    </w:p>
    <w:p w14:paraId="5F8953DB" w14:textId="77777777" w:rsidR="00623D27" w:rsidRPr="00382D43" w:rsidRDefault="00623D27" w:rsidP="00623D27">
      <w:pPr>
        <w:tabs>
          <w:tab w:val="left" w:pos="2340"/>
        </w:tabs>
        <w:ind w:left="2880" w:hanging="2880"/>
        <w:jc w:val="both"/>
        <w:rPr>
          <w:color w:val="000000" w:themeColor="text1"/>
        </w:rPr>
      </w:pPr>
    </w:p>
    <w:p w14:paraId="3262D0E6" w14:textId="1BB180FA" w:rsidR="00623D27" w:rsidRPr="00382D43" w:rsidRDefault="00623D27" w:rsidP="00623D27">
      <w:pPr>
        <w:tabs>
          <w:tab w:val="left" w:pos="2340"/>
        </w:tabs>
        <w:ind w:left="2880" w:hanging="2880"/>
        <w:jc w:val="both"/>
        <w:rPr>
          <w:color w:val="000000" w:themeColor="text1"/>
        </w:rPr>
      </w:pPr>
      <w:r w:rsidRPr="00382D43">
        <w:rPr>
          <w:color w:val="000000" w:themeColor="text1"/>
        </w:rPr>
        <w:t>Currency Business Day</w:t>
      </w:r>
      <w:r w:rsidRPr="00382D43">
        <w:rPr>
          <w:color w:val="000000" w:themeColor="text1"/>
        </w:rPr>
        <w:tab/>
        <w:t>:</w:t>
      </w:r>
      <w:r w:rsidRPr="00382D43">
        <w:rPr>
          <w:color w:val="000000" w:themeColor="text1"/>
        </w:rPr>
        <w:tab/>
      </w:r>
      <w:r w:rsidR="006A7272" w:rsidRPr="00382D43">
        <w:rPr>
          <w:color w:val="000000" w:themeColor="text1"/>
        </w:rPr>
        <w:t>New York</w:t>
      </w:r>
      <w:r w:rsidR="006E3F30" w:rsidRPr="00382D43">
        <w:rPr>
          <w:color w:val="000000" w:themeColor="text1"/>
        </w:rPr>
        <w:t xml:space="preserve"> </w:t>
      </w:r>
    </w:p>
    <w:p w14:paraId="13F4E751" w14:textId="77777777" w:rsidR="00D27E05" w:rsidRPr="00382D43" w:rsidRDefault="00D27E05" w:rsidP="00623D27">
      <w:pPr>
        <w:tabs>
          <w:tab w:val="left" w:pos="2340"/>
        </w:tabs>
        <w:ind w:left="2880" w:hanging="2880"/>
        <w:jc w:val="both"/>
        <w:rPr>
          <w:color w:val="000000" w:themeColor="text1"/>
        </w:rPr>
      </w:pPr>
    </w:p>
    <w:p w14:paraId="355AC726" w14:textId="2A2B5FDA" w:rsidR="004F56BE" w:rsidRPr="00382D43" w:rsidRDefault="006C1469" w:rsidP="00623D27">
      <w:pPr>
        <w:tabs>
          <w:tab w:val="left" w:pos="2340"/>
        </w:tabs>
        <w:ind w:left="2880" w:hanging="2880"/>
        <w:jc w:val="both"/>
        <w:rPr>
          <w:color w:val="000000" w:themeColor="text1"/>
        </w:rPr>
      </w:pPr>
      <w:r w:rsidRPr="00382D43">
        <w:rPr>
          <w:color w:val="000000" w:themeColor="text1"/>
        </w:rPr>
        <w:t xml:space="preserve">Cash Settlement </w:t>
      </w:r>
    </w:p>
    <w:p w14:paraId="7696C389" w14:textId="45F17C48" w:rsidR="00D43F89" w:rsidRPr="00382D43" w:rsidRDefault="006C1469" w:rsidP="00623D27">
      <w:pPr>
        <w:tabs>
          <w:tab w:val="left" w:pos="2340"/>
        </w:tabs>
        <w:ind w:left="2880" w:hanging="2880"/>
        <w:jc w:val="both"/>
        <w:rPr>
          <w:color w:val="000000" w:themeColor="text1"/>
        </w:rPr>
      </w:pPr>
      <w:r w:rsidRPr="00382D43">
        <w:rPr>
          <w:color w:val="000000" w:themeColor="text1"/>
        </w:rPr>
        <w:t>Payment Date</w:t>
      </w:r>
      <w:r w:rsidRPr="00382D43">
        <w:rPr>
          <w:color w:val="000000" w:themeColor="text1"/>
        </w:rPr>
        <w:tab/>
      </w:r>
      <w:r w:rsidR="004F56BE" w:rsidRPr="00382D43">
        <w:rPr>
          <w:color w:val="000000" w:themeColor="text1"/>
        </w:rPr>
        <w:t>:</w:t>
      </w:r>
      <w:r w:rsidR="004F56BE" w:rsidRPr="00382D43">
        <w:rPr>
          <w:color w:val="000000" w:themeColor="text1"/>
        </w:rPr>
        <w:tab/>
      </w:r>
      <w:r w:rsidR="0021624C" w:rsidRPr="00382D43">
        <w:rPr>
          <w:color w:val="000000" w:themeColor="text1"/>
          <w:lang w:val="en-US"/>
        </w:rPr>
        <w:t>[</w:t>
      </w:r>
      <w:r w:rsidR="0021624C" w:rsidRPr="00382D43">
        <w:rPr>
          <w:rFonts w:cs="Arial"/>
          <w:color w:val="000000" w:themeColor="text1"/>
          <w:lang w:val="en-US"/>
        </w:rPr>
        <w:t>●</w:t>
      </w:r>
      <w:r w:rsidR="0021624C" w:rsidRPr="00382D43">
        <w:rPr>
          <w:color w:val="000000" w:themeColor="text1"/>
          <w:lang w:val="en-US"/>
        </w:rPr>
        <w:t>]</w:t>
      </w:r>
      <w:r w:rsidR="003E684C" w:rsidRPr="00382D43">
        <w:rPr>
          <w:color w:val="000000" w:themeColor="text1"/>
        </w:rPr>
        <w:t xml:space="preserve"> </w:t>
      </w:r>
      <w:r w:rsidRPr="00382D43">
        <w:rPr>
          <w:color w:val="000000" w:themeColor="text1"/>
        </w:rPr>
        <w:t xml:space="preserve">Currency Business Days after the </w:t>
      </w:r>
      <w:r w:rsidR="00DE0521" w:rsidRPr="00382D43">
        <w:rPr>
          <w:color w:val="000000" w:themeColor="text1"/>
        </w:rPr>
        <w:t xml:space="preserve">Final Pricing </w:t>
      </w:r>
      <w:r w:rsidRPr="00382D43">
        <w:rPr>
          <w:color w:val="000000" w:themeColor="text1"/>
        </w:rPr>
        <w:t>Date</w:t>
      </w:r>
    </w:p>
    <w:p w14:paraId="10D84A98" w14:textId="77777777" w:rsidR="006C1469" w:rsidRPr="00382D43" w:rsidRDefault="006C1469" w:rsidP="00623D27">
      <w:pPr>
        <w:tabs>
          <w:tab w:val="left" w:pos="2340"/>
        </w:tabs>
        <w:ind w:left="2880" w:hanging="2880"/>
        <w:jc w:val="both"/>
        <w:rPr>
          <w:color w:val="000000" w:themeColor="text1"/>
        </w:rPr>
      </w:pPr>
    </w:p>
    <w:p w14:paraId="5BCE50FD" w14:textId="77777777" w:rsidR="002534B9" w:rsidRPr="00382D43" w:rsidRDefault="002534B9" w:rsidP="002534B9">
      <w:pPr>
        <w:tabs>
          <w:tab w:val="left" w:pos="2340"/>
          <w:tab w:val="left" w:pos="5400"/>
        </w:tabs>
        <w:jc w:val="both"/>
        <w:rPr>
          <w:rFonts w:cs="Arial"/>
          <w:bCs/>
          <w:color w:val="000000" w:themeColor="text1"/>
          <w:szCs w:val="18"/>
        </w:rPr>
      </w:pPr>
    </w:p>
    <w:p w14:paraId="1505D134" w14:textId="77777777" w:rsidR="00F0184A" w:rsidRPr="00382D43" w:rsidRDefault="00F0184A" w:rsidP="00F0184A">
      <w:pPr>
        <w:tabs>
          <w:tab w:val="left" w:pos="2340"/>
          <w:tab w:val="left" w:pos="5400"/>
        </w:tabs>
        <w:jc w:val="both"/>
        <w:rPr>
          <w:color w:val="000000" w:themeColor="text1"/>
        </w:rPr>
      </w:pPr>
    </w:p>
    <w:p w14:paraId="76796066" w14:textId="77777777" w:rsidR="006B0578" w:rsidRPr="00382D43" w:rsidRDefault="006B0578">
      <w:pPr>
        <w:rPr>
          <w:b/>
          <w:color w:val="000000" w:themeColor="text1"/>
          <w:sz w:val="20"/>
          <w:szCs w:val="20"/>
        </w:rPr>
      </w:pPr>
      <w:r w:rsidRPr="00382D43">
        <w:rPr>
          <w:b/>
          <w:color w:val="000000" w:themeColor="text1"/>
          <w:sz w:val="20"/>
          <w:szCs w:val="20"/>
        </w:rPr>
        <w:br w:type="page"/>
      </w:r>
    </w:p>
    <w:p w14:paraId="5DCE1599" w14:textId="73AE0817" w:rsidR="00004755" w:rsidRDefault="00004755" w:rsidP="00F0184A">
      <w:pPr>
        <w:tabs>
          <w:tab w:val="left" w:pos="2340"/>
          <w:tab w:val="left" w:pos="5400"/>
        </w:tabs>
        <w:jc w:val="both"/>
        <w:rPr>
          <w:b/>
          <w:sz w:val="20"/>
          <w:szCs w:val="20"/>
        </w:rPr>
      </w:pPr>
      <w:r w:rsidRPr="00004755">
        <w:rPr>
          <w:b/>
          <w:sz w:val="20"/>
          <w:szCs w:val="20"/>
        </w:rPr>
        <w:lastRenderedPageBreak/>
        <w:t>INDEX COMPONENT DISRUPTION EVENT AND CONSEQUENCES OF AN I</w:t>
      </w:r>
      <w:r>
        <w:rPr>
          <w:b/>
          <w:sz w:val="20"/>
          <w:szCs w:val="20"/>
        </w:rPr>
        <w:t>NDEX COMPONENT DISRUPTION EVENT</w:t>
      </w:r>
    </w:p>
    <w:p w14:paraId="1178745B" w14:textId="29AEEE00" w:rsidR="00004755" w:rsidRDefault="00004755" w:rsidP="00F0184A">
      <w:pPr>
        <w:tabs>
          <w:tab w:val="left" w:pos="2340"/>
          <w:tab w:val="left" w:pos="5400"/>
        </w:tabs>
        <w:jc w:val="both"/>
        <w:rPr>
          <w:b/>
          <w:sz w:val="20"/>
          <w:szCs w:val="20"/>
        </w:rPr>
      </w:pPr>
    </w:p>
    <w:p w14:paraId="36ED2ECC" w14:textId="4A2C33AB" w:rsidR="00004755" w:rsidRPr="003E684C" w:rsidRDefault="00004755" w:rsidP="003E684C">
      <w:pPr>
        <w:pStyle w:val="ListParagraph"/>
        <w:numPr>
          <w:ilvl w:val="0"/>
          <w:numId w:val="32"/>
        </w:numPr>
        <w:tabs>
          <w:tab w:val="left" w:pos="2340"/>
          <w:tab w:val="left" w:pos="5400"/>
        </w:tabs>
        <w:jc w:val="both"/>
        <w:rPr>
          <w:b/>
          <w:sz w:val="20"/>
          <w:szCs w:val="20"/>
        </w:rPr>
      </w:pPr>
      <w:r>
        <w:rPr>
          <w:b/>
          <w:sz w:val="20"/>
          <w:szCs w:val="20"/>
        </w:rPr>
        <w:t>Index Component Disruption Event</w:t>
      </w:r>
    </w:p>
    <w:p w14:paraId="568D8F8D" w14:textId="6CA29B4C" w:rsidR="00004755" w:rsidRPr="00004755" w:rsidRDefault="00004755" w:rsidP="00004755">
      <w:pPr>
        <w:spacing w:before="227" w:line="230" w:lineRule="exact"/>
        <w:ind w:right="72"/>
        <w:jc w:val="both"/>
        <w:textAlignment w:val="baseline"/>
        <w:rPr>
          <w:rFonts w:eastAsia="Times New Roman"/>
          <w:color w:val="000000"/>
          <w:spacing w:val="2"/>
          <w:szCs w:val="18"/>
        </w:rPr>
      </w:pPr>
      <w:r w:rsidRPr="003E684C">
        <w:rPr>
          <w:rFonts w:eastAsia="Times New Roman"/>
          <w:color w:val="000000"/>
          <w:spacing w:val="2"/>
          <w:szCs w:val="18"/>
        </w:rPr>
        <w:t>The occurrence or existence of any of the following in respect of any of the futures contracts or commodities or sub-indexes used to calculate the Commodity Reference Price (each, an "</w:t>
      </w:r>
      <w:r w:rsidRPr="003E684C">
        <w:rPr>
          <w:rFonts w:eastAsia="Times New Roman"/>
          <w:b/>
          <w:color w:val="000000"/>
          <w:spacing w:val="2"/>
          <w:szCs w:val="18"/>
        </w:rPr>
        <w:t>Index Component</w:t>
      </w:r>
      <w:r w:rsidRPr="003E684C">
        <w:rPr>
          <w:rFonts w:eastAsia="Times New Roman"/>
          <w:color w:val="000000"/>
          <w:spacing w:val="2"/>
          <w:szCs w:val="18"/>
        </w:rPr>
        <w:t>" shall, at the discretion of the Calculation Agent, constitute an "</w:t>
      </w:r>
      <w:r w:rsidRPr="003E684C">
        <w:rPr>
          <w:rFonts w:eastAsia="Times New Roman"/>
          <w:b/>
          <w:color w:val="000000"/>
          <w:spacing w:val="2"/>
          <w:szCs w:val="18"/>
        </w:rPr>
        <w:t>Index Component Disruption Event</w:t>
      </w:r>
      <w:r w:rsidRPr="003E684C">
        <w:rPr>
          <w:rFonts w:eastAsia="Times New Roman"/>
          <w:color w:val="000000"/>
          <w:spacing w:val="2"/>
          <w:szCs w:val="18"/>
        </w:rPr>
        <w:t>":</w:t>
      </w:r>
    </w:p>
    <w:p w14:paraId="33954A68" w14:textId="77777777" w:rsidR="006F3653" w:rsidRDefault="006F3653" w:rsidP="006F3653">
      <w:pPr>
        <w:numPr>
          <w:ilvl w:val="0"/>
          <w:numId w:val="33"/>
        </w:numPr>
        <w:spacing w:before="231" w:line="230" w:lineRule="exact"/>
        <w:ind w:right="72"/>
        <w:jc w:val="both"/>
        <w:textAlignment w:val="baseline"/>
        <w:rPr>
          <w:rFonts w:eastAsia="Times New Roman"/>
          <w:color w:val="000000"/>
          <w:szCs w:val="18"/>
        </w:rPr>
      </w:pPr>
      <w:r w:rsidRPr="006F3653">
        <w:rPr>
          <w:rFonts w:eastAsia="Times New Roman"/>
          <w:color w:val="000000"/>
          <w:szCs w:val="18"/>
        </w:rPr>
        <w:t>(i) the failure of the relevant price source to announce or publish the (or the information necessary for determining the) price of any Index Component used to calculate the Commodity Reference Price; or (ii) the temporary or permanent discontinuance or unavailability of the price source;</w:t>
      </w:r>
    </w:p>
    <w:p w14:paraId="7E1424D3" w14:textId="236E7468" w:rsidR="00004755" w:rsidRPr="003E684C" w:rsidRDefault="006F3653" w:rsidP="006F3653">
      <w:pPr>
        <w:numPr>
          <w:ilvl w:val="0"/>
          <w:numId w:val="33"/>
        </w:numPr>
        <w:spacing w:before="231" w:line="230" w:lineRule="exact"/>
        <w:ind w:right="72"/>
        <w:jc w:val="both"/>
        <w:textAlignment w:val="baseline"/>
        <w:rPr>
          <w:rFonts w:eastAsia="Times New Roman"/>
          <w:color w:val="000000"/>
          <w:szCs w:val="18"/>
        </w:rPr>
      </w:pPr>
      <w:r w:rsidRPr="006F3653">
        <w:rPr>
          <w:rFonts w:eastAsia="Times New Roman"/>
          <w:color w:val="000000"/>
          <w:szCs w:val="18"/>
        </w:rPr>
        <w:t>the termination, material suspension or material disruption in trading, of any Index Component</w:t>
      </w:r>
      <w:r w:rsidR="00004755" w:rsidRPr="003E684C">
        <w:rPr>
          <w:rFonts w:eastAsia="Times New Roman"/>
          <w:color w:val="000000"/>
          <w:szCs w:val="18"/>
        </w:rPr>
        <w:t>;</w:t>
      </w:r>
    </w:p>
    <w:p w14:paraId="65D5B5B3" w14:textId="32F29E13" w:rsidR="00004755" w:rsidRPr="003E684C" w:rsidRDefault="006F3653" w:rsidP="006F3653">
      <w:pPr>
        <w:numPr>
          <w:ilvl w:val="0"/>
          <w:numId w:val="33"/>
        </w:numPr>
        <w:spacing w:before="232" w:line="230" w:lineRule="exact"/>
        <w:ind w:right="72"/>
        <w:jc w:val="both"/>
        <w:textAlignment w:val="baseline"/>
        <w:rPr>
          <w:rFonts w:eastAsia="Times New Roman"/>
          <w:color w:val="000000"/>
          <w:szCs w:val="18"/>
        </w:rPr>
      </w:pPr>
      <w:r w:rsidRPr="006F3653">
        <w:rPr>
          <w:rFonts w:eastAsia="Times New Roman"/>
          <w:color w:val="000000"/>
          <w:szCs w:val="18"/>
        </w:rPr>
        <w:t>the settlement price of any Index Component has increased or decreased from the previous day’s published settlement price by an amount equal to the maximum amount permitted under the applicable exchange rules for such futures contract</w:t>
      </w:r>
      <w:r w:rsidR="00004755" w:rsidRPr="003E684C">
        <w:rPr>
          <w:rFonts w:eastAsia="Times New Roman"/>
          <w:color w:val="000000"/>
          <w:szCs w:val="18"/>
        </w:rPr>
        <w:t>; or</w:t>
      </w:r>
    </w:p>
    <w:p w14:paraId="352CAB05" w14:textId="305F72AC" w:rsidR="00004755" w:rsidRDefault="006F3653" w:rsidP="003E684C">
      <w:pPr>
        <w:numPr>
          <w:ilvl w:val="0"/>
          <w:numId w:val="33"/>
        </w:numPr>
        <w:spacing w:before="226" w:line="230" w:lineRule="exact"/>
        <w:ind w:right="72"/>
        <w:jc w:val="both"/>
        <w:textAlignment w:val="baseline"/>
        <w:rPr>
          <w:rFonts w:eastAsia="Times New Roman"/>
          <w:color w:val="000000"/>
          <w:szCs w:val="18"/>
        </w:rPr>
      </w:pPr>
      <w:r w:rsidRPr="006F3653">
        <w:rPr>
          <w:rFonts w:eastAsia="Times New Roman"/>
          <w:color w:val="000000"/>
          <w:szCs w:val="18"/>
        </w:rPr>
        <w:t>the failure by the relevant exchange to announce or publish the settlement price or the level for any Index Component or the early closure of the exchange in respect of any Index Component, unless such earlier closing time is announced by such exchange at least one hour prior to the actual closing time for the regular trading session on the exchange</w:t>
      </w:r>
      <w:r w:rsidR="00004755" w:rsidRPr="003E684C">
        <w:rPr>
          <w:rFonts w:eastAsia="Times New Roman"/>
          <w:color w:val="000000"/>
          <w:szCs w:val="18"/>
        </w:rPr>
        <w:t>.</w:t>
      </w:r>
    </w:p>
    <w:p w14:paraId="6B52787D" w14:textId="77777777" w:rsidR="00BC58F5" w:rsidRPr="003E684C" w:rsidRDefault="00BC58F5" w:rsidP="003E684C">
      <w:pPr>
        <w:spacing w:before="226" w:line="230" w:lineRule="exact"/>
        <w:ind w:left="720" w:right="72"/>
        <w:jc w:val="both"/>
        <w:textAlignment w:val="baseline"/>
        <w:rPr>
          <w:rFonts w:eastAsia="Times New Roman"/>
          <w:color w:val="000000"/>
          <w:szCs w:val="18"/>
        </w:rPr>
      </w:pPr>
    </w:p>
    <w:p w14:paraId="4B8C96F7" w14:textId="64B1F16A" w:rsidR="00BC58F5" w:rsidRPr="00CE0D79" w:rsidRDefault="00BC58F5" w:rsidP="003E684C">
      <w:pPr>
        <w:pStyle w:val="ListParagraph"/>
        <w:numPr>
          <w:ilvl w:val="0"/>
          <w:numId w:val="32"/>
        </w:numPr>
        <w:tabs>
          <w:tab w:val="left" w:pos="2340"/>
          <w:tab w:val="left" w:pos="5400"/>
        </w:tabs>
        <w:jc w:val="both"/>
        <w:rPr>
          <w:b/>
          <w:sz w:val="20"/>
          <w:szCs w:val="20"/>
        </w:rPr>
      </w:pPr>
      <w:r w:rsidRPr="00BC58F5">
        <w:rPr>
          <w:b/>
          <w:sz w:val="20"/>
          <w:szCs w:val="20"/>
        </w:rPr>
        <w:t xml:space="preserve">Consequences of an </w:t>
      </w:r>
      <w:r>
        <w:rPr>
          <w:b/>
          <w:sz w:val="20"/>
          <w:szCs w:val="20"/>
        </w:rPr>
        <w:t>Index Component Disruption Event</w:t>
      </w:r>
    </w:p>
    <w:p w14:paraId="399C243C" w14:textId="3A8407D9" w:rsidR="00BC58F5" w:rsidRPr="00BC58F5" w:rsidRDefault="006F3653" w:rsidP="003E684C">
      <w:pPr>
        <w:spacing w:before="227" w:line="230" w:lineRule="exact"/>
        <w:ind w:right="72"/>
        <w:jc w:val="both"/>
        <w:textAlignment w:val="baseline"/>
        <w:rPr>
          <w:rFonts w:eastAsia="Times New Roman"/>
          <w:color w:val="000000"/>
          <w:spacing w:val="2"/>
          <w:szCs w:val="18"/>
        </w:rPr>
      </w:pPr>
      <w:r>
        <w:rPr>
          <w:rFonts w:eastAsia="Times New Roman"/>
          <w:color w:val="000000"/>
          <w:spacing w:val="2"/>
          <w:szCs w:val="18"/>
        </w:rPr>
        <w:t xml:space="preserve">1. </w:t>
      </w:r>
      <w:r w:rsidRPr="006F3653">
        <w:rPr>
          <w:rFonts w:eastAsia="Times New Roman"/>
          <w:color w:val="000000"/>
          <w:spacing w:val="2"/>
          <w:szCs w:val="18"/>
        </w:rPr>
        <w:t xml:space="preserve">Upon the occurrence or existence of an Index Component Disruption Event on any Pricing Date, the Calculation Agent shall determine the </w:t>
      </w:r>
      <w:r w:rsidRPr="003E684C">
        <w:rPr>
          <w:rFonts w:eastAsia="Times New Roman"/>
          <w:color w:val="000000"/>
          <w:spacing w:val="2"/>
          <w:szCs w:val="18"/>
        </w:rPr>
        <w:t>Specified</w:t>
      </w:r>
      <w:r w:rsidRPr="006F3653">
        <w:rPr>
          <w:rFonts w:eastAsia="Times New Roman"/>
          <w:color w:val="000000"/>
          <w:spacing w:val="2"/>
          <w:szCs w:val="18"/>
        </w:rPr>
        <w:t xml:space="preserve"> Price (or a method for determining the Specified Price) using closing or settlement prices, as appropriate, for each Index Component determined in accordance with (i) and (ii) below and using the then-current Index Methodology</w:t>
      </w:r>
      <w:r w:rsidR="00BC58F5" w:rsidRPr="00BC58F5">
        <w:rPr>
          <w:rFonts w:eastAsia="Times New Roman"/>
          <w:color w:val="000000"/>
          <w:spacing w:val="2"/>
          <w:szCs w:val="18"/>
        </w:rPr>
        <w:t xml:space="preserve">: </w:t>
      </w:r>
    </w:p>
    <w:p w14:paraId="2E8472A0" w14:textId="4BF4C4BA" w:rsidR="00BC58F5" w:rsidRDefault="006F3653" w:rsidP="006F3653">
      <w:pPr>
        <w:numPr>
          <w:ilvl w:val="0"/>
          <w:numId w:val="35"/>
        </w:numPr>
        <w:spacing w:before="225" w:line="230" w:lineRule="exact"/>
        <w:ind w:right="72"/>
        <w:jc w:val="both"/>
        <w:textAlignment w:val="baseline"/>
        <w:rPr>
          <w:rFonts w:eastAsia="Times New Roman"/>
          <w:color w:val="000000"/>
          <w:szCs w:val="18"/>
        </w:rPr>
      </w:pPr>
      <w:r w:rsidRPr="006F3653">
        <w:rPr>
          <w:rFonts w:eastAsia="Times New Roman"/>
          <w:color w:val="000000"/>
          <w:szCs w:val="18"/>
        </w:rPr>
        <w:t>with respect to each Index Component which is not affected by an Index Component Disruption Event, the Specified Price will be based on the closing or settlement price, whichever is applicable, of such Index Component on the relevant Pricing Date</w:t>
      </w:r>
      <w:r w:rsidR="00BC58F5" w:rsidRPr="00CE0D79">
        <w:rPr>
          <w:rFonts w:eastAsia="Times New Roman"/>
          <w:color w:val="000000"/>
          <w:szCs w:val="18"/>
        </w:rPr>
        <w:t>;</w:t>
      </w:r>
    </w:p>
    <w:p w14:paraId="6536D233" w14:textId="231962AE" w:rsidR="006F3653" w:rsidRDefault="006F3653" w:rsidP="006F3653">
      <w:pPr>
        <w:numPr>
          <w:ilvl w:val="0"/>
          <w:numId w:val="35"/>
        </w:numPr>
        <w:spacing w:before="225" w:line="230" w:lineRule="exact"/>
        <w:ind w:right="72"/>
        <w:jc w:val="both"/>
        <w:textAlignment w:val="baseline"/>
        <w:rPr>
          <w:rFonts w:eastAsia="Times New Roman"/>
          <w:color w:val="000000"/>
          <w:szCs w:val="18"/>
        </w:rPr>
      </w:pPr>
      <w:r w:rsidRPr="006F3653">
        <w:rPr>
          <w:rFonts w:eastAsia="Times New Roman"/>
          <w:color w:val="000000"/>
          <w:szCs w:val="18"/>
        </w:rPr>
        <w:t>with respect to each Index Component which is affected by an Index Component Disruption</w:t>
      </w:r>
      <w:r w:rsidR="000D2722">
        <w:rPr>
          <w:rFonts w:eastAsia="Times New Roman"/>
          <w:color w:val="000000"/>
          <w:szCs w:val="18"/>
        </w:rPr>
        <w:t xml:space="preserve"> Event (</w:t>
      </w:r>
      <w:r w:rsidRPr="006F3653">
        <w:rPr>
          <w:rFonts w:eastAsia="Times New Roman"/>
          <w:color w:val="000000"/>
          <w:szCs w:val="18"/>
        </w:rPr>
        <w:t xml:space="preserve">an </w:t>
      </w:r>
      <w:r w:rsidR="000D2722">
        <w:rPr>
          <w:rFonts w:eastAsia="Times New Roman"/>
          <w:color w:val="000000"/>
          <w:szCs w:val="18"/>
        </w:rPr>
        <w:t>“</w:t>
      </w:r>
      <w:r w:rsidRPr="003E684C">
        <w:rPr>
          <w:rFonts w:eastAsia="Times New Roman"/>
          <w:b/>
          <w:color w:val="000000"/>
          <w:szCs w:val="18"/>
        </w:rPr>
        <w:t>Affected</w:t>
      </w:r>
      <w:r w:rsidRPr="006F3653">
        <w:rPr>
          <w:rFonts w:eastAsia="Times New Roman"/>
          <w:color w:val="000000"/>
          <w:szCs w:val="18"/>
        </w:rPr>
        <w:t xml:space="preserve"> </w:t>
      </w:r>
      <w:r w:rsidRPr="003E684C">
        <w:rPr>
          <w:rFonts w:eastAsia="Times New Roman"/>
          <w:b/>
          <w:color w:val="000000"/>
          <w:szCs w:val="18"/>
        </w:rPr>
        <w:t>Item</w:t>
      </w:r>
      <w:r w:rsidRPr="006F3653">
        <w:rPr>
          <w:rFonts w:eastAsia="Times New Roman"/>
          <w:color w:val="000000"/>
          <w:szCs w:val="18"/>
        </w:rPr>
        <w:t xml:space="preserve">”), the </w:t>
      </w:r>
      <w:r w:rsidRPr="003E684C">
        <w:rPr>
          <w:rFonts w:eastAsia="Times New Roman"/>
          <w:color w:val="000000"/>
          <w:szCs w:val="18"/>
        </w:rPr>
        <w:t>Specified</w:t>
      </w:r>
      <w:r w:rsidRPr="006F3653">
        <w:rPr>
          <w:rFonts w:eastAsia="Times New Roman"/>
          <w:color w:val="000000"/>
          <w:szCs w:val="18"/>
        </w:rPr>
        <w:t xml:space="preserve"> Price will be based on the closing or settlement prices of such Affected Item on the first Commodity Business Day following the relevant Pricing Date on which no Index Component Disruption Event is occurring with respect to such Affected Item, unless an Index Component Disruption Event is occurring on each of the number of consecutive Commodity Business Days equal to the Maximum Days of Disruption immediately following the relevant Pricing Date in respect of the Affected Item. In that case, (A) the last such consecutive Commodity Business Day shall be deemed to be the Pricing Date for the Affected Item, notwithstanding the Index Component Disruption Event, and (B) the Calculation Agent shall determine the price of such Affected Item based upon the price at which Party A is able to sell or otherwise realise any hedge positions in respect of the Transaction during the period of five Commodity Business Days following the last such consecutive Pricing Date</w:t>
      </w:r>
      <w:r>
        <w:rPr>
          <w:rFonts w:eastAsia="Times New Roman"/>
          <w:color w:val="000000"/>
          <w:szCs w:val="18"/>
        </w:rPr>
        <w:t>.</w:t>
      </w:r>
    </w:p>
    <w:p w14:paraId="3A3AC20D" w14:textId="77777777" w:rsidR="006F3653" w:rsidRDefault="006F3653" w:rsidP="003E684C">
      <w:pPr>
        <w:spacing w:before="225" w:line="230" w:lineRule="exact"/>
        <w:ind w:left="720" w:right="72"/>
        <w:jc w:val="both"/>
        <w:textAlignment w:val="baseline"/>
        <w:rPr>
          <w:rFonts w:eastAsia="Times New Roman"/>
          <w:color w:val="000000"/>
          <w:szCs w:val="18"/>
        </w:rPr>
      </w:pPr>
    </w:p>
    <w:p w14:paraId="1A7452D2" w14:textId="77777777" w:rsidR="006F3653" w:rsidRPr="003E684C" w:rsidRDefault="006F3653" w:rsidP="003E684C">
      <w:pPr>
        <w:pStyle w:val="ListParagraph"/>
        <w:jc w:val="both"/>
        <w:rPr>
          <w:rFonts w:eastAsia="SimSun"/>
          <w:szCs w:val="18"/>
          <w:lang w:eastAsia="zh-CN"/>
        </w:rPr>
      </w:pPr>
      <w:r w:rsidRPr="003E684C">
        <w:rPr>
          <w:szCs w:val="18"/>
        </w:rPr>
        <w:t>“</w:t>
      </w:r>
      <w:r w:rsidRPr="003E684C">
        <w:rPr>
          <w:rFonts w:eastAsia="SimSun"/>
          <w:b/>
          <w:bCs/>
          <w:szCs w:val="18"/>
          <w:lang w:eastAsia="zh-CN"/>
        </w:rPr>
        <w:t>Index Methodology</w:t>
      </w:r>
      <w:r w:rsidRPr="003E684C">
        <w:rPr>
          <w:szCs w:val="18"/>
        </w:rPr>
        <w:t>”</w:t>
      </w:r>
      <w:r w:rsidRPr="003E684C">
        <w:rPr>
          <w:rFonts w:eastAsia="SimSun"/>
          <w:szCs w:val="18"/>
          <w:lang w:eastAsia="zh-CN"/>
        </w:rPr>
        <w:t xml:space="preserve"> means the most recent version of the index calculation methodology underlying the calculation of the </w:t>
      </w:r>
      <w:r w:rsidRPr="003E684C">
        <w:rPr>
          <w:szCs w:val="18"/>
        </w:rPr>
        <w:t>Index</w:t>
      </w:r>
      <w:r w:rsidRPr="003E684C">
        <w:rPr>
          <w:rFonts w:eastAsia="SimSun"/>
          <w:szCs w:val="18"/>
          <w:lang w:eastAsia="zh-CN"/>
        </w:rPr>
        <w:t>, being the then current version of the</w:t>
      </w:r>
      <w:r w:rsidRPr="003E684C">
        <w:rPr>
          <w:szCs w:val="18"/>
        </w:rPr>
        <w:t xml:space="preserve"> methodology compiled and published by the Index Sponsor, </w:t>
      </w:r>
      <w:r w:rsidRPr="003E684C">
        <w:rPr>
          <w:rFonts w:eastAsia="SimSun"/>
          <w:szCs w:val="18"/>
          <w:lang w:eastAsia="zh-CN"/>
        </w:rPr>
        <w:t xml:space="preserve">or any successor thereto, subject to paragraph </w:t>
      </w:r>
      <w:r w:rsidRPr="003E684C">
        <w:rPr>
          <w:rFonts w:eastAsia="SimSun"/>
          <w:i/>
          <w:szCs w:val="18"/>
          <w:lang w:eastAsia="zh-CN"/>
        </w:rPr>
        <w:t>“Index Adjustment Events and Consequences thereof”</w:t>
      </w:r>
      <w:r w:rsidRPr="003E684C">
        <w:rPr>
          <w:rFonts w:eastAsia="SimSun"/>
          <w:szCs w:val="18"/>
          <w:lang w:eastAsia="zh-CN"/>
        </w:rPr>
        <w:t xml:space="preserve"> below.</w:t>
      </w:r>
    </w:p>
    <w:p w14:paraId="4C2B2F9F" w14:textId="540AE508" w:rsidR="006F3653" w:rsidRPr="00CE0D79" w:rsidRDefault="006F3653" w:rsidP="003E684C">
      <w:pPr>
        <w:spacing w:before="225" w:line="230" w:lineRule="exact"/>
        <w:ind w:left="720" w:right="72"/>
        <w:jc w:val="both"/>
        <w:textAlignment w:val="baseline"/>
        <w:rPr>
          <w:rFonts w:eastAsia="Times New Roman"/>
          <w:color w:val="000000"/>
          <w:szCs w:val="18"/>
        </w:rPr>
      </w:pPr>
      <w:r w:rsidRPr="003E684C">
        <w:rPr>
          <w:rFonts w:eastAsia="Times New Roman"/>
          <w:b/>
          <w:color w:val="000000"/>
          <w:szCs w:val="18"/>
        </w:rPr>
        <w:t>Maximum Days of Disruption</w:t>
      </w:r>
      <w:r>
        <w:rPr>
          <w:rFonts w:eastAsia="Times New Roman"/>
          <w:color w:val="000000"/>
          <w:szCs w:val="18"/>
        </w:rPr>
        <w:t>: 5 Commodity Business Days</w:t>
      </w:r>
    </w:p>
    <w:p w14:paraId="519DBD33" w14:textId="48FF5065" w:rsidR="00BC58F5" w:rsidRPr="00004755" w:rsidRDefault="006F3653" w:rsidP="00BC58F5">
      <w:pPr>
        <w:spacing w:before="227" w:line="230" w:lineRule="exact"/>
        <w:ind w:right="72"/>
        <w:jc w:val="both"/>
        <w:textAlignment w:val="baseline"/>
        <w:rPr>
          <w:rFonts w:eastAsia="Times New Roman"/>
          <w:color w:val="000000"/>
          <w:spacing w:val="2"/>
          <w:szCs w:val="18"/>
        </w:rPr>
      </w:pPr>
      <w:r>
        <w:rPr>
          <w:rFonts w:eastAsia="Times New Roman"/>
          <w:color w:val="000000"/>
          <w:spacing w:val="2"/>
          <w:szCs w:val="18"/>
        </w:rPr>
        <w:t xml:space="preserve">2. </w:t>
      </w:r>
      <w:r w:rsidRPr="006F3653">
        <w:rPr>
          <w:rFonts w:eastAsia="Times New Roman"/>
          <w:color w:val="000000"/>
          <w:spacing w:val="2"/>
          <w:szCs w:val="18"/>
        </w:rPr>
        <w:t xml:space="preserve">Upon the occurrence or existence of an Index Component Disruption Event on any Commodity Business Day that is not a Pricing Date, Party A may give notice to Party B of its intention to terminate the Transaction in whole, but not in part.  </w:t>
      </w:r>
      <w:r w:rsidRPr="006F3653">
        <w:rPr>
          <w:rFonts w:eastAsia="Times New Roman"/>
          <w:color w:val="000000"/>
          <w:spacing w:val="2"/>
          <w:szCs w:val="18"/>
        </w:rPr>
        <w:lastRenderedPageBreak/>
        <w:t>The Transaction will be terminated following payment of the Cancellation Amount, determined in accordance with paragraph “</w:t>
      </w:r>
      <w:r w:rsidRPr="003E684C">
        <w:rPr>
          <w:rFonts w:eastAsia="Times New Roman"/>
          <w:i/>
          <w:color w:val="000000"/>
          <w:spacing w:val="2"/>
          <w:szCs w:val="18"/>
        </w:rPr>
        <w:t>Cancellation</w:t>
      </w:r>
      <w:r w:rsidRPr="006F3653">
        <w:rPr>
          <w:rFonts w:eastAsia="Times New Roman"/>
          <w:color w:val="000000"/>
          <w:spacing w:val="2"/>
          <w:szCs w:val="18"/>
        </w:rPr>
        <w:t>” below</w:t>
      </w:r>
      <w:r>
        <w:rPr>
          <w:rFonts w:eastAsia="Times New Roman"/>
          <w:color w:val="000000"/>
          <w:spacing w:val="2"/>
          <w:szCs w:val="18"/>
        </w:rPr>
        <w:t>.</w:t>
      </w:r>
    </w:p>
    <w:p w14:paraId="3ACF49FC" w14:textId="77777777" w:rsidR="00004755" w:rsidRDefault="00004755" w:rsidP="00F0184A">
      <w:pPr>
        <w:tabs>
          <w:tab w:val="left" w:pos="2340"/>
          <w:tab w:val="left" w:pos="5400"/>
        </w:tabs>
        <w:jc w:val="both"/>
        <w:rPr>
          <w:b/>
          <w:sz w:val="20"/>
          <w:szCs w:val="20"/>
        </w:rPr>
      </w:pPr>
    </w:p>
    <w:p w14:paraId="1B3782D2" w14:textId="542C820A" w:rsidR="00F0184A" w:rsidRPr="000E46AA" w:rsidRDefault="00BF69E3" w:rsidP="00F0184A">
      <w:pPr>
        <w:tabs>
          <w:tab w:val="left" w:pos="2340"/>
          <w:tab w:val="left" w:pos="5400"/>
        </w:tabs>
        <w:jc w:val="both"/>
        <w:rPr>
          <w:b/>
          <w:sz w:val="20"/>
          <w:szCs w:val="20"/>
        </w:rPr>
      </w:pPr>
      <w:r>
        <w:rPr>
          <w:b/>
          <w:sz w:val="20"/>
          <w:szCs w:val="20"/>
        </w:rPr>
        <w:t xml:space="preserve">INDEX </w:t>
      </w:r>
      <w:r w:rsidR="00F0184A" w:rsidRPr="000E46AA">
        <w:rPr>
          <w:b/>
          <w:sz w:val="20"/>
          <w:szCs w:val="20"/>
        </w:rPr>
        <w:t xml:space="preserve">ADJUSTMENT </w:t>
      </w:r>
      <w:r>
        <w:rPr>
          <w:b/>
          <w:sz w:val="20"/>
          <w:szCs w:val="20"/>
        </w:rPr>
        <w:t>EVENTS AND CONSEQUENCES THEREOF</w:t>
      </w:r>
      <w:r w:rsidR="00004755">
        <w:rPr>
          <w:b/>
          <w:sz w:val="20"/>
          <w:szCs w:val="20"/>
        </w:rPr>
        <w:t xml:space="preserve"> </w:t>
      </w:r>
    </w:p>
    <w:p w14:paraId="5F913C35" w14:textId="4BCA78C7" w:rsidR="00463B24" w:rsidRPr="00680691" w:rsidRDefault="00463B24" w:rsidP="00F0184A">
      <w:pPr>
        <w:tabs>
          <w:tab w:val="left" w:pos="2340"/>
          <w:tab w:val="left" w:pos="5400"/>
        </w:tabs>
        <w:jc w:val="both"/>
        <w:rPr>
          <w:lang w:eastAsia="ko-KR"/>
        </w:rPr>
      </w:pPr>
    </w:p>
    <w:p w14:paraId="4F84BECF" w14:textId="23A10918" w:rsidR="00BF69E3" w:rsidRPr="00CE0D79" w:rsidRDefault="00BF69E3" w:rsidP="00BF69E3">
      <w:pPr>
        <w:pStyle w:val="ListParagraph"/>
        <w:numPr>
          <w:ilvl w:val="0"/>
          <w:numId w:val="40"/>
        </w:numPr>
        <w:tabs>
          <w:tab w:val="left" w:pos="2340"/>
          <w:tab w:val="left" w:pos="5400"/>
        </w:tabs>
        <w:jc w:val="both"/>
        <w:rPr>
          <w:b/>
          <w:sz w:val="20"/>
          <w:szCs w:val="20"/>
        </w:rPr>
      </w:pPr>
      <w:r>
        <w:rPr>
          <w:b/>
          <w:sz w:val="20"/>
          <w:szCs w:val="20"/>
        </w:rPr>
        <w:t>Index Adjustment Events</w:t>
      </w:r>
    </w:p>
    <w:p w14:paraId="32C86B0D" w14:textId="60556A4D" w:rsidR="00F0184A" w:rsidRDefault="00F0184A" w:rsidP="00F0184A">
      <w:pPr>
        <w:tabs>
          <w:tab w:val="left" w:pos="2340"/>
          <w:tab w:val="left" w:pos="5400"/>
        </w:tabs>
        <w:jc w:val="both"/>
      </w:pPr>
    </w:p>
    <w:p w14:paraId="6FB46D6A" w14:textId="0C0C3BDA" w:rsidR="00004755" w:rsidRDefault="00004755" w:rsidP="00004755">
      <w:pPr>
        <w:tabs>
          <w:tab w:val="left" w:pos="2340"/>
        </w:tabs>
        <w:ind w:left="2880" w:hanging="2880"/>
        <w:jc w:val="both"/>
      </w:pPr>
      <w:r>
        <w:t>Index Adjustment Event</w:t>
      </w:r>
      <w:r w:rsidRPr="001D0E2F">
        <w:tab/>
        <w:t>:</w:t>
      </w:r>
      <w:r w:rsidRPr="001D0E2F">
        <w:tab/>
      </w:r>
      <w:r w:rsidRPr="00004755">
        <w:t>Means any of an Index Cancellation, Index Disruption or Index Modification.</w:t>
      </w:r>
    </w:p>
    <w:p w14:paraId="2E2081EF" w14:textId="77777777" w:rsidR="00004755" w:rsidRDefault="00004755" w:rsidP="00004755">
      <w:pPr>
        <w:tabs>
          <w:tab w:val="left" w:pos="2340"/>
        </w:tabs>
        <w:ind w:left="2880" w:hanging="2880"/>
        <w:jc w:val="both"/>
      </w:pPr>
    </w:p>
    <w:p w14:paraId="2BE16886" w14:textId="0671C2E2" w:rsidR="00004755" w:rsidRDefault="00004755" w:rsidP="00004755">
      <w:pPr>
        <w:tabs>
          <w:tab w:val="left" w:pos="2340"/>
        </w:tabs>
        <w:ind w:left="2880" w:hanging="2880"/>
        <w:jc w:val="both"/>
      </w:pPr>
      <w:r>
        <w:t xml:space="preserve">Index </w:t>
      </w:r>
      <w:r w:rsidRPr="00004755">
        <w:t>Cancellation</w:t>
      </w:r>
      <w:r w:rsidRPr="001D0E2F">
        <w:tab/>
        <w:t>:</w:t>
      </w:r>
      <w:r w:rsidRPr="001D0E2F">
        <w:tab/>
      </w:r>
      <w:r w:rsidRPr="00004755">
        <w:t xml:space="preserve">Means </w:t>
      </w:r>
      <w:r w:rsidR="00BF69E3" w:rsidRPr="00BF69E3">
        <w:t>the Index is permanently cancelled or the Index Sponsor announces its intention to permanently cancel the Index or that it will no longer calculate and announce the Index level and no Successor Index exists</w:t>
      </w:r>
      <w:r w:rsidRPr="00004755">
        <w:t>.</w:t>
      </w:r>
    </w:p>
    <w:p w14:paraId="4C60DE3B" w14:textId="77777777" w:rsidR="00004755" w:rsidRDefault="00004755" w:rsidP="00004755">
      <w:pPr>
        <w:tabs>
          <w:tab w:val="left" w:pos="2340"/>
        </w:tabs>
        <w:ind w:left="2880" w:hanging="2880"/>
        <w:jc w:val="both"/>
      </w:pPr>
    </w:p>
    <w:p w14:paraId="63063221" w14:textId="77777777" w:rsidR="00004755" w:rsidRPr="001D0E2F" w:rsidRDefault="00004755" w:rsidP="00004755">
      <w:pPr>
        <w:tabs>
          <w:tab w:val="left" w:pos="2340"/>
        </w:tabs>
        <w:ind w:left="2880" w:hanging="2880"/>
        <w:jc w:val="both"/>
      </w:pPr>
      <w:r w:rsidRPr="00004755">
        <w:t>Index Disruption</w:t>
      </w:r>
      <w:r w:rsidRPr="001D0E2F">
        <w:tab/>
        <w:t>:</w:t>
      </w:r>
      <w:r w:rsidRPr="001D0E2F">
        <w:tab/>
      </w:r>
      <w:r w:rsidRPr="00004755">
        <w:t>Means that the Index Sponsor fails to calculate and announce the Index level for a continuous period of at least 3 Commodity Business Days, provided that such failure is continuing on the relevant date on which</w:t>
      </w:r>
      <w:r>
        <w:t xml:space="preserve"> </w:t>
      </w:r>
      <w:r w:rsidRPr="00004755">
        <w:t>the Commodity Reference Price is to be determined in accordance with this Transaction.</w:t>
      </w:r>
    </w:p>
    <w:p w14:paraId="374C5B1B" w14:textId="77777777" w:rsidR="00004755" w:rsidRDefault="00004755" w:rsidP="00004755">
      <w:pPr>
        <w:tabs>
          <w:tab w:val="left" w:pos="2340"/>
        </w:tabs>
        <w:ind w:left="2880" w:hanging="2880"/>
        <w:jc w:val="both"/>
      </w:pPr>
    </w:p>
    <w:p w14:paraId="60C34582" w14:textId="76328A91" w:rsidR="00004755" w:rsidRDefault="00004755" w:rsidP="00004755">
      <w:pPr>
        <w:tabs>
          <w:tab w:val="left" w:pos="2340"/>
        </w:tabs>
        <w:ind w:left="2880" w:hanging="2880"/>
        <w:jc w:val="both"/>
      </w:pPr>
      <w:r>
        <w:t>Index Modification</w:t>
      </w:r>
      <w:r w:rsidRPr="001D0E2F">
        <w:tab/>
        <w:t>:</w:t>
      </w:r>
      <w:r w:rsidRPr="001D0E2F">
        <w:tab/>
      </w:r>
      <w:r w:rsidRPr="00004755">
        <w:t xml:space="preserve">Means </w:t>
      </w:r>
      <w:r w:rsidR="00BF69E3" w:rsidRPr="003E684C">
        <w:t>the Index Sponsor announces that it will make a material change in the formula for or method of calculating the Index or in any other way materially modifies the Index (other than a modification prescribed in that formula or method to maintain the Index in the event of changes in constituent Index Components, weightings and other routine events)</w:t>
      </w:r>
      <w:r w:rsidRPr="00004755">
        <w:t>.</w:t>
      </w:r>
    </w:p>
    <w:p w14:paraId="41E0F629" w14:textId="77777777" w:rsidR="00004755" w:rsidRDefault="00004755" w:rsidP="00004755">
      <w:pPr>
        <w:tabs>
          <w:tab w:val="left" w:pos="2340"/>
        </w:tabs>
        <w:ind w:left="2880" w:hanging="2880"/>
        <w:jc w:val="both"/>
      </w:pPr>
    </w:p>
    <w:p w14:paraId="3177AAFC" w14:textId="75FF697B" w:rsidR="00004755" w:rsidRDefault="00004755" w:rsidP="003E684C">
      <w:pPr>
        <w:tabs>
          <w:tab w:val="left" w:pos="2340"/>
        </w:tabs>
        <w:ind w:left="2880" w:hanging="2880"/>
        <w:jc w:val="both"/>
      </w:pPr>
      <w:r w:rsidRPr="003E684C">
        <w:t>Successor Index</w:t>
      </w:r>
      <w:r w:rsidRPr="001D0E2F">
        <w:tab/>
        <w:t>:</w:t>
      </w:r>
      <w:r w:rsidRPr="001D0E2F">
        <w:tab/>
      </w:r>
      <w:r w:rsidRPr="003E684C">
        <w:t>Means (i) any index as calculated and announced by a successor or replacement sponsor acceptable to the Calculation Agent, or (ii) a successor or replacement index using, in the determination of the Calculation Agent, the same or a substantially similar formula for and method of calculation as used in the calculation of the Index.</w:t>
      </w:r>
      <w:r w:rsidRPr="00004755">
        <w:t>.</w:t>
      </w:r>
    </w:p>
    <w:p w14:paraId="3FB0C9E0" w14:textId="77777777" w:rsidR="00004755" w:rsidRDefault="00004755" w:rsidP="00004755">
      <w:pPr>
        <w:tabs>
          <w:tab w:val="left" w:pos="2340"/>
          <w:tab w:val="left" w:pos="5400"/>
        </w:tabs>
        <w:jc w:val="both"/>
      </w:pPr>
    </w:p>
    <w:p w14:paraId="0019C090" w14:textId="77777777" w:rsidR="00004755" w:rsidRDefault="00004755" w:rsidP="00004755">
      <w:pPr>
        <w:tabs>
          <w:tab w:val="left" w:pos="2340"/>
        </w:tabs>
        <w:ind w:left="2880" w:hanging="2880"/>
        <w:jc w:val="both"/>
      </w:pPr>
    </w:p>
    <w:p w14:paraId="2CC8A2E8" w14:textId="6FAD8FC2" w:rsidR="00BF69E3" w:rsidRPr="00CE0D79" w:rsidRDefault="00BF69E3" w:rsidP="003E684C">
      <w:pPr>
        <w:pStyle w:val="ListParagraph"/>
        <w:numPr>
          <w:ilvl w:val="0"/>
          <w:numId w:val="40"/>
        </w:numPr>
        <w:tabs>
          <w:tab w:val="left" w:pos="2340"/>
          <w:tab w:val="left" w:pos="5400"/>
        </w:tabs>
        <w:jc w:val="both"/>
        <w:rPr>
          <w:b/>
          <w:sz w:val="20"/>
          <w:szCs w:val="20"/>
        </w:rPr>
      </w:pPr>
      <w:r>
        <w:rPr>
          <w:b/>
          <w:sz w:val="20"/>
          <w:szCs w:val="20"/>
        </w:rPr>
        <w:t>Consequences of an Index Adjustment Event</w:t>
      </w:r>
    </w:p>
    <w:p w14:paraId="5D12128D" w14:textId="2D913D3F" w:rsidR="00F0184A" w:rsidRPr="005F5960" w:rsidRDefault="00BF69E3" w:rsidP="003E684C">
      <w:pPr>
        <w:tabs>
          <w:tab w:val="left" w:pos="2340"/>
          <w:tab w:val="left" w:pos="5400"/>
        </w:tabs>
        <w:jc w:val="both"/>
      </w:pPr>
      <w:r w:rsidDel="00004755">
        <w:t xml:space="preserve"> </w:t>
      </w:r>
    </w:p>
    <w:p w14:paraId="60C7D2A9" w14:textId="526C82CB" w:rsidR="00BF69E3" w:rsidRDefault="00BF69E3" w:rsidP="003E684C">
      <w:pPr>
        <w:pStyle w:val="p5"/>
        <w:numPr>
          <w:ilvl w:val="0"/>
          <w:numId w:val="42"/>
        </w:numPr>
        <w:tabs>
          <w:tab w:val="left" w:pos="3600"/>
        </w:tabs>
        <w:ind w:left="450" w:hanging="450"/>
        <w:jc w:val="both"/>
        <w:rPr>
          <w:rFonts w:ascii="Arial" w:hAnsi="Arial" w:cs="Arial"/>
          <w:sz w:val="18"/>
          <w:szCs w:val="18"/>
        </w:rPr>
      </w:pPr>
      <w:r w:rsidRPr="003E684C">
        <w:rPr>
          <w:rFonts w:ascii="Arial" w:hAnsi="Arial" w:cs="Arial"/>
          <w:sz w:val="18"/>
          <w:szCs w:val="18"/>
        </w:rPr>
        <w:t xml:space="preserve">If, at any time on or after the Trade Date, either (i) an Index Cancellation occurs and there is no Successor Index, or (ii) an Index Disruption or (iii) an Index Modification occurs, then the Calculation Agent may at its option calculate the Commodity Reference Price using, in lieu of a published level for the Index, the level for the Index as at the relevant date as determined by the Calculation Agent in accordance with the formula for and method of calculating the Index last in effect prior to the relevant Index Adjustment Event, but taking account only of those Index Components that comprised the Index immediately prior to the relevant Index Adjustment Event and disregarding those Index Components that have ceased to be listed on any relevant exchange. </w:t>
      </w:r>
    </w:p>
    <w:p w14:paraId="27E28CD9" w14:textId="77777777" w:rsidR="00BF69E3" w:rsidRDefault="00BF69E3" w:rsidP="003E684C">
      <w:pPr>
        <w:pStyle w:val="p5"/>
        <w:tabs>
          <w:tab w:val="left" w:pos="3600"/>
        </w:tabs>
        <w:ind w:left="720"/>
        <w:jc w:val="both"/>
        <w:rPr>
          <w:rFonts w:ascii="Arial" w:hAnsi="Arial" w:cs="Arial"/>
          <w:sz w:val="18"/>
          <w:szCs w:val="18"/>
        </w:rPr>
      </w:pPr>
    </w:p>
    <w:p w14:paraId="7AE18B77" w14:textId="66986582" w:rsidR="00BF69E3" w:rsidRDefault="00BF69E3" w:rsidP="003E684C">
      <w:pPr>
        <w:pStyle w:val="p5"/>
        <w:numPr>
          <w:ilvl w:val="0"/>
          <w:numId w:val="42"/>
        </w:numPr>
        <w:tabs>
          <w:tab w:val="left" w:pos="3600"/>
        </w:tabs>
        <w:ind w:left="450" w:hanging="450"/>
        <w:jc w:val="both"/>
        <w:rPr>
          <w:rFonts w:ascii="Arial" w:hAnsi="Arial" w:cs="Arial"/>
          <w:sz w:val="18"/>
          <w:szCs w:val="18"/>
        </w:rPr>
      </w:pPr>
      <w:r w:rsidRPr="00BF69E3">
        <w:rPr>
          <w:rFonts w:ascii="Arial" w:hAnsi="Arial" w:cs="Arial"/>
          <w:sz w:val="18"/>
          <w:szCs w:val="18"/>
        </w:rPr>
        <w:t>if the Calculation Agent determines that it is impracticable or impossible to calculate the Commodity Reference Price in accordance with (a), Party A will give notice to Party B of its intention to terminate the Transaction in whole, but not in part.  The Transaction will be terminated following payment of the Cancellation Amount, determined in accordance with paragraph “Cancellation”, below</w:t>
      </w:r>
      <w:r>
        <w:rPr>
          <w:rFonts w:ascii="Arial" w:hAnsi="Arial" w:cs="Arial"/>
          <w:sz w:val="18"/>
          <w:szCs w:val="18"/>
        </w:rPr>
        <w:t>.</w:t>
      </w:r>
    </w:p>
    <w:p w14:paraId="7A54DE4F" w14:textId="77777777" w:rsidR="00BF69E3" w:rsidRDefault="00BF69E3" w:rsidP="003E684C">
      <w:pPr>
        <w:pStyle w:val="ListParagraph"/>
        <w:rPr>
          <w:rFonts w:cs="Arial"/>
          <w:szCs w:val="18"/>
        </w:rPr>
      </w:pPr>
    </w:p>
    <w:p w14:paraId="7F7B1319" w14:textId="4B5421E5" w:rsidR="00BF69E3" w:rsidRPr="003E684C" w:rsidRDefault="00BF69E3" w:rsidP="003E684C">
      <w:pPr>
        <w:pStyle w:val="p5"/>
        <w:numPr>
          <w:ilvl w:val="0"/>
          <w:numId w:val="42"/>
        </w:numPr>
        <w:tabs>
          <w:tab w:val="left" w:pos="3600"/>
        </w:tabs>
        <w:ind w:left="450" w:hanging="450"/>
        <w:jc w:val="both"/>
        <w:rPr>
          <w:rFonts w:ascii="Arial" w:hAnsi="Arial" w:cs="Arial"/>
          <w:sz w:val="18"/>
          <w:szCs w:val="18"/>
        </w:rPr>
      </w:pPr>
      <w:r w:rsidRPr="00BF69E3">
        <w:rPr>
          <w:rFonts w:ascii="Arial" w:hAnsi="Arial" w:cs="Arial"/>
          <w:sz w:val="18"/>
          <w:szCs w:val="18"/>
        </w:rPr>
        <w:t>If an Index Cancellation occurs and there is a Successor Index, the Successor Index shall be deemed to be the Index.</w:t>
      </w:r>
    </w:p>
    <w:p w14:paraId="1BA8C17D" w14:textId="77777777" w:rsidR="00BB3489" w:rsidRPr="005F5960" w:rsidRDefault="00BB3489" w:rsidP="00BB3489">
      <w:pPr>
        <w:jc w:val="both"/>
      </w:pPr>
    </w:p>
    <w:p w14:paraId="3AC106F8" w14:textId="77777777" w:rsidR="00BB3489" w:rsidRPr="005F5960" w:rsidRDefault="00BB3489" w:rsidP="00BB3489">
      <w:pPr>
        <w:tabs>
          <w:tab w:val="left" w:pos="2340"/>
          <w:tab w:val="left" w:pos="5400"/>
        </w:tabs>
        <w:jc w:val="both"/>
      </w:pPr>
    </w:p>
    <w:p w14:paraId="64DA50E9" w14:textId="4ACC707E" w:rsidR="002534B9" w:rsidRDefault="006C1469" w:rsidP="003E684C">
      <w:pPr>
        <w:tabs>
          <w:tab w:val="left" w:pos="2340"/>
          <w:tab w:val="left" w:pos="5400"/>
        </w:tabs>
        <w:jc w:val="both"/>
        <w:rPr>
          <w:b/>
          <w:sz w:val="20"/>
          <w:szCs w:val="20"/>
        </w:rPr>
      </w:pPr>
      <w:r w:rsidRPr="003E684C">
        <w:rPr>
          <w:b/>
          <w:sz w:val="20"/>
          <w:szCs w:val="20"/>
        </w:rPr>
        <w:t xml:space="preserve">ADDITIONAL </w:t>
      </w:r>
      <w:r w:rsidR="00BF69E3" w:rsidRPr="003E684C">
        <w:rPr>
          <w:b/>
          <w:sz w:val="20"/>
          <w:szCs w:val="20"/>
        </w:rPr>
        <w:t xml:space="preserve">MARKET </w:t>
      </w:r>
      <w:r w:rsidRPr="003E684C">
        <w:rPr>
          <w:b/>
          <w:sz w:val="20"/>
          <w:szCs w:val="20"/>
        </w:rPr>
        <w:t>DISRUPTION EVENTS</w:t>
      </w:r>
      <w:r w:rsidR="00BF69E3" w:rsidRPr="003E684C">
        <w:rPr>
          <w:b/>
          <w:sz w:val="20"/>
          <w:szCs w:val="20"/>
        </w:rPr>
        <w:t xml:space="preserve"> </w:t>
      </w:r>
      <w:r w:rsidR="00BF69E3" w:rsidRPr="00185AD8">
        <w:rPr>
          <w:b/>
          <w:sz w:val="20"/>
          <w:szCs w:val="20"/>
        </w:rPr>
        <w:t>AND CONSEQUENCES THEREOF</w:t>
      </w:r>
    </w:p>
    <w:p w14:paraId="200472BC" w14:textId="3956C0B1" w:rsidR="00BF69E3" w:rsidRDefault="00BF69E3" w:rsidP="002534B9">
      <w:pPr>
        <w:outlineLvl w:val="0"/>
        <w:rPr>
          <w:b/>
          <w:sz w:val="20"/>
          <w:szCs w:val="20"/>
        </w:rPr>
      </w:pPr>
    </w:p>
    <w:p w14:paraId="502B0A8F" w14:textId="1FD359E9" w:rsidR="00BF69E3" w:rsidRPr="003E684C" w:rsidRDefault="00BF69E3" w:rsidP="003E684C">
      <w:pPr>
        <w:pStyle w:val="ListParagraph"/>
        <w:numPr>
          <w:ilvl w:val="0"/>
          <w:numId w:val="43"/>
        </w:numPr>
        <w:tabs>
          <w:tab w:val="left" w:pos="2340"/>
          <w:tab w:val="left" w:pos="5400"/>
        </w:tabs>
        <w:jc w:val="both"/>
        <w:rPr>
          <w:rFonts w:ascii="Arial Bold" w:hAnsi="Arial Bold"/>
          <w:b/>
          <w:sz w:val="19"/>
          <w:szCs w:val="19"/>
          <w:u w:val="single"/>
        </w:rPr>
      </w:pPr>
      <w:r w:rsidRPr="00BF69E3">
        <w:rPr>
          <w:b/>
          <w:sz w:val="20"/>
          <w:szCs w:val="20"/>
        </w:rPr>
        <w:t>Additional Market Disruption Events</w:t>
      </w:r>
    </w:p>
    <w:p w14:paraId="1800C2D8" w14:textId="7E49C5BC" w:rsidR="00BF69E3" w:rsidRDefault="00BF69E3" w:rsidP="00BF69E3">
      <w:pPr>
        <w:spacing w:before="227" w:line="230" w:lineRule="exact"/>
        <w:ind w:right="72"/>
        <w:jc w:val="both"/>
        <w:textAlignment w:val="baseline"/>
        <w:rPr>
          <w:rFonts w:eastAsia="Times New Roman"/>
          <w:color w:val="000000"/>
          <w:spacing w:val="2"/>
          <w:szCs w:val="18"/>
        </w:rPr>
      </w:pPr>
      <w:r w:rsidRPr="00CE0D79">
        <w:rPr>
          <w:rFonts w:eastAsia="Times New Roman"/>
          <w:color w:val="000000"/>
          <w:spacing w:val="2"/>
          <w:szCs w:val="18"/>
        </w:rPr>
        <w:t xml:space="preserve">The occurrence </w:t>
      </w:r>
      <w:r w:rsidR="00185AD8">
        <w:rPr>
          <w:rFonts w:eastAsia="Times New Roman"/>
          <w:color w:val="000000"/>
          <w:spacing w:val="2"/>
          <w:szCs w:val="18"/>
        </w:rPr>
        <w:t xml:space="preserve">of </w:t>
      </w:r>
      <w:r w:rsidR="00185AD8" w:rsidRPr="00185AD8">
        <w:rPr>
          <w:rFonts w:eastAsia="Times New Roman"/>
          <w:color w:val="000000"/>
          <w:spacing w:val="2"/>
          <w:szCs w:val="18"/>
        </w:rPr>
        <w:t xml:space="preserve">either a “Change in Law ” or “Hedging Disruption” shall constitute an Additional Market Disruption Event.   </w:t>
      </w:r>
    </w:p>
    <w:p w14:paraId="4A4364ED" w14:textId="77777777" w:rsidR="003E684C" w:rsidRPr="003E684C" w:rsidRDefault="003E684C" w:rsidP="003E684C">
      <w:pPr>
        <w:pStyle w:val="Def1"/>
        <w:numPr>
          <w:ilvl w:val="0"/>
          <w:numId w:val="0"/>
        </w:numPr>
        <w:spacing w:line="240" w:lineRule="auto"/>
        <w:rPr>
          <w:rFonts w:ascii="Arial" w:hAnsi="Arial" w:cs="Arial"/>
          <w:sz w:val="18"/>
          <w:szCs w:val="18"/>
        </w:rPr>
      </w:pPr>
      <w:r w:rsidRPr="003E684C">
        <w:rPr>
          <w:rFonts w:ascii="Arial" w:hAnsi="Arial" w:cs="Arial"/>
          <w:sz w:val="18"/>
          <w:szCs w:val="18"/>
        </w:rPr>
        <w:t xml:space="preserve">A </w:t>
      </w:r>
      <w:r w:rsidRPr="003E684C">
        <w:rPr>
          <w:rFonts w:ascii="Arial" w:hAnsi="Arial" w:cs="Arial"/>
          <w:b/>
          <w:sz w:val="18"/>
          <w:szCs w:val="18"/>
        </w:rPr>
        <w:t>“Change in Law Event”</w:t>
      </w:r>
      <w:r w:rsidRPr="003E684C">
        <w:rPr>
          <w:rFonts w:ascii="Arial" w:hAnsi="Arial" w:cs="Arial"/>
          <w:sz w:val="18"/>
          <w:szCs w:val="18"/>
        </w:rPr>
        <w:t xml:space="preserve"> means that, on or after the Trade Date (a) due to the adoption of or any change in any applicable law or regulation (including, without limitation, in respect of any tax law, solvency or capital requirements), or (b) due to the promulgation of or any change in the interpretation by any court, tribunal or regulatory authority with competent jurisdiction of any applicable law or regulation (including any action taken by a taxing or financial authority) or the combined effect thereof if occurring more than once, the Calculation Agent determines in its sole and absolute discretion that:</w:t>
      </w:r>
    </w:p>
    <w:p w14:paraId="1683B6CF" w14:textId="77777777" w:rsidR="003E684C" w:rsidRPr="003E684C" w:rsidRDefault="003E684C" w:rsidP="003E684C">
      <w:pPr>
        <w:pStyle w:val="Def3"/>
        <w:numPr>
          <w:ilvl w:val="2"/>
          <w:numId w:val="49"/>
        </w:numPr>
        <w:spacing w:line="240" w:lineRule="auto"/>
        <w:ind w:left="1440" w:hanging="720"/>
        <w:rPr>
          <w:rFonts w:ascii="Arial" w:hAnsi="Arial" w:cs="Arial"/>
          <w:sz w:val="18"/>
          <w:szCs w:val="18"/>
        </w:rPr>
      </w:pPr>
      <w:r w:rsidRPr="003E684C">
        <w:rPr>
          <w:rFonts w:ascii="Arial" w:hAnsi="Arial" w:cs="Arial"/>
          <w:sz w:val="18"/>
          <w:szCs w:val="18"/>
        </w:rPr>
        <w:t>it has become illegal for it or any of its Affiliates to hold, acquire or dispose of any relevant Hedge Position; or</w:t>
      </w:r>
    </w:p>
    <w:p w14:paraId="5608ED74" w14:textId="77777777" w:rsidR="003E684C" w:rsidRPr="003E684C" w:rsidRDefault="003E684C" w:rsidP="003E684C">
      <w:pPr>
        <w:pStyle w:val="Def3"/>
        <w:numPr>
          <w:ilvl w:val="2"/>
          <w:numId w:val="49"/>
        </w:numPr>
        <w:spacing w:line="240" w:lineRule="auto"/>
        <w:ind w:left="1440" w:hanging="720"/>
        <w:rPr>
          <w:rFonts w:ascii="Arial" w:hAnsi="Arial" w:cs="Arial"/>
          <w:sz w:val="18"/>
          <w:szCs w:val="18"/>
        </w:rPr>
      </w:pPr>
      <w:r w:rsidRPr="003E684C">
        <w:rPr>
          <w:rFonts w:ascii="Arial" w:hAnsi="Arial" w:cs="Arial"/>
          <w:sz w:val="18"/>
          <w:szCs w:val="18"/>
        </w:rPr>
        <w:lastRenderedPageBreak/>
        <w:t>it or any of its Affiliates would incur a materially increased cost (including, without limitation, in respect of any tax, solvency or capital requirements) in maintaining the Transaction or in holding, acquiring or disposing of any Hedge Position.</w:t>
      </w:r>
    </w:p>
    <w:p w14:paraId="10D708EF" w14:textId="2E551E35" w:rsidR="003E684C" w:rsidRPr="003E684C" w:rsidRDefault="003E684C" w:rsidP="003E684C">
      <w:pPr>
        <w:pStyle w:val="Def1"/>
        <w:numPr>
          <w:ilvl w:val="0"/>
          <w:numId w:val="0"/>
        </w:numPr>
        <w:rPr>
          <w:rFonts w:ascii="Arial" w:hAnsi="Arial" w:cs="Arial"/>
          <w:sz w:val="18"/>
          <w:szCs w:val="18"/>
        </w:rPr>
      </w:pPr>
      <w:r w:rsidRPr="003E684C">
        <w:rPr>
          <w:rFonts w:ascii="Arial" w:hAnsi="Arial" w:cs="Arial"/>
          <w:sz w:val="18"/>
          <w:szCs w:val="18"/>
        </w:rPr>
        <w:t>A "</w:t>
      </w:r>
      <w:r w:rsidRPr="003E684C">
        <w:rPr>
          <w:rFonts w:ascii="Arial" w:hAnsi="Arial" w:cs="Arial"/>
          <w:b/>
          <w:sz w:val="18"/>
          <w:szCs w:val="18"/>
        </w:rPr>
        <w:t>Hedging Disruption Event</w:t>
      </w:r>
      <w:r w:rsidRPr="003E684C">
        <w:rPr>
          <w:rFonts w:ascii="Arial" w:hAnsi="Arial" w:cs="Arial"/>
          <w:sz w:val="18"/>
          <w:szCs w:val="18"/>
        </w:rPr>
        <w:t>" shall be deemed to have occurred if Party A and/or any of its Affiliates is unable, after using commercially reasonable efforts, to (A) acquire, establish, re-establish, substitute, maintain, unwind or dispose of any transaction(s) or asset(s) or any futures or options contract(s) it deems necessary to hedge the commodity price risk or any other relevant price risk of performing its obligations with respect to the Transaction, or (B) freely realise, recover, remit, receive, repatriate or transfer the proceeds of any such transaction(s) or asset(s) or any futures or options contract(s) or any relevant Hedge Position.</w:t>
      </w:r>
    </w:p>
    <w:p w14:paraId="247E6509" w14:textId="77777777" w:rsidR="003E684C" w:rsidRPr="003E684C" w:rsidRDefault="003E684C" w:rsidP="003E684C">
      <w:pPr>
        <w:pStyle w:val="Def1"/>
        <w:numPr>
          <w:ilvl w:val="0"/>
          <w:numId w:val="0"/>
        </w:numPr>
        <w:tabs>
          <w:tab w:val="left" w:pos="2880"/>
        </w:tabs>
        <w:rPr>
          <w:rFonts w:ascii="Arial" w:hAnsi="Arial" w:cs="Arial"/>
          <w:sz w:val="18"/>
          <w:szCs w:val="18"/>
        </w:rPr>
      </w:pPr>
      <w:r w:rsidRPr="003E684C">
        <w:rPr>
          <w:rFonts w:ascii="Arial" w:hAnsi="Arial" w:cs="Arial"/>
          <w:sz w:val="18"/>
          <w:szCs w:val="18"/>
        </w:rPr>
        <w:t>“</w:t>
      </w:r>
      <w:r w:rsidRPr="003E684C">
        <w:rPr>
          <w:rFonts w:ascii="Arial" w:hAnsi="Arial" w:cs="Arial"/>
          <w:b/>
          <w:sz w:val="18"/>
          <w:szCs w:val="18"/>
        </w:rPr>
        <w:t>Hedge Position(s)”</w:t>
      </w:r>
      <w:r w:rsidRPr="003E684C">
        <w:rPr>
          <w:rFonts w:ascii="Arial" w:hAnsi="Arial" w:cs="Arial"/>
          <w:sz w:val="18"/>
          <w:szCs w:val="18"/>
        </w:rPr>
        <w:t xml:space="preserve"> means any purchase, sale, entry into or maintenance of one or more positions or contracts in commodities, options, futures, derivatives or foreign exchange or other instruments or arrangements (howsoever described) in order to hedge, in a manner acceptable to the relevant party individually or on a portfolio basis or otherwise, this Transaction.</w:t>
      </w:r>
    </w:p>
    <w:p w14:paraId="55B0E44E" w14:textId="40CDAFDE" w:rsidR="008B502B" w:rsidRPr="005F5960" w:rsidRDefault="008B502B" w:rsidP="00185AD8">
      <w:pPr>
        <w:tabs>
          <w:tab w:val="left" w:pos="1440"/>
          <w:tab w:val="left" w:pos="2340"/>
          <w:tab w:val="left" w:pos="2880"/>
        </w:tabs>
        <w:jc w:val="both"/>
      </w:pPr>
    </w:p>
    <w:p w14:paraId="4FA2D377" w14:textId="0A2CFF56" w:rsidR="008B502B" w:rsidRPr="005F5960" w:rsidRDefault="008B502B" w:rsidP="003E684C">
      <w:pPr>
        <w:pStyle w:val="ListParagraph"/>
        <w:numPr>
          <w:ilvl w:val="0"/>
          <w:numId w:val="43"/>
        </w:numPr>
        <w:tabs>
          <w:tab w:val="left" w:pos="1440"/>
          <w:tab w:val="left" w:pos="2340"/>
          <w:tab w:val="left" w:pos="2880"/>
        </w:tabs>
        <w:jc w:val="both"/>
      </w:pPr>
      <w:r w:rsidRPr="00185AD8">
        <w:rPr>
          <w:b/>
        </w:rPr>
        <w:t>Consequences of Additional Disruption Events</w:t>
      </w:r>
    </w:p>
    <w:p w14:paraId="598AC312" w14:textId="77777777" w:rsidR="00347AF6" w:rsidRPr="005F5960" w:rsidRDefault="00347AF6" w:rsidP="008B502B">
      <w:pPr>
        <w:tabs>
          <w:tab w:val="left" w:pos="1440"/>
          <w:tab w:val="left" w:pos="2340"/>
          <w:tab w:val="left" w:pos="2880"/>
        </w:tabs>
        <w:jc w:val="both"/>
        <w:rPr>
          <w:lang w:eastAsia="ko-KR"/>
        </w:rPr>
      </w:pPr>
    </w:p>
    <w:p w14:paraId="58B3E087" w14:textId="77777777" w:rsidR="00185AD8" w:rsidRPr="00185AD8" w:rsidRDefault="00185AD8" w:rsidP="00185AD8">
      <w:pPr>
        <w:pStyle w:val="p5"/>
        <w:tabs>
          <w:tab w:val="left" w:pos="3600"/>
        </w:tabs>
        <w:jc w:val="both"/>
        <w:rPr>
          <w:rFonts w:ascii="Arial" w:hAnsi="Arial" w:cs="Arial"/>
          <w:sz w:val="18"/>
          <w:szCs w:val="18"/>
        </w:rPr>
      </w:pPr>
      <w:r w:rsidRPr="00185AD8">
        <w:rPr>
          <w:rFonts w:ascii="Arial" w:hAnsi="Arial" w:cs="Arial"/>
          <w:sz w:val="18"/>
          <w:szCs w:val="18"/>
        </w:rPr>
        <w:t>If Party A determines that an Additional Market Disruption Event has occurred, it will give notice to Party B of its intention to terminate the Transaction in whole, but not in part.  The Transaction will be terminated following payment of the Cancellation Amount, determined in accordance with paragraph “</w:t>
      </w:r>
      <w:r w:rsidRPr="00185AD8">
        <w:rPr>
          <w:rFonts w:ascii="Arial" w:hAnsi="Arial" w:cs="Arial"/>
          <w:i/>
          <w:sz w:val="18"/>
          <w:szCs w:val="18"/>
        </w:rPr>
        <w:t>Cancellation”</w:t>
      </w:r>
      <w:r w:rsidRPr="00185AD8">
        <w:rPr>
          <w:rFonts w:ascii="Arial" w:hAnsi="Arial" w:cs="Arial"/>
          <w:sz w:val="18"/>
          <w:szCs w:val="18"/>
        </w:rPr>
        <w:t xml:space="preserve"> below.</w:t>
      </w:r>
    </w:p>
    <w:p w14:paraId="1EBBF37C" w14:textId="299B0138" w:rsidR="00560A97" w:rsidRPr="005F5960" w:rsidRDefault="00560A97" w:rsidP="00A05A82">
      <w:pPr>
        <w:tabs>
          <w:tab w:val="left" w:pos="2340"/>
          <w:tab w:val="left" w:pos="5400"/>
        </w:tabs>
        <w:jc w:val="both"/>
        <w:rPr>
          <w:i/>
          <w:lang w:eastAsia="ko-KR"/>
        </w:rPr>
      </w:pPr>
    </w:p>
    <w:p w14:paraId="4BC2BAD3" w14:textId="77777777" w:rsidR="00185AD8" w:rsidRPr="005F5960" w:rsidRDefault="00185AD8" w:rsidP="00185AD8">
      <w:pPr>
        <w:tabs>
          <w:tab w:val="left" w:pos="1440"/>
          <w:tab w:val="left" w:pos="2340"/>
          <w:tab w:val="left" w:pos="2880"/>
        </w:tabs>
        <w:ind w:left="3600" w:hanging="3600"/>
        <w:jc w:val="both"/>
      </w:pPr>
      <w:r w:rsidRPr="005F5960">
        <w:t>Hedging Party</w:t>
      </w:r>
      <w:r w:rsidRPr="005F5960">
        <w:tab/>
      </w:r>
      <w:r w:rsidRPr="005F5960">
        <w:tab/>
        <w:t>:</w:t>
      </w:r>
      <w:r w:rsidRPr="005F5960">
        <w:tab/>
        <w:t xml:space="preserve">BNP Paribas or any of its </w:t>
      </w:r>
      <w:r>
        <w:t>A</w:t>
      </w:r>
      <w:r w:rsidRPr="005F5960">
        <w:t>ffiliates</w:t>
      </w:r>
      <w:r>
        <w:t xml:space="preserve"> </w:t>
      </w:r>
      <w:r w:rsidRPr="005F5960">
        <w:t xml:space="preserve"> </w:t>
      </w:r>
    </w:p>
    <w:p w14:paraId="088607A6" w14:textId="77777777" w:rsidR="00185AD8" w:rsidRPr="005F5960" w:rsidRDefault="00185AD8" w:rsidP="00185AD8">
      <w:pPr>
        <w:tabs>
          <w:tab w:val="left" w:pos="1440"/>
          <w:tab w:val="left" w:pos="2340"/>
          <w:tab w:val="left" w:pos="2880"/>
        </w:tabs>
        <w:ind w:left="3600" w:hanging="3600"/>
        <w:jc w:val="both"/>
      </w:pPr>
    </w:p>
    <w:p w14:paraId="18E01A5D" w14:textId="77777777" w:rsidR="00185AD8" w:rsidRPr="005F5960" w:rsidRDefault="00185AD8" w:rsidP="00185AD8">
      <w:pPr>
        <w:tabs>
          <w:tab w:val="left" w:pos="1440"/>
          <w:tab w:val="left" w:pos="2340"/>
          <w:tab w:val="left" w:pos="2880"/>
        </w:tabs>
        <w:ind w:left="2880" w:hanging="2880"/>
        <w:jc w:val="both"/>
      </w:pPr>
      <w:r w:rsidRPr="005F5960">
        <w:t>Determining Party</w:t>
      </w:r>
      <w:r w:rsidRPr="005F5960">
        <w:tab/>
        <w:t>:</w:t>
      </w:r>
      <w:r w:rsidRPr="005F5960">
        <w:tab/>
      </w:r>
      <w:r w:rsidRPr="00E07C52">
        <w:rPr>
          <w:lang w:val="en-US"/>
        </w:rPr>
        <w:t>BNP</w:t>
      </w:r>
      <w:r w:rsidRPr="005F5960">
        <w:t xml:space="preserve"> Paribas or any of its </w:t>
      </w:r>
      <w:r>
        <w:t>A</w:t>
      </w:r>
      <w:r w:rsidRPr="005F5960">
        <w:t>ffiliates</w:t>
      </w:r>
      <w:r>
        <w:t xml:space="preserve">, </w:t>
      </w:r>
      <w:r w:rsidRPr="00D33FA4">
        <w:t>provided</w:t>
      </w:r>
      <w:r>
        <w:t xml:space="preserve"> that if</w:t>
      </w:r>
      <w:r>
        <w:rPr>
          <w:lang w:val="en-US"/>
        </w:rPr>
        <w:t xml:space="preserve"> any party disagrees in good faith made by the </w:t>
      </w:r>
      <w:r w:rsidRPr="005F5960">
        <w:t>Determining</w:t>
      </w:r>
      <w:r w:rsidRPr="005F5960">
        <w:rPr>
          <w:lang w:val="en-US"/>
        </w:rPr>
        <w:t xml:space="preserve"> </w:t>
      </w:r>
      <w:r>
        <w:rPr>
          <w:lang w:val="en-US"/>
        </w:rPr>
        <w:t>Par</w:t>
      </w:r>
      <w:r w:rsidRPr="005F5960">
        <w:rPr>
          <w:lang w:val="en-US"/>
        </w:rPr>
        <w:t>t</w:t>
      </w:r>
      <w:r>
        <w:rPr>
          <w:lang w:val="en-US"/>
        </w:rPr>
        <w:t xml:space="preserve">y, then </w:t>
      </w:r>
      <w:r w:rsidRPr="005F5960">
        <w:rPr>
          <w:lang w:val="en-US"/>
        </w:rPr>
        <w:t>an independent</w:t>
      </w:r>
      <w:r>
        <w:rPr>
          <w:lang w:val="en-US"/>
        </w:rPr>
        <w:t xml:space="preserve"> leading</w:t>
      </w:r>
      <w:r w:rsidRPr="005F5960">
        <w:rPr>
          <w:lang w:val="en-US"/>
        </w:rPr>
        <w:t xml:space="preserve"> dealer </w:t>
      </w:r>
      <w:r>
        <w:rPr>
          <w:lang w:val="en-US"/>
        </w:rPr>
        <w:t>in the relevant market</w:t>
      </w:r>
      <w:r w:rsidRPr="0056492E">
        <w:rPr>
          <w:lang w:val="en-US"/>
        </w:rPr>
        <w:t xml:space="preserve"> </w:t>
      </w:r>
      <w:r>
        <w:rPr>
          <w:lang w:val="en-US"/>
        </w:rPr>
        <w:t xml:space="preserve">shall be appointed as a substitute </w:t>
      </w:r>
      <w:r w:rsidRPr="005F5960">
        <w:t>Determining</w:t>
      </w:r>
      <w:r w:rsidRPr="005F5960">
        <w:rPr>
          <w:lang w:val="en-US"/>
        </w:rPr>
        <w:t xml:space="preserve"> </w:t>
      </w:r>
      <w:r>
        <w:rPr>
          <w:lang w:val="en-US"/>
        </w:rPr>
        <w:t>Par</w:t>
      </w:r>
      <w:r w:rsidRPr="005F5960">
        <w:rPr>
          <w:lang w:val="en-US"/>
        </w:rPr>
        <w:t>t</w:t>
      </w:r>
      <w:r>
        <w:rPr>
          <w:lang w:val="en-US"/>
        </w:rPr>
        <w:t xml:space="preserve">y (“Substitute </w:t>
      </w:r>
      <w:r w:rsidRPr="005F5960">
        <w:t>Determining</w:t>
      </w:r>
      <w:r w:rsidRPr="005F5960">
        <w:rPr>
          <w:lang w:val="en-US"/>
        </w:rPr>
        <w:t xml:space="preserve"> </w:t>
      </w:r>
      <w:r>
        <w:rPr>
          <w:lang w:val="en-US"/>
        </w:rPr>
        <w:t>Par</w:t>
      </w:r>
      <w:r w:rsidRPr="005F5960">
        <w:rPr>
          <w:lang w:val="en-US"/>
        </w:rPr>
        <w:t>t</w:t>
      </w:r>
      <w:r>
        <w:rPr>
          <w:lang w:val="en-US"/>
        </w:rPr>
        <w:t xml:space="preserve">y”) in accordance with the process as set forth in the </w:t>
      </w:r>
      <w:r w:rsidRPr="00D33FA4">
        <w:rPr>
          <w:rFonts w:hint="eastAsia"/>
          <w:lang w:val="en-US"/>
        </w:rPr>
        <w:t>sec</w:t>
      </w:r>
      <w:r>
        <w:rPr>
          <w:lang w:val="en-US"/>
        </w:rPr>
        <w:t>ond paragraph of the “</w:t>
      </w:r>
      <w:r w:rsidRPr="005F5960">
        <w:rPr>
          <w:lang w:val="en-US"/>
        </w:rPr>
        <w:t>Calculation Agent</w:t>
      </w:r>
      <w:r>
        <w:rPr>
          <w:lang w:val="en-US"/>
        </w:rPr>
        <w:t xml:space="preserve">” provision as if the </w:t>
      </w:r>
      <w:r w:rsidRPr="005F5960">
        <w:t>Determining</w:t>
      </w:r>
      <w:r w:rsidRPr="005F5960">
        <w:rPr>
          <w:lang w:val="en-US"/>
        </w:rPr>
        <w:t xml:space="preserve"> </w:t>
      </w:r>
      <w:r>
        <w:rPr>
          <w:lang w:val="en-US"/>
        </w:rPr>
        <w:t>Par</w:t>
      </w:r>
      <w:r w:rsidRPr="005F5960">
        <w:rPr>
          <w:lang w:val="en-US"/>
        </w:rPr>
        <w:t>t</w:t>
      </w:r>
      <w:r>
        <w:rPr>
          <w:lang w:val="en-US"/>
        </w:rPr>
        <w:t>y were the</w:t>
      </w:r>
      <w:r w:rsidRPr="00D33FA4">
        <w:rPr>
          <w:lang w:val="en-US"/>
        </w:rPr>
        <w:t xml:space="preserve"> </w:t>
      </w:r>
      <w:r w:rsidRPr="005F5960">
        <w:rPr>
          <w:lang w:val="en-US"/>
        </w:rPr>
        <w:t>Calculation Agent</w:t>
      </w:r>
      <w:r>
        <w:rPr>
          <w:lang w:val="en-US"/>
        </w:rPr>
        <w:t xml:space="preserve">. Any fees and </w:t>
      </w:r>
      <w:r w:rsidRPr="001B4282">
        <w:rPr>
          <w:lang w:val="en-US"/>
        </w:rPr>
        <w:t xml:space="preserve">expenses (if any) </w:t>
      </w:r>
      <w:r>
        <w:rPr>
          <w:lang w:val="en-US"/>
        </w:rPr>
        <w:t>in connection with such</w:t>
      </w:r>
      <w:r w:rsidRPr="0056492E">
        <w:rPr>
          <w:lang w:val="en-US"/>
        </w:rPr>
        <w:t xml:space="preserve"> </w:t>
      </w:r>
      <w:r>
        <w:rPr>
          <w:lang w:val="en-US"/>
        </w:rPr>
        <w:t xml:space="preserve">Substitute </w:t>
      </w:r>
      <w:r w:rsidRPr="005F5960">
        <w:t>Determining</w:t>
      </w:r>
      <w:r w:rsidRPr="005F5960">
        <w:rPr>
          <w:lang w:val="en-US"/>
        </w:rPr>
        <w:t xml:space="preserve"> </w:t>
      </w:r>
      <w:r>
        <w:rPr>
          <w:lang w:val="en-US"/>
        </w:rPr>
        <w:t>Par</w:t>
      </w:r>
      <w:r w:rsidRPr="005F5960">
        <w:rPr>
          <w:lang w:val="en-US"/>
        </w:rPr>
        <w:t>t</w:t>
      </w:r>
      <w:r>
        <w:rPr>
          <w:lang w:val="en-US"/>
        </w:rPr>
        <w:t xml:space="preserve">y shall be equally met by both parties. </w:t>
      </w:r>
    </w:p>
    <w:p w14:paraId="349769C7" w14:textId="77777777" w:rsidR="002534B9" w:rsidRPr="005F5960" w:rsidRDefault="002534B9" w:rsidP="00FF0172">
      <w:pPr>
        <w:tabs>
          <w:tab w:val="left" w:pos="0"/>
          <w:tab w:val="left" w:pos="2340"/>
        </w:tabs>
        <w:ind w:left="2880" w:hanging="2880"/>
        <w:jc w:val="both"/>
        <w:rPr>
          <w:lang w:eastAsia="ko-KR"/>
        </w:rPr>
      </w:pPr>
    </w:p>
    <w:p w14:paraId="4AD5C8DE" w14:textId="41B2396C" w:rsidR="00185AD8" w:rsidRPr="00185AD8" w:rsidRDefault="00185AD8" w:rsidP="00185AD8">
      <w:pPr>
        <w:tabs>
          <w:tab w:val="left" w:pos="2340"/>
          <w:tab w:val="left" w:pos="5400"/>
        </w:tabs>
        <w:jc w:val="both"/>
        <w:rPr>
          <w:b/>
          <w:sz w:val="20"/>
          <w:szCs w:val="20"/>
        </w:rPr>
      </w:pPr>
      <w:r>
        <w:rPr>
          <w:b/>
          <w:sz w:val="20"/>
          <w:szCs w:val="20"/>
        </w:rPr>
        <w:t>CANCELLATION</w:t>
      </w:r>
    </w:p>
    <w:p w14:paraId="1C67CD27" w14:textId="77777777" w:rsidR="00185AD8" w:rsidRPr="003E684C" w:rsidRDefault="00185AD8" w:rsidP="00185AD8">
      <w:pPr>
        <w:keepNext/>
        <w:keepLines/>
        <w:autoSpaceDE w:val="0"/>
        <w:autoSpaceDN w:val="0"/>
        <w:adjustRightInd w:val="0"/>
        <w:jc w:val="both"/>
        <w:rPr>
          <w:rFonts w:eastAsia="Times New Roman" w:cs="Arial"/>
          <w:szCs w:val="18"/>
          <w:lang w:eastAsia="en-US"/>
        </w:rPr>
      </w:pPr>
      <w:r w:rsidRPr="003E684C">
        <w:rPr>
          <w:rFonts w:eastAsia="Times New Roman" w:cs="Arial"/>
          <w:szCs w:val="18"/>
          <w:lang w:eastAsia="en-US"/>
        </w:rPr>
        <w:t>If either (a) an Index Adjustment Event whose consequence is that Party A decides to terminate the Transaction, or (b) an Additional Market Disruption Event, each as determined by the Calculation Agent in good faith, has occurred on or after the Trade Date of this Transaction and is continuing, Party A may, by not less than 2 Business Days notice to Party B (or such lesser notice as may be required by any governmental, judicial, regulatory or tax authority), designate a day not earlier than the day such notice is effective and which is a London Business Day as the cancellation date (the “</w:t>
      </w:r>
      <w:r w:rsidRPr="003E684C">
        <w:rPr>
          <w:rFonts w:eastAsia="Times New Roman" w:cs="Arial"/>
          <w:b/>
          <w:szCs w:val="18"/>
          <w:lang w:eastAsia="en-US"/>
        </w:rPr>
        <w:t>Cancellation Date</w:t>
      </w:r>
      <w:r w:rsidRPr="003E684C">
        <w:rPr>
          <w:rFonts w:eastAsia="Times New Roman" w:cs="Arial"/>
          <w:szCs w:val="18"/>
          <w:lang w:eastAsia="en-US"/>
        </w:rPr>
        <w:t xml:space="preserve">”) in respect of the whole (but not part only) of this Transaction.  On or as soon as reasonably practicable after the Cancellation Date, the Calculation Agent shall determine the Cancellation Amount.  The Cancellation Amount shall be paid by the party which the Calculation Agent determines owes the Cancellation Amount to the other party on the second Business Day following such notification.  </w:t>
      </w:r>
    </w:p>
    <w:p w14:paraId="55360F0F" w14:textId="77777777" w:rsidR="00185AD8" w:rsidRPr="003E684C" w:rsidRDefault="00185AD8" w:rsidP="00185AD8">
      <w:pPr>
        <w:keepNext/>
        <w:keepLines/>
        <w:autoSpaceDE w:val="0"/>
        <w:autoSpaceDN w:val="0"/>
        <w:adjustRightInd w:val="0"/>
        <w:jc w:val="both"/>
        <w:rPr>
          <w:rFonts w:eastAsia="Times New Roman" w:cs="Arial"/>
          <w:szCs w:val="18"/>
          <w:lang w:eastAsia="en-US"/>
        </w:rPr>
      </w:pPr>
    </w:p>
    <w:p w14:paraId="15EC8DA4" w14:textId="77777777" w:rsidR="00185AD8" w:rsidRPr="003E684C" w:rsidRDefault="00185AD8" w:rsidP="00185AD8">
      <w:pPr>
        <w:autoSpaceDE w:val="0"/>
        <w:autoSpaceDN w:val="0"/>
        <w:adjustRightInd w:val="0"/>
        <w:jc w:val="both"/>
        <w:rPr>
          <w:rFonts w:eastAsia="Times New Roman" w:cs="Arial"/>
          <w:i/>
          <w:szCs w:val="18"/>
          <w:lang w:eastAsia="en-US"/>
        </w:rPr>
      </w:pPr>
      <w:r w:rsidRPr="003E684C">
        <w:rPr>
          <w:rFonts w:eastAsia="Times New Roman" w:cs="Arial"/>
          <w:szCs w:val="18"/>
          <w:lang w:eastAsia="en-US"/>
        </w:rPr>
        <w:t>“</w:t>
      </w:r>
      <w:r w:rsidRPr="003E684C">
        <w:rPr>
          <w:rFonts w:eastAsia="Times New Roman" w:cs="Arial"/>
          <w:b/>
          <w:szCs w:val="18"/>
          <w:lang w:eastAsia="en-US"/>
        </w:rPr>
        <w:t>Cancellation Amount</w:t>
      </w:r>
      <w:r w:rsidRPr="003E684C">
        <w:rPr>
          <w:rFonts w:eastAsia="Times New Roman" w:cs="Arial"/>
          <w:szCs w:val="18"/>
          <w:lang w:eastAsia="en-US"/>
        </w:rPr>
        <w:t xml:space="preserve">” means an amount, determined by the Calculation Agent acting in good faith and in a commercially reasonable manner, payable from one party to the other in respect of the unwinding of this Transaction, taking into consideration all relevant information as it sees fit but without duplication, including (but not limited to) (i) the closing price for each Index on the Cancellation Date (ii) such discounting as the Calculation Agent determines is appropriate to take account of receipt of payments earlier than they would otherwise have been payable (iii) the price of each Index Component used to calculate the Commodity Reference Price (iv) all other payments which would, but for the occurrence of the Index Component Disruption Event, Index Adjustment Event or Additional Market Disruption Event, have been made between the parties in respect of this Transaction (v) the amount of the losses, costs or gains of Party A incurred or made in connection with all changes to its Hedge Position(s) as a result of the designation of a Cancellation Date in respect of this Transaction, including without limitation all costs, losses, fees and expenses incurred in connection with the early termination, liquidation, unwinding or closing out of any Hedge Position(s) (vi) relevant market data from internal or external sources including, without limitation, relevant rates, prices, yields, yield curves, volatilities, spreads or correlations and (vii) any other amounts, information or calculations that in good faith it deems relevant in the circumstances in order to achieve a commercially reasonable result, it being understood that the occurrence of an Index Component Disruption Event, Index Adjustment Event  or Additional Market Disruption Event may materially change the structure, trading characteristics or other attributes of the Indices, Index Components or Hedge Position  </w:t>
      </w:r>
    </w:p>
    <w:p w14:paraId="2739F6AD" w14:textId="5B03073E" w:rsidR="00185AD8" w:rsidRDefault="00185AD8" w:rsidP="00701F52">
      <w:pPr>
        <w:tabs>
          <w:tab w:val="left" w:pos="2340"/>
        </w:tabs>
        <w:jc w:val="both"/>
        <w:rPr>
          <w:b/>
          <w:bCs/>
          <w:color w:val="000000"/>
        </w:rPr>
      </w:pPr>
    </w:p>
    <w:p w14:paraId="1E39B4E9" w14:textId="77777777" w:rsidR="00185AD8" w:rsidRDefault="00185AD8" w:rsidP="00701F52">
      <w:pPr>
        <w:tabs>
          <w:tab w:val="left" w:pos="2340"/>
        </w:tabs>
        <w:jc w:val="both"/>
        <w:rPr>
          <w:b/>
          <w:bCs/>
          <w:color w:val="000000"/>
        </w:rPr>
      </w:pPr>
    </w:p>
    <w:p w14:paraId="2FC1C033" w14:textId="1E686D68" w:rsidR="000D3A23" w:rsidRPr="005F5960" w:rsidRDefault="000D3A23" w:rsidP="00701F52">
      <w:pPr>
        <w:tabs>
          <w:tab w:val="left" w:pos="2340"/>
        </w:tabs>
        <w:jc w:val="both"/>
        <w:rPr>
          <w:b/>
          <w:bCs/>
          <w:color w:val="000000"/>
        </w:rPr>
      </w:pPr>
      <w:r w:rsidRPr="005F5960">
        <w:rPr>
          <w:b/>
          <w:bCs/>
          <w:color w:val="000000"/>
        </w:rPr>
        <w:t xml:space="preserve">Additional Representations, </w:t>
      </w:r>
    </w:p>
    <w:p w14:paraId="36F73440" w14:textId="77777777" w:rsidR="00623D27" w:rsidRPr="005F5960" w:rsidRDefault="000D3A23" w:rsidP="00701F52">
      <w:pPr>
        <w:tabs>
          <w:tab w:val="left" w:pos="2340"/>
        </w:tabs>
        <w:jc w:val="both"/>
        <w:rPr>
          <w:b/>
          <w:bCs/>
          <w:color w:val="000000"/>
        </w:rPr>
      </w:pPr>
      <w:r w:rsidRPr="005F5960">
        <w:rPr>
          <w:b/>
          <w:bCs/>
          <w:color w:val="000000"/>
        </w:rPr>
        <w:lastRenderedPageBreak/>
        <w:t>Agreements and Acknowledgments:</w:t>
      </w:r>
    </w:p>
    <w:p w14:paraId="449C5F48" w14:textId="77777777" w:rsidR="000D3A23" w:rsidRPr="005F5960" w:rsidRDefault="000D3A23" w:rsidP="00701F52">
      <w:pPr>
        <w:tabs>
          <w:tab w:val="left" w:pos="2340"/>
        </w:tabs>
        <w:jc w:val="both"/>
        <w:rPr>
          <w:color w:val="000000"/>
        </w:rPr>
      </w:pPr>
    </w:p>
    <w:p w14:paraId="3E001370" w14:textId="05E1F6F6" w:rsidR="00851658" w:rsidRPr="005F5960" w:rsidRDefault="00851658" w:rsidP="00623D27">
      <w:pPr>
        <w:tabs>
          <w:tab w:val="left" w:pos="2340"/>
        </w:tabs>
        <w:ind w:left="2880" w:hanging="2880"/>
        <w:jc w:val="both"/>
        <w:rPr>
          <w:color w:val="000000"/>
          <w:lang w:val="en-US"/>
        </w:rPr>
      </w:pPr>
      <w:r w:rsidRPr="005F5960">
        <w:rPr>
          <w:color w:val="000000"/>
          <w:lang w:val="en-US"/>
        </w:rPr>
        <w:t>Index Disclaimer</w:t>
      </w:r>
      <w:r w:rsidRPr="005F5960">
        <w:rPr>
          <w:color w:val="000000"/>
          <w:lang w:val="en-US"/>
        </w:rPr>
        <w:tab/>
        <w:t>:</w:t>
      </w:r>
      <w:r w:rsidRPr="005F5960">
        <w:rPr>
          <w:color w:val="000000"/>
          <w:lang w:val="en-US"/>
        </w:rPr>
        <w:tab/>
      </w:r>
      <w:r w:rsidR="008B502B" w:rsidRPr="005F5960">
        <w:rPr>
          <w:color w:val="000000"/>
          <w:lang w:val="en-US"/>
        </w:rPr>
        <w:t xml:space="preserve">Not </w:t>
      </w:r>
      <w:r w:rsidRPr="005F5960">
        <w:rPr>
          <w:color w:val="000000"/>
          <w:lang w:val="en-US"/>
        </w:rPr>
        <w:t>Applicable</w:t>
      </w:r>
      <w:r w:rsidR="008B502B" w:rsidRPr="005F5960">
        <w:rPr>
          <w:color w:val="000000"/>
          <w:lang w:val="en-US"/>
        </w:rPr>
        <w:t>;</w:t>
      </w:r>
      <w:r w:rsidR="008B502B" w:rsidRPr="005F5960">
        <w:t xml:space="preserve"> </w:t>
      </w:r>
      <w:r w:rsidR="008B502B" w:rsidRPr="005F5960">
        <w:rPr>
          <w:color w:val="000000"/>
          <w:lang w:val="en-US"/>
        </w:rPr>
        <w:t>provided that the Index Disclaimer set out in the Annex shall apply</w:t>
      </w:r>
    </w:p>
    <w:p w14:paraId="23F69811" w14:textId="77777777" w:rsidR="00851658" w:rsidRPr="005F5960" w:rsidRDefault="00851658" w:rsidP="00623D27">
      <w:pPr>
        <w:tabs>
          <w:tab w:val="left" w:pos="2340"/>
        </w:tabs>
        <w:ind w:left="2880" w:hanging="2880"/>
        <w:jc w:val="both"/>
        <w:rPr>
          <w:color w:val="000000"/>
          <w:lang w:val="en-US"/>
        </w:rPr>
      </w:pPr>
    </w:p>
    <w:p w14:paraId="463478A0" w14:textId="77777777" w:rsidR="00623D27" w:rsidRPr="005F5960" w:rsidRDefault="00623D27" w:rsidP="00623D27">
      <w:pPr>
        <w:tabs>
          <w:tab w:val="left" w:pos="2340"/>
        </w:tabs>
        <w:ind w:left="2880" w:hanging="2880"/>
        <w:jc w:val="both"/>
        <w:rPr>
          <w:color w:val="000000"/>
          <w:lang w:val="en-US"/>
        </w:rPr>
      </w:pPr>
      <w:r w:rsidRPr="005F5960">
        <w:rPr>
          <w:color w:val="000000"/>
          <w:lang w:val="en-US"/>
        </w:rPr>
        <w:t xml:space="preserve">Non </w:t>
      </w:r>
      <w:r w:rsidR="00925A5E" w:rsidRPr="005F5960">
        <w:rPr>
          <w:color w:val="000000"/>
          <w:lang w:val="en-US"/>
        </w:rPr>
        <w:t>Reliance</w:t>
      </w:r>
      <w:r w:rsidRPr="005F5960">
        <w:rPr>
          <w:color w:val="000000"/>
          <w:lang w:val="en-US"/>
        </w:rPr>
        <w:tab/>
        <w:t>:</w:t>
      </w:r>
      <w:r w:rsidRPr="005F5960">
        <w:rPr>
          <w:color w:val="000000"/>
          <w:lang w:val="en-US"/>
        </w:rPr>
        <w:tab/>
        <w:t>Applicable</w:t>
      </w:r>
    </w:p>
    <w:p w14:paraId="660471A8" w14:textId="77777777" w:rsidR="00623D27" w:rsidRPr="005F5960" w:rsidRDefault="00623D27" w:rsidP="00623D27">
      <w:pPr>
        <w:tabs>
          <w:tab w:val="left" w:pos="2340"/>
          <w:tab w:val="left" w:pos="2610"/>
        </w:tabs>
        <w:ind w:left="2880" w:hanging="2880"/>
        <w:jc w:val="both"/>
        <w:rPr>
          <w:rFonts w:cs="Arial"/>
          <w:color w:val="000000"/>
          <w:szCs w:val="18"/>
          <w:lang w:val="en-US"/>
        </w:rPr>
      </w:pPr>
    </w:p>
    <w:p w14:paraId="53892A93" w14:textId="77777777" w:rsidR="00623D27" w:rsidRPr="005F5960" w:rsidRDefault="00623D27" w:rsidP="00623D27">
      <w:pPr>
        <w:tabs>
          <w:tab w:val="left" w:pos="2340"/>
          <w:tab w:val="left" w:pos="2610"/>
        </w:tabs>
        <w:ind w:left="2880" w:hanging="2880"/>
        <w:jc w:val="both"/>
        <w:rPr>
          <w:rFonts w:cs="Arial"/>
          <w:color w:val="000000"/>
          <w:szCs w:val="18"/>
        </w:rPr>
      </w:pPr>
      <w:r w:rsidRPr="005F5960">
        <w:rPr>
          <w:rFonts w:cs="Arial"/>
          <w:color w:val="000000"/>
          <w:szCs w:val="18"/>
        </w:rPr>
        <w:t>Agreements and Acknowledgments</w:t>
      </w:r>
    </w:p>
    <w:p w14:paraId="50331C7F" w14:textId="77777777" w:rsidR="00931503" w:rsidRPr="005F5960" w:rsidRDefault="00623D27" w:rsidP="00623D27">
      <w:pPr>
        <w:tabs>
          <w:tab w:val="left" w:pos="2340"/>
          <w:tab w:val="left" w:pos="2610"/>
        </w:tabs>
        <w:ind w:left="2880" w:hanging="2880"/>
        <w:jc w:val="both"/>
        <w:rPr>
          <w:rFonts w:cs="Arial"/>
          <w:color w:val="000000"/>
          <w:szCs w:val="18"/>
        </w:rPr>
      </w:pPr>
      <w:r w:rsidRPr="005F5960">
        <w:rPr>
          <w:rFonts w:cs="Arial"/>
          <w:color w:val="000000"/>
          <w:szCs w:val="18"/>
        </w:rPr>
        <w:t>Regarding Hedging Activities:</w:t>
      </w:r>
      <w:r w:rsidRPr="005F5960">
        <w:rPr>
          <w:rFonts w:cs="Arial"/>
          <w:color w:val="000000"/>
          <w:szCs w:val="18"/>
        </w:rPr>
        <w:tab/>
      </w:r>
      <w:r w:rsidRPr="005F5960">
        <w:rPr>
          <w:rFonts w:cs="Arial"/>
          <w:color w:val="000000"/>
          <w:szCs w:val="18"/>
        </w:rPr>
        <w:tab/>
        <w:t>Applicable</w:t>
      </w:r>
    </w:p>
    <w:p w14:paraId="53D91ED5" w14:textId="77777777" w:rsidR="00623D27" w:rsidRPr="005F5960" w:rsidRDefault="00623D27" w:rsidP="00623D27">
      <w:pPr>
        <w:tabs>
          <w:tab w:val="left" w:pos="2340"/>
          <w:tab w:val="left" w:pos="2610"/>
        </w:tabs>
        <w:ind w:left="2880" w:hanging="2880"/>
        <w:jc w:val="both"/>
        <w:rPr>
          <w:rFonts w:cs="Arial"/>
          <w:color w:val="000000"/>
          <w:szCs w:val="18"/>
        </w:rPr>
      </w:pPr>
      <w:r w:rsidRPr="005F5960">
        <w:rPr>
          <w:rFonts w:cs="Arial"/>
          <w:color w:val="000000"/>
          <w:szCs w:val="18"/>
        </w:rPr>
        <w:t xml:space="preserve"> </w:t>
      </w:r>
    </w:p>
    <w:p w14:paraId="4B80C465" w14:textId="77777777" w:rsidR="00623D27" w:rsidRPr="005F5960" w:rsidRDefault="00623D27" w:rsidP="00623D27">
      <w:pPr>
        <w:tabs>
          <w:tab w:val="left" w:pos="2340"/>
          <w:tab w:val="left" w:pos="2610"/>
        </w:tabs>
        <w:ind w:left="2880" w:hanging="2880"/>
        <w:jc w:val="both"/>
        <w:rPr>
          <w:rFonts w:cs="Arial"/>
          <w:color w:val="000000"/>
          <w:szCs w:val="18"/>
        </w:rPr>
      </w:pPr>
      <w:r w:rsidRPr="005F5960">
        <w:rPr>
          <w:rFonts w:cs="Arial"/>
          <w:color w:val="000000"/>
          <w:szCs w:val="18"/>
          <w:lang w:eastAsia="ko-KR"/>
        </w:rPr>
        <w:t>A</w:t>
      </w:r>
      <w:r w:rsidRPr="005F5960">
        <w:rPr>
          <w:rFonts w:cs="Arial"/>
          <w:color w:val="000000"/>
          <w:szCs w:val="18"/>
        </w:rPr>
        <w:t>dditional Acknowledgments:</w:t>
      </w:r>
      <w:r w:rsidRPr="005F5960">
        <w:rPr>
          <w:rFonts w:cs="Arial"/>
          <w:color w:val="000000"/>
          <w:szCs w:val="18"/>
        </w:rPr>
        <w:tab/>
      </w:r>
      <w:r w:rsidRPr="005F5960">
        <w:rPr>
          <w:rFonts w:cs="Arial"/>
          <w:color w:val="000000"/>
          <w:szCs w:val="18"/>
        </w:rPr>
        <w:tab/>
        <w:t>Applicable</w:t>
      </w:r>
    </w:p>
    <w:p w14:paraId="25FB2990" w14:textId="77777777" w:rsidR="00623D27" w:rsidRPr="005F5960" w:rsidRDefault="00623D27" w:rsidP="00623D27">
      <w:pPr>
        <w:tabs>
          <w:tab w:val="left" w:pos="2340"/>
        </w:tabs>
        <w:ind w:left="2880" w:hanging="2880"/>
        <w:jc w:val="both"/>
        <w:rPr>
          <w:lang w:val="en-US"/>
        </w:rPr>
      </w:pPr>
    </w:p>
    <w:p w14:paraId="0B519530" w14:textId="0E68D3CD" w:rsidR="00402EFA" w:rsidRPr="005F5960" w:rsidRDefault="00623D27" w:rsidP="003E684C">
      <w:pPr>
        <w:tabs>
          <w:tab w:val="left" w:pos="2340"/>
        </w:tabs>
        <w:ind w:left="2880" w:hanging="2880"/>
        <w:jc w:val="both"/>
        <w:rPr>
          <w:lang w:val="en-US"/>
        </w:rPr>
      </w:pPr>
      <w:r w:rsidRPr="005F5960">
        <w:rPr>
          <w:lang w:val="en-US"/>
        </w:rPr>
        <w:t>Calculation Agent</w:t>
      </w:r>
      <w:r w:rsidRPr="005F5960">
        <w:rPr>
          <w:lang w:val="en-US"/>
        </w:rPr>
        <w:tab/>
        <w:t>:</w:t>
      </w:r>
      <w:r w:rsidRPr="005F5960">
        <w:rPr>
          <w:lang w:val="en-US"/>
        </w:rPr>
        <w:tab/>
        <w:t>BNP Paribas</w:t>
      </w:r>
    </w:p>
    <w:p w14:paraId="77F6BD36" w14:textId="77777777" w:rsidR="004831DC" w:rsidRPr="005F5960" w:rsidRDefault="004831DC" w:rsidP="00623D27">
      <w:pPr>
        <w:tabs>
          <w:tab w:val="left" w:pos="2340"/>
        </w:tabs>
        <w:ind w:left="2880" w:hanging="2880"/>
        <w:jc w:val="both"/>
      </w:pPr>
    </w:p>
    <w:p w14:paraId="4FC5ACF6" w14:textId="77777777" w:rsidR="008B502B" w:rsidRPr="005F5960" w:rsidRDefault="00623D27" w:rsidP="00623D27">
      <w:pPr>
        <w:tabs>
          <w:tab w:val="left" w:pos="2340"/>
        </w:tabs>
        <w:ind w:left="2880" w:hanging="2880"/>
        <w:jc w:val="both"/>
      </w:pPr>
      <w:r w:rsidRPr="005F5960">
        <w:t>Governing Law</w:t>
      </w:r>
      <w:r w:rsidRPr="005F5960">
        <w:tab/>
        <w:t>:</w:t>
      </w:r>
      <w:r w:rsidRPr="005F5960">
        <w:tab/>
      </w:r>
      <w:r w:rsidR="00524F39" w:rsidRPr="005F5960">
        <w:t>As stated in the ISDA Master Agreement</w:t>
      </w:r>
    </w:p>
    <w:p w14:paraId="6D894C61" w14:textId="77777777" w:rsidR="00623D27" w:rsidRPr="005F5960" w:rsidRDefault="00524F39" w:rsidP="00623D27">
      <w:pPr>
        <w:tabs>
          <w:tab w:val="left" w:pos="2340"/>
        </w:tabs>
        <w:ind w:left="2880" w:hanging="2880"/>
        <w:jc w:val="both"/>
      </w:pPr>
      <w:r w:rsidRPr="005F5960" w:rsidDel="00524F39">
        <w:t xml:space="preserve"> </w:t>
      </w:r>
    </w:p>
    <w:p w14:paraId="47441E79" w14:textId="77777777" w:rsidR="00623D27" w:rsidRPr="005F5960" w:rsidRDefault="00623D27" w:rsidP="00623D27">
      <w:pPr>
        <w:tabs>
          <w:tab w:val="left" w:pos="2340"/>
        </w:tabs>
        <w:ind w:left="2880" w:hanging="2880"/>
        <w:jc w:val="both"/>
      </w:pPr>
      <w:r w:rsidRPr="005F5960">
        <w:t>Documentation</w:t>
      </w:r>
      <w:r w:rsidRPr="005F5960">
        <w:tab/>
        <w:t>:</w:t>
      </w:r>
      <w:r w:rsidRPr="005F5960">
        <w:tab/>
      </w:r>
      <w:r w:rsidR="00524F39" w:rsidRPr="005F5960">
        <w:t>ISDA Master Agreement and related schedules.</w:t>
      </w:r>
      <w:r w:rsidRPr="005F5960">
        <w:t xml:space="preserve"> BNP Paribas will be preparing the Trade Confirmation for this transaction.</w:t>
      </w:r>
    </w:p>
    <w:p w14:paraId="1B51DDE7" w14:textId="77777777" w:rsidR="00623D27" w:rsidRPr="005F5960" w:rsidRDefault="00623D27" w:rsidP="00623D27">
      <w:pPr>
        <w:tabs>
          <w:tab w:val="left" w:pos="2340"/>
        </w:tabs>
        <w:ind w:left="2880" w:hanging="2880"/>
        <w:jc w:val="both"/>
      </w:pPr>
    </w:p>
    <w:p w14:paraId="2EBAA782" w14:textId="02EB1F1D" w:rsidR="00623D27" w:rsidRPr="001D0E2F" w:rsidRDefault="00623D27" w:rsidP="00623D27">
      <w:pPr>
        <w:tabs>
          <w:tab w:val="left" w:pos="2340"/>
        </w:tabs>
        <w:ind w:left="2880" w:hanging="2880"/>
        <w:jc w:val="both"/>
      </w:pPr>
      <w:r w:rsidRPr="005F5960">
        <w:t>ISDA Definitions</w:t>
      </w:r>
      <w:r w:rsidRPr="005F5960">
        <w:tab/>
        <w:t>:</w:t>
      </w:r>
      <w:r w:rsidRPr="005F5960">
        <w:tab/>
        <w:t>200</w:t>
      </w:r>
      <w:r w:rsidR="003E684C">
        <w:t>5</w:t>
      </w:r>
      <w:r w:rsidRPr="005F5960">
        <w:t xml:space="preserve"> ISDA </w:t>
      </w:r>
      <w:r w:rsidR="003E684C">
        <w:t>Commodity</w:t>
      </w:r>
      <w:r w:rsidR="003E684C" w:rsidRPr="005F5960">
        <w:t xml:space="preserve"> </w:t>
      </w:r>
      <w:r w:rsidRPr="005F5960">
        <w:t>Derivatives Definitions (the “</w:t>
      </w:r>
      <w:r w:rsidR="003E684C">
        <w:rPr>
          <w:b/>
        </w:rPr>
        <w:t>Commodity</w:t>
      </w:r>
      <w:r w:rsidR="003E684C" w:rsidRPr="005F5960">
        <w:rPr>
          <w:b/>
        </w:rPr>
        <w:t xml:space="preserve"> </w:t>
      </w:r>
      <w:r w:rsidRPr="005F5960">
        <w:rPr>
          <w:b/>
        </w:rPr>
        <w:t>Definitions</w:t>
      </w:r>
      <w:r w:rsidRPr="005F5960">
        <w:t xml:space="preserve">”) </w:t>
      </w:r>
      <w:r w:rsidR="002029DA" w:rsidRPr="005F5960">
        <w:t xml:space="preserve">and the </w:t>
      </w:r>
      <w:r w:rsidR="008D2596" w:rsidRPr="005F5960">
        <w:t>20</w:t>
      </w:r>
      <w:r w:rsidR="008D2596">
        <w:t>21</w:t>
      </w:r>
      <w:r w:rsidR="008D2596" w:rsidRPr="005F5960">
        <w:t xml:space="preserve"> </w:t>
      </w:r>
      <w:r w:rsidR="002029DA" w:rsidRPr="005F5960">
        <w:t xml:space="preserve">ISDA Definitions </w:t>
      </w:r>
      <w:r w:rsidRPr="005F5960">
        <w:t>will apply</w:t>
      </w:r>
      <w:r w:rsidR="002029DA" w:rsidRPr="005F5960">
        <w:t>.</w:t>
      </w:r>
    </w:p>
    <w:p w14:paraId="49B8EFBB" w14:textId="77777777" w:rsidR="00623D27" w:rsidRPr="001D0E2F" w:rsidRDefault="00623D27" w:rsidP="00CC7881">
      <w:pPr>
        <w:tabs>
          <w:tab w:val="left" w:pos="2340"/>
        </w:tabs>
        <w:ind w:left="2880" w:hanging="2880"/>
        <w:jc w:val="both"/>
        <w:rPr>
          <w:color w:val="000000"/>
        </w:rPr>
      </w:pPr>
    </w:p>
    <w:p w14:paraId="56D1BA0A" w14:textId="77777777" w:rsidR="00361719" w:rsidRDefault="00361719" w:rsidP="00547A67">
      <w:pPr>
        <w:pStyle w:val="Header"/>
        <w:jc w:val="center"/>
        <w:rPr>
          <w:b/>
          <w:color w:val="FF0000"/>
          <w:sz w:val="20"/>
        </w:rPr>
      </w:pPr>
    </w:p>
    <w:p w14:paraId="46DAFB0F" w14:textId="77777777" w:rsidR="00361719" w:rsidRDefault="00361719" w:rsidP="00547A67">
      <w:pPr>
        <w:pStyle w:val="Header"/>
        <w:jc w:val="center"/>
        <w:rPr>
          <w:b/>
          <w:color w:val="FF0000"/>
          <w:sz w:val="20"/>
        </w:rPr>
      </w:pPr>
    </w:p>
    <w:p w14:paraId="59DE37BA" w14:textId="77777777" w:rsidR="000E46AA" w:rsidRPr="004E3598" w:rsidRDefault="000E46AA" w:rsidP="00547A67">
      <w:pPr>
        <w:pStyle w:val="Header"/>
        <w:jc w:val="center"/>
        <w:rPr>
          <w:b/>
          <w:sz w:val="20"/>
        </w:rPr>
      </w:pPr>
      <w:r>
        <w:rPr>
          <w:b/>
          <w:color w:val="FF0000"/>
          <w:sz w:val="20"/>
        </w:rPr>
        <w:br w:type="page"/>
      </w:r>
      <w:r w:rsidRPr="004E3598">
        <w:rPr>
          <w:b/>
          <w:sz w:val="20"/>
        </w:rPr>
        <w:lastRenderedPageBreak/>
        <w:t>ANNEX</w:t>
      </w:r>
    </w:p>
    <w:p w14:paraId="3D0CCD23" w14:textId="77777777" w:rsidR="000E46AA" w:rsidRPr="004E3598" w:rsidRDefault="000E46AA" w:rsidP="00547A67">
      <w:pPr>
        <w:pStyle w:val="Header"/>
        <w:jc w:val="center"/>
        <w:rPr>
          <w:sz w:val="20"/>
        </w:rPr>
      </w:pPr>
    </w:p>
    <w:p w14:paraId="2F268724" w14:textId="77777777" w:rsidR="00361719" w:rsidRPr="004E3598" w:rsidRDefault="000E46AA" w:rsidP="00547A67">
      <w:pPr>
        <w:pStyle w:val="Header"/>
        <w:jc w:val="center"/>
        <w:rPr>
          <w:b/>
          <w:sz w:val="20"/>
        </w:rPr>
      </w:pPr>
      <w:r w:rsidRPr="004E3598">
        <w:rPr>
          <w:b/>
          <w:sz w:val="20"/>
        </w:rPr>
        <w:t>INDEX DISCLAIMER</w:t>
      </w:r>
    </w:p>
    <w:p w14:paraId="741B383B" w14:textId="77777777" w:rsidR="00361719" w:rsidRPr="004E3598" w:rsidRDefault="00361719" w:rsidP="00547A67">
      <w:pPr>
        <w:pStyle w:val="Header"/>
        <w:jc w:val="center"/>
        <w:rPr>
          <w:sz w:val="20"/>
        </w:rPr>
      </w:pPr>
    </w:p>
    <w:p w14:paraId="53492C90" w14:textId="77777777" w:rsidR="00361719" w:rsidRPr="004E3598" w:rsidRDefault="00361719" w:rsidP="00547A67">
      <w:pPr>
        <w:pStyle w:val="Header"/>
        <w:jc w:val="center"/>
        <w:rPr>
          <w:sz w:val="20"/>
        </w:rPr>
      </w:pPr>
    </w:p>
    <w:p w14:paraId="3B0F69AF" w14:textId="0671C659" w:rsidR="00185AD8" w:rsidRPr="00185AD8" w:rsidRDefault="00185AD8" w:rsidP="003E684C">
      <w:pPr>
        <w:pStyle w:val="Header"/>
        <w:jc w:val="both"/>
        <w:rPr>
          <w:sz w:val="20"/>
        </w:rPr>
      </w:pPr>
      <w:r w:rsidRPr="00185AD8">
        <w:rPr>
          <w:sz w:val="20"/>
        </w:rPr>
        <w:t xml:space="preserve">The methodology of the </w:t>
      </w:r>
      <w:r w:rsidR="00CE5F00">
        <w:rPr>
          <w:sz w:val="20"/>
        </w:rPr>
        <w:t>[</w:t>
      </w:r>
      <w:r w:rsidRPr="00185AD8">
        <w:rPr>
          <w:sz w:val="20"/>
        </w:rPr>
        <w:t>BNP Paribas Daily CDI Carry ex-Agriculture and Livestock 12x Index</w:t>
      </w:r>
      <w:r w:rsidR="00CE5F00">
        <w:rPr>
          <w:sz w:val="20"/>
        </w:rPr>
        <w:t>]</w:t>
      </w:r>
      <w:r w:rsidRPr="00185AD8">
        <w:rPr>
          <w:sz w:val="20"/>
        </w:rPr>
        <w:t xml:space="preserve"> (the “Index”) is confidential.  The sponsor of the Index (the “Index Sponsor”) and where the Index is calculated by a party other than the Index Sponsor, the calculation agent for the Index (the “Index Calculation Agent”) do not guarantee the accuracy or completeness of the Index methodology or the calculation methods, or that there will be no errors or omissions in computing or disseminating the Index, and the Index Sponsor and the Index Calculation Agent, shall have no liability for any errors or omissions therein. The Index methodology is based on certain assumptions, certain pricing models and calculation methods adopted by the Index Sponsor and/or the Index Calculation Agent and may have certain inherent limitations.  Information prepared on the basis of different models, calculation methods or assumptions may yield different results. You have no authority to use or reproduce the Index methodology in any way without a specific license from BNP Paribas (“BNPP”) permitting you to do so, and neither BNPP nor any of its affiliates shall be liable for any loss whatsoever arising directly or indirectly from the use of the Index or index methodology or otherwise in connection therewith.  </w:t>
      </w:r>
    </w:p>
    <w:p w14:paraId="595641DA" w14:textId="77777777" w:rsidR="00185AD8" w:rsidRPr="00185AD8" w:rsidRDefault="00185AD8" w:rsidP="003E684C">
      <w:pPr>
        <w:pStyle w:val="Header"/>
        <w:jc w:val="both"/>
        <w:rPr>
          <w:sz w:val="20"/>
        </w:rPr>
      </w:pPr>
    </w:p>
    <w:p w14:paraId="5D293BE2" w14:textId="77777777" w:rsidR="00185AD8" w:rsidRPr="00185AD8" w:rsidRDefault="00185AD8" w:rsidP="003E684C">
      <w:pPr>
        <w:pStyle w:val="Header"/>
        <w:jc w:val="both"/>
        <w:rPr>
          <w:sz w:val="20"/>
        </w:rPr>
      </w:pPr>
      <w:r w:rsidRPr="00185AD8">
        <w:rPr>
          <w:sz w:val="20"/>
        </w:rPr>
        <w:t>The Index Sponsor and the Index Calculation Agent shall not be held liable for any modification or change in the methodology used in calculating the Index.  The Index Sponsor reserves the right (unless otherwise specified in the rules governing the Index) to amend or adjust the index methodology from time to time.   The Index Sponsor and, where applicable, the Index Calculation Agent, are under no obligation to continue the calculation, publication or dissemination of the Index and disclaim any liability for any suspension or interruption in the calculation of the Index.  The Index Sponsor and, where applicable, the Index Calculation Agent, disclaim any liability in connection with the level of the Index at any given time. The Index Sponsor and, where applicable, the Index Calculation Agent will not accept any liability for any loss whatsoever, directly or indirectly related to the Index.</w:t>
      </w:r>
    </w:p>
    <w:p w14:paraId="11EB3854" w14:textId="77777777" w:rsidR="00185AD8" w:rsidRPr="00185AD8" w:rsidRDefault="00185AD8" w:rsidP="003E684C">
      <w:pPr>
        <w:pStyle w:val="Header"/>
        <w:jc w:val="both"/>
        <w:rPr>
          <w:sz w:val="20"/>
        </w:rPr>
      </w:pPr>
    </w:p>
    <w:p w14:paraId="07DC9F39" w14:textId="77777777" w:rsidR="00185AD8" w:rsidRPr="00185AD8" w:rsidRDefault="00185AD8" w:rsidP="003E684C">
      <w:pPr>
        <w:pStyle w:val="Header"/>
        <w:jc w:val="both"/>
        <w:rPr>
          <w:sz w:val="20"/>
        </w:rPr>
      </w:pPr>
      <w:r w:rsidRPr="00185AD8">
        <w:rPr>
          <w:sz w:val="20"/>
        </w:rPr>
        <w:t>The index methodology embeds certain costs in the strategy which cover amongst other things, friction, replication and repo costs in running the Index.  The levels of such costs (if any) may vary over time in accordance with market conditions as determined by the Index Sponsor acting in a commercially reasonable manner.</w:t>
      </w:r>
    </w:p>
    <w:p w14:paraId="35D503BB" w14:textId="77777777" w:rsidR="00185AD8" w:rsidRPr="00185AD8" w:rsidRDefault="00185AD8" w:rsidP="003E684C">
      <w:pPr>
        <w:pStyle w:val="Header"/>
        <w:jc w:val="both"/>
        <w:rPr>
          <w:sz w:val="20"/>
        </w:rPr>
      </w:pPr>
    </w:p>
    <w:p w14:paraId="47FCF559" w14:textId="77777777" w:rsidR="00185AD8" w:rsidRPr="00185AD8" w:rsidRDefault="00185AD8" w:rsidP="003E684C">
      <w:pPr>
        <w:pStyle w:val="Header"/>
        <w:jc w:val="both"/>
        <w:rPr>
          <w:sz w:val="20"/>
        </w:rPr>
      </w:pPr>
      <w:r w:rsidRPr="00185AD8">
        <w:rPr>
          <w:sz w:val="20"/>
        </w:rPr>
        <w:t xml:space="preserve">This Transaction is not in any way sponsored, endorsed, sold or promoted by any sponsor of any component index (or part thereof) which comprises the Index (each a “Reference Index”) that is not affiliated with BNPP (each such sponsor, a “Reference Index Sponsor”). The Reference Index Sponsors do not make any representation whatsoever, whether express or implied, either as to the results to be obtained from the use of the relevant Reference Index and/or the levels at which the relevant Reference Index stands at any particular time on any particular date or otherwise.  No Reference Index Sponsor shall be liable (whether in negligence or otherwise) to any person for any error in the relevant Reference Index and the relevant Reference Index Sponsor is under no obligation to advise any person of any error therein. None of the Reference Index Sponsors makes any representation whatsoever, whether express or implied, as to the advisability of purchasing or assuming any risk in connection with the Transaction.  No Party to the Transaction or the Calculation Agent shall have any rights against or recourse to any Reference Index Sponsor should any Reference Index not be published or for any errors in the calculation thereof or on any other basis whatsoever in relation to any Reference Index, its production, or the level or constituents thereof.  None of the parties to the Transaction or the Index Calculation Agent shall have any liability to any party for any act or failure to act by any Reference Index Sponsor in connection with the calculation, adjustment or maintenance of the relevant Reference Index.  Neither BNPP as counterparty nor any of its affiliates has any affiliation with or control over any Reference Index or the relevant Reference Index Sponsor or any control over the computation, composition or dissemination of any Reference Index.  Although the Index Calculation Agent will obtain information concerning each Reference Index from publicly available sources it believes reliable, it will not independently verify this information.  Accordingly, no representation, warranty or undertaking (express or implied) is made and no responsibility is accepted by any of BNPP as counterparty, any of its affiliates or the Index Calculation Agent as to the accuracy, completeness and timeliness of information concerning any Reference Index. </w:t>
      </w:r>
    </w:p>
    <w:p w14:paraId="4E5D3E0F" w14:textId="77777777" w:rsidR="00185AD8" w:rsidRPr="00185AD8" w:rsidRDefault="00185AD8" w:rsidP="003E684C">
      <w:pPr>
        <w:pStyle w:val="Header"/>
        <w:jc w:val="both"/>
        <w:rPr>
          <w:sz w:val="20"/>
        </w:rPr>
      </w:pPr>
    </w:p>
    <w:p w14:paraId="0A654A8A" w14:textId="77777777" w:rsidR="00185AD8" w:rsidRDefault="00185AD8" w:rsidP="00185AD8">
      <w:pPr>
        <w:pStyle w:val="Header"/>
        <w:jc w:val="both"/>
        <w:rPr>
          <w:sz w:val="20"/>
        </w:rPr>
      </w:pPr>
      <w:r w:rsidRPr="00185AD8">
        <w:rPr>
          <w:sz w:val="20"/>
        </w:rPr>
        <w:t>BNPP and/or its affiliates may act in a number of different capacities in relation to the Index and/or products linked to the Index, including, but not limited to, acting as market-maker, hedging counterparty, issuer of components of the Index, Index Sponsor and/or Index Calculation Agent.  Such activities could result in potential conflicts of interest that could influence the price or value of this Transaction.</w:t>
      </w:r>
    </w:p>
    <w:p w14:paraId="0C7DE9EF" w14:textId="77777777" w:rsidR="00185AD8" w:rsidRDefault="00185AD8" w:rsidP="00185AD8">
      <w:pPr>
        <w:pStyle w:val="Header"/>
        <w:jc w:val="both"/>
        <w:rPr>
          <w:sz w:val="20"/>
        </w:rPr>
      </w:pPr>
    </w:p>
    <w:p w14:paraId="08AF7692" w14:textId="77777777" w:rsidR="000E46AA" w:rsidRPr="004E3598" w:rsidRDefault="000E46AA" w:rsidP="00185AD8">
      <w:pPr>
        <w:pStyle w:val="Header"/>
        <w:jc w:val="both"/>
        <w:rPr>
          <w:sz w:val="20"/>
        </w:rPr>
      </w:pPr>
      <w:r w:rsidRPr="00B7006B">
        <w:rPr>
          <w:sz w:val="20"/>
        </w:rPr>
        <w:t>© BNP Paribas. All rights reserved.</w:t>
      </w:r>
    </w:p>
    <w:p w14:paraId="4E6473CA" w14:textId="77777777" w:rsidR="00361719" w:rsidRPr="004E3598" w:rsidRDefault="00361719" w:rsidP="000E46AA">
      <w:pPr>
        <w:pStyle w:val="Header"/>
        <w:jc w:val="both"/>
        <w:rPr>
          <w:b/>
          <w:sz w:val="20"/>
        </w:rPr>
      </w:pPr>
    </w:p>
    <w:p w14:paraId="7EBAE16C" w14:textId="77777777" w:rsidR="00361719" w:rsidRPr="004E3598" w:rsidRDefault="00361719" w:rsidP="00547A67">
      <w:pPr>
        <w:pStyle w:val="Header"/>
        <w:jc w:val="center"/>
        <w:rPr>
          <w:b/>
          <w:sz w:val="20"/>
        </w:rPr>
      </w:pPr>
    </w:p>
    <w:p w14:paraId="6266F2A7" w14:textId="77777777" w:rsidR="00361719" w:rsidRPr="004E3598" w:rsidRDefault="00361719" w:rsidP="00547A67">
      <w:pPr>
        <w:pStyle w:val="Header"/>
        <w:jc w:val="center"/>
        <w:rPr>
          <w:b/>
          <w:sz w:val="20"/>
        </w:rPr>
      </w:pPr>
    </w:p>
    <w:p w14:paraId="2277EBC7" w14:textId="77777777" w:rsidR="004831DC" w:rsidRPr="001D0E2F" w:rsidRDefault="000D25C0" w:rsidP="000E46AA">
      <w:pPr>
        <w:spacing w:after="200" w:line="276" w:lineRule="auto"/>
        <w:jc w:val="center"/>
        <w:rPr>
          <w:b/>
          <w:color w:val="3366FF"/>
          <w:sz w:val="20"/>
        </w:rPr>
      </w:pPr>
      <w:r w:rsidRPr="002A3249">
        <w:rPr>
          <w:rFonts w:eastAsia="MS Mincho" w:cs="Arial"/>
          <w:b/>
          <w:szCs w:val="18"/>
          <w:lang w:val="en-US" w:eastAsia="ja-JP"/>
        </w:rPr>
        <w:br w:type="page"/>
      </w:r>
      <w:r w:rsidR="004831DC" w:rsidRPr="001D0E2F">
        <w:rPr>
          <w:b/>
          <w:color w:val="3366FF"/>
          <w:sz w:val="20"/>
        </w:rPr>
        <w:lastRenderedPageBreak/>
        <w:t>Disclaimers</w:t>
      </w:r>
    </w:p>
    <w:p w14:paraId="6D9CF57A" w14:textId="77777777" w:rsidR="004831DC" w:rsidRPr="001D0E2F" w:rsidRDefault="004831DC" w:rsidP="004831DC">
      <w:pPr>
        <w:rPr>
          <w:rFonts w:ascii="Arial Narrow" w:hAnsi="Arial Narrow"/>
        </w:rPr>
      </w:pPr>
    </w:p>
    <w:p w14:paraId="39822E66" w14:textId="77777777" w:rsidR="00BA3051" w:rsidRPr="00BA3051" w:rsidRDefault="00BA3051" w:rsidP="00BA3051">
      <w:pPr>
        <w:jc w:val="both"/>
        <w:rPr>
          <w:rFonts w:ascii="Arial Narrow" w:hAnsi="Arial Narrow"/>
        </w:rPr>
      </w:pPr>
      <w:r w:rsidRPr="00BA3051">
        <w:rPr>
          <w:rFonts w:ascii="Arial Narrow" w:hAnsi="Arial Narrow"/>
        </w:rPr>
        <w:t>Legal Notice: This termsheet, unless expressed to be in “final form” for subsequent trade execution, contains an indicative proposal for discussion purposes only. BNP Paribas and its subsidiaries and affiliates (collectively, “we” or “BNP Paribas”) give no assurance that any transaction will be entered into on the basis of these indicative terms. Any potential transaction or investment to which this document relates is only available to those persons to whom this document is directed and to those persons to whom it may be lawfully distributed. Persons to whom this document has been directed by BNP Paribas should inform themselves about possible legal restrictions applicable to them and observe them accordingly. The information contained herein is provided on a strictly confidential basis and it may not be copied, reproduced or otherwise distributed by any recipient, whether in whole or in part (other than to that recipient’s professional advisers) without BNP Paribas’ prior written consent. As an investment bank with a wide range of activities, BNP Paribas may face conflicts of interest and you should be aware that we may engage in transactions in a manner inconsistent with the proposal in this document, either for our own account or for the account of our clients. BNP Paribas and our officers, directors, and employees, including persons involved in the preparation or issuance of this document (“BNP Paribas Persons”), may (or may in the future) have long or short positions, act as principal, or otherwise have a financial interest in, any securities, loans or any other underlying product, asset or exposure (or derivatives of such securities, loans, products or assets) identical or similar to those described herein. BNP Paribas Persons may serve as a director of companies mentioned in this document and may act as market maker in the securities of, or may have served as manager or co-manager of a public offering of securities by, any such company.</w:t>
      </w:r>
    </w:p>
    <w:p w14:paraId="523ADA3E" w14:textId="77777777" w:rsidR="00BA3051" w:rsidRPr="00BA3051" w:rsidRDefault="00BA3051" w:rsidP="00BA3051">
      <w:pPr>
        <w:jc w:val="both"/>
        <w:rPr>
          <w:rFonts w:ascii="Arial Narrow" w:hAnsi="Arial Narrow"/>
        </w:rPr>
      </w:pPr>
      <w:r w:rsidRPr="00BA3051">
        <w:rPr>
          <w:rFonts w:ascii="Arial Narrow" w:hAnsi="Arial Narrow"/>
        </w:rPr>
        <w:t>BNP Paribas is not soliciting or recommending any specific action based on this document. Please consider whether any transaction to which this document relates is suitable for your particular circumstances. By taking the decision to enter into a transaction the indicative or “final form” terms of which are set out in this termsheet (the “Transaction”), you  confirm that (i) you are acting as principal for your own account, have made your own independent decision as to whether or not to enter into the Transaction and as to whether such Transaction is appropriate and proper for you based upon your own judgement and any advice from such accounting, legal, tax, regulatory and/or other advisors as you have seen fit to consult; (ii) you are not relying on any communication, written or oral, provided to you by BNP Paribas (including the information and explanations provided in this termsheet or in any marketing material) unless otherwise agreed in writing with BNP Paribas, and you have not received from BNP Paribas any assurance or guarantee as to the expected results of entering into the Transaction; (iii) you have the requisite knowledge and experience and are capable of understanding and assessing the merits of the Transaction (by yourself or through receipt of independent professional advice, including in relation to all financial, legal, regulatory, accounting and tax aspects), you understand and accept the terms, conditions and risks involved in the Transaction, and are capable of assuming such risks; and (iv) it is your responsibility to carefully review, and that you have carefully reviewed, the documentation relating to the Transaction to ensure that you understand all the terms and conditions of such documentation, such terms and conditions are acceptable to you and that the documentation properly reflects the agreement between the parties.</w:t>
      </w:r>
    </w:p>
    <w:p w14:paraId="36D35889" w14:textId="77777777" w:rsidR="00BA3051" w:rsidRPr="00BA3051" w:rsidRDefault="00BA3051" w:rsidP="00BA3051">
      <w:pPr>
        <w:jc w:val="both"/>
        <w:rPr>
          <w:rFonts w:ascii="Arial Narrow" w:hAnsi="Arial Narrow"/>
        </w:rPr>
      </w:pPr>
      <w:r w:rsidRPr="00BA3051">
        <w:rPr>
          <w:rFonts w:ascii="Arial Narrow" w:hAnsi="Arial Narrow"/>
        </w:rPr>
        <w:t xml:space="preserve">Financial instruments of the type described herein may involve a high degree of risk and their value may be highly volatile. Such risks may include, without limitation: (i) variations in interest rates, exchange rates, correlation, prices or levels of securities, commodities, funds and/or indices, indicators of creditworthiness or perceived creditworthiness of one or more underlying entities; (ii) default or insolvency of one or more underlying entities; (iii) adverse or unanticipated market events or developments,  political developments or adverse corporate events involving an underlying security or entity; (iv) risk of illiquidity; (v) sovereign risk; and (vi) legal risk. In addition, where the Transaction involves leverage, it must be recognised that whilst leverage presents opportunities to increase profit, it also has the effect of potentially increasing losses and doing so in a relatively short period of time. Such losses may significantly diminish the performance of the Transaction or result in loss for you. You may be required to post margin or collateral at levels consistent with the internal policies of BNP Paribas. The risk of loss in trading derivatives can be substantial and, accordingly, derivatives are not suitable for every person. </w:t>
      </w:r>
    </w:p>
    <w:p w14:paraId="64F85BB4" w14:textId="77777777" w:rsidR="00BA3051" w:rsidRPr="00BA3051" w:rsidRDefault="00BA3051" w:rsidP="00BA3051">
      <w:pPr>
        <w:jc w:val="both"/>
        <w:rPr>
          <w:rFonts w:ascii="Arial Narrow" w:hAnsi="Arial Narrow"/>
        </w:rPr>
      </w:pPr>
      <w:r w:rsidRPr="00BA3051">
        <w:rPr>
          <w:rFonts w:ascii="Arial Narrow" w:hAnsi="Arial Narrow"/>
        </w:rPr>
        <w:t>Subject to any confidentiality restrictions, BNP Paribas may provide any additional information reasonably requested by you in connection with the Transaction. A confidentiality arrangement with BNP Paribas may however be required in order to access any such information. In no circumstances shall BNP Paribas be obliged to disclose to any person any proprietary information or information which it has received on a confidential basis or the existence thereof. Unless otherwise agreed in writing with BNP Paribas, no information provided by BNP Paribas related to a transaction shall be considered investment advice or as a recommendation to enter into, remain a party to, amend (or forebear from amending) the terms of, or terminate, a transaction. Unless this document is stated to constitute a “final form” or “dealing” termsheet (however described), any prices quoted are indicative only and actual prices will depend on market conditions at the time the Transaction is concluded. In addition, BNP Paribas reserves the right not to enter into the Transaction or any other transaction, in its sole discretion. Although disclosure materials or analyses provided to you have been prepared based on information we believe to be accurate, BNP Paribas does not represent, warrant or guarantee the accuracy, completeness or reasonableness of any such disclosures or analyses. No representation or warranty is made that any indicative performance will be achieved in the future. Past performance is not indicative of future results. To the extent that any information or analyses are based on information from public sources such information may not have been independently verified by BNP Paribas and is subject to change from time to time. BNP Paribas is under no obligation to update or keep current the information contained in this document.  BNP Paribas does not assume any responsibility for the consequences of your entering into or taking (or forbearing from taking) any action in respect of the Transaction or any other transaction and BNP Paribas accepts no liability for any direct or consequential losses arising from any action taken in connection with or reliance on the information contained in this document. This Legal Notice shall not be amended except as agreed in writing by BNP Paribas, and shall apply notwithstanding any provision to the contrary (such as a “single agreement” clause) in any contractual documentation governing the Transaction or any other related transaction, unless specifically referencing this Legal Notice.</w:t>
      </w:r>
    </w:p>
    <w:p w14:paraId="26E303B9" w14:textId="77777777" w:rsidR="00BA3051" w:rsidRDefault="00BA3051" w:rsidP="00BA3051">
      <w:pPr>
        <w:jc w:val="both"/>
        <w:rPr>
          <w:rFonts w:ascii="Arial Narrow" w:hAnsi="Arial Narrow"/>
        </w:rPr>
      </w:pPr>
      <w:r w:rsidRPr="00BA3051">
        <w:rPr>
          <w:rFonts w:ascii="Arial Narrow" w:hAnsi="Arial Narrow"/>
        </w:rPr>
        <w:t xml:space="preserve">It may be a condition of an amendment, early termination or transfer of the Transaction that an amount is paid or received in consideration thereof, and such amount will (subject to the express terms of the Transaction) be determined by BNP Paribas in its sole discretion, taking into account any factors it deems appropriate, including, without limitation, remaining time to maturity, outstanding notional amount, market prices or levels, liquidity, cost of re-hedging its position, credit risk, interest rates, exchange rates, correlation, default risk, collateral rights and obligations, counterparty risk, capital impact, balance sheet impact, clearing and BNP Paribas’ risk or trading positions. The basis of determination of such amount will be disclosed to you at our sole discretion. No representation is given as to the existence of a secondary market for the Transaction and it may not be possible for you to hedge some or all of the risks arising under it now or in the future or otherwise close out or mitigate such risks. Any valuation of the Transaction (whether made by or for a you) may not be indicative of the likely cost to you to hedge such Transaction, nor is it indicative of an unwind price which BNP Paribas might, at its discretion or subject to a liquidity commitment, provide to you on request. The price(s) or level(s) at which BNP Paribas might offer to enter into the </w:t>
      </w:r>
      <w:r w:rsidRPr="00BA3051">
        <w:rPr>
          <w:rFonts w:ascii="Arial Narrow" w:hAnsi="Arial Narrow"/>
        </w:rPr>
        <w:lastRenderedPageBreak/>
        <w:t>Transaction is or are not necessarily an indication of the price(s) or level(s) at which other market participants might enter into the same transaction and may not necessarily be indicative of the then current market value of the Transaction.</w:t>
      </w:r>
    </w:p>
    <w:p w14:paraId="6E12A94B" w14:textId="77777777" w:rsidR="00BA3051" w:rsidRDefault="00BA3051" w:rsidP="00BA3051">
      <w:pPr>
        <w:jc w:val="both"/>
        <w:rPr>
          <w:rFonts w:ascii="Arial Narrow" w:hAnsi="Arial Narrow"/>
        </w:rPr>
      </w:pPr>
    </w:p>
    <w:p w14:paraId="00D86839" w14:textId="77777777" w:rsidR="00CE5F00" w:rsidRPr="00CE5F00" w:rsidRDefault="00CE5F00" w:rsidP="00CE5F00">
      <w:pPr>
        <w:jc w:val="both"/>
        <w:rPr>
          <w:rFonts w:ascii="Arial Narrow" w:hAnsi="Arial Narrow"/>
        </w:rPr>
      </w:pPr>
      <w:r w:rsidRPr="00CE5F00">
        <w:rPr>
          <w:rFonts w:ascii="Arial Narrow" w:hAnsi="Arial Narrow"/>
        </w:rPr>
        <w:t>Hong Kong - Branch: This communication is prepared and/or distributed by BNP Paribas, acting through its Hong Kong branch. BNP Paribas is a public limited company (société anonyme) incorporated in France. The liability of its members is limited. BNP Paribas, acting through its Hong Kong branch, is registered as a Licensed Bank under the Banking Ordinance and regulated by the Hong Kong Monetary Authority. It is also a Registered Institution regulated by the Securities and Futures Commission for the conduct of Regulated Activity Types 1, 4, 6 and 9 under the Securities and Futures Ordinance. Furthermore, where the content relates to regulated products/activities, this communication is directed at “professional investors” as defined in the Securities and Futures Ordinance.</w:t>
      </w:r>
    </w:p>
    <w:p w14:paraId="0922FC4C" w14:textId="77777777" w:rsidR="00CE5F00" w:rsidRPr="00CE5F00" w:rsidRDefault="00CE5F00" w:rsidP="00CE5F00">
      <w:pPr>
        <w:jc w:val="both"/>
        <w:rPr>
          <w:rFonts w:ascii="Arial Narrow" w:hAnsi="Arial Narrow"/>
        </w:rPr>
      </w:pPr>
      <w:r w:rsidRPr="00CE5F00">
        <w:rPr>
          <w:rFonts w:ascii="Arial Narrow" w:hAnsi="Arial Narrow"/>
        </w:rPr>
        <w:t>Singapore - Branch: This communication is distributed in Singapore by BNP Paribas, Singapore Branch, a licensed bank regulated by the Monetary Authority of Singapore. This communication is directed at Institutional Investors and Accredited Investors within the meaning of the Securities and Futures Act 2001 of Singapore. Some products or transactions described in this communication may not be authorised in Singapore and may not be available to Singapore investors. This communication may constitute a product advertisement within the meaning of the Financial Advisers Regulations or the Securities and Futures (Licensing and Conduct of Business) Regulations of Singapore, in which case this advertisement has not been reviewed by the Monetary Authority of Singapore. Where this communication is a research report: In relation to the distribution to such categories of investors, BNP Paribas, acting through its Singapore Branch, and its representatives are exempted under Regulation 35 of the Financial Advisers Regulations of Singapore from the requirements in Section 36 of the Financial Advisers Act of Singapore, regarding the disclosure of certain interests in, or certain interests in the acquisition or disposal of, securities, securities-based derivatives contracts or units in a collective investment scheme, referred to in this report. For Institutional and Accredited Investors in Singapore, please contact BNP Paribas, acting through its Singapore Branch (company registration number: S71FC2142G; address: 10 Collyer Quay, 34/F Ocean, Singapore 049315; tel: (65) 6210 1288; fax: (65) 6210 1980) for all matters and queries relating to this report.</w:t>
      </w:r>
    </w:p>
    <w:p w14:paraId="03A6850E" w14:textId="172287A7" w:rsidR="00CE5F00" w:rsidRDefault="00CE5F00" w:rsidP="00CE5F00">
      <w:pPr>
        <w:jc w:val="both"/>
        <w:rPr>
          <w:rFonts w:ascii="Arial Narrow" w:hAnsi="Arial Narrow"/>
        </w:rPr>
      </w:pPr>
      <w:r w:rsidRPr="00CE5F00">
        <w:rPr>
          <w:rFonts w:ascii="Arial Narrow" w:hAnsi="Arial Narrow"/>
        </w:rPr>
        <w:t>South Korea – Securities: BNP Paribas Securities Korea is registered as a Licensed Financial Investment Business Entity under the Financial Investment Business and Capital Markets Act and regulated by the Financial Supervisory Service and Financial Services Commission. This document/communication is distributed by BNP Paribas Securities Korea Co., Ltd. in the Republic of Korea to Professional Investors only and is not intended for investors in Korea who are not Professional Investor within the meaning of the Article 9 (5) (professional investor) of the Financial Investment Business and Capital Markets Act and should not be passed on to any such persons. Some products or transactions described in this document/communication may not be authorised in Korea and may not be available to Korean investors. Information in this document/communication is for general circulation to the intended recipients only and is not a recommendation or investment advice to recipients hereof since it does not take into account the specific investment objectives, financial situation and the particular needs of any particular recipient (“Specific Requirements”). A recipient of this document/communication should seek advice from its/his own financial adviser regarding the suitability of the products or transactions (taking into account the recipient’s Specific Requirements) as well as the risks involved in such products or transactions before a commitment to purchase or enter into any product or transaction is made. This document/communication is being provided in accordance with the procedures required under applicable laws and regulations as well as internal control standards of BNP Paribas Securities Korea.</w:t>
      </w:r>
    </w:p>
    <w:p w14:paraId="1E359BD2" w14:textId="25A9F19B" w:rsidR="00CE5F00" w:rsidRPr="00CE5F00" w:rsidRDefault="00CE5F00" w:rsidP="00CE5F00">
      <w:pPr>
        <w:jc w:val="both"/>
        <w:rPr>
          <w:rFonts w:ascii="Arial Narrow" w:hAnsi="Arial Narrow"/>
        </w:rPr>
      </w:pPr>
      <w:r w:rsidRPr="00CE5F00">
        <w:rPr>
          <w:rFonts w:ascii="Arial Narrow" w:hAnsi="Arial Narrow"/>
        </w:rPr>
        <w:t xml:space="preserve">France – Head Office: BNP Paribas is a public limited company incorporated in France (Registered Office: 16 boulevard des Italiens, 75009 Paris, France, 662 042 449 RCS Paris, www.bnpparibas.com ) </w:t>
      </w:r>
    </w:p>
    <w:p w14:paraId="09A78CB7" w14:textId="77777777" w:rsidR="00CE5F00" w:rsidRPr="00CE5F00" w:rsidRDefault="00CE5F00" w:rsidP="00CE5F00">
      <w:pPr>
        <w:jc w:val="both"/>
        <w:rPr>
          <w:rFonts w:ascii="Arial Narrow" w:hAnsi="Arial Narrow"/>
        </w:rPr>
      </w:pPr>
      <w:r w:rsidRPr="00CE5F00">
        <w:rPr>
          <w:rFonts w:ascii="Arial Narrow" w:hAnsi="Arial Narrow"/>
        </w:rPr>
        <w:t xml:space="preserve">BNP Paribas is a French credit institution that is authorised to perform banking activities and provide investment services under the law applicable in France and is subject to prudential supervision on a consolidated basis by the European Central Bank (“ECB”), in cooperation with the Autorité de Contrôle Prudentiel et de Résolution (“ACPR”). </w:t>
      </w:r>
    </w:p>
    <w:p w14:paraId="7BCDF3E6" w14:textId="77777777" w:rsidR="00CE5F00" w:rsidRPr="00CE5F00" w:rsidRDefault="00CE5F00" w:rsidP="00CE5F00">
      <w:pPr>
        <w:jc w:val="both"/>
        <w:rPr>
          <w:rFonts w:ascii="Arial Narrow" w:hAnsi="Arial Narrow"/>
        </w:rPr>
      </w:pPr>
      <w:r w:rsidRPr="00CE5F00">
        <w:rPr>
          <w:rFonts w:ascii="Arial Narrow" w:hAnsi="Arial Narrow"/>
        </w:rPr>
        <w:t>Some or all of the information contained in this document may already have been published on https://globalmarkets.bnpparibas.com</w:t>
      </w:r>
    </w:p>
    <w:p w14:paraId="2712B595" w14:textId="77777777" w:rsidR="00CE5F00" w:rsidRPr="00CE5F00" w:rsidRDefault="00CE5F00" w:rsidP="00CE5F00">
      <w:pPr>
        <w:jc w:val="both"/>
        <w:rPr>
          <w:rFonts w:ascii="Arial Narrow" w:hAnsi="Arial Narrow"/>
        </w:rPr>
      </w:pPr>
    </w:p>
    <w:p w14:paraId="1F207FC9" w14:textId="239EFD19" w:rsidR="002C35E3" w:rsidRPr="000C5844" w:rsidRDefault="00CE5F00" w:rsidP="002C35E3">
      <w:pPr>
        <w:ind w:right="11"/>
        <w:jc w:val="both"/>
        <w:rPr>
          <w:rFonts w:eastAsia="MS Mincho" w:cs="Arial"/>
          <w:sz w:val="16"/>
          <w:szCs w:val="16"/>
          <w:lang w:eastAsia="ja-JP"/>
        </w:rPr>
      </w:pPr>
      <w:r w:rsidRPr="00CE5F00">
        <w:rPr>
          <w:rFonts w:ascii="Arial Narrow" w:hAnsi="Arial Narrow"/>
        </w:rPr>
        <w:t>© BNP Paribas. All rights reserved.</w:t>
      </w:r>
    </w:p>
    <w:p w14:paraId="050CEFD6" w14:textId="77777777" w:rsidR="00CE1EF0" w:rsidRPr="00111091" w:rsidRDefault="00CE1EF0" w:rsidP="00185F33">
      <w:pPr>
        <w:rPr>
          <w:color w:val="000000"/>
          <w:lang w:val="en-US"/>
        </w:rPr>
      </w:pPr>
    </w:p>
    <w:sectPr w:rsidR="00CE1EF0" w:rsidRPr="00111091" w:rsidSect="0092681C">
      <w:headerReference w:type="default" r:id="rId12"/>
      <w:footerReference w:type="default" r:id="rId13"/>
      <w:type w:val="continuous"/>
      <w:pgSz w:w="11906" w:h="16838" w:code="9"/>
      <w:pgMar w:top="1871" w:right="851" w:bottom="1531" w:left="1191" w:header="85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1008C" w14:textId="77777777" w:rsidR="00D915E0" w:rsidRDefault="00D915E0">
      <w:r>
        <w:separator/>
      </w:r>
    </w:p>
  </w:endnote>
  <w:endnote w:type="continuationSeparator" w:id="0">
    <w:p w14:paraId="5B24FD89" w14:textId="77777777" w:rsidR="00D915E0" w:rsidRDefault="00D91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gfa Rotis Semisans">
    <w:panose1 w:val="020B0503040504030204"/>
    <w:charset w:val="00"/>
    <w:family w:val="swiss"/>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20B0704020202020204"/>
    <w:charset w:val="00"/>
    <w:family w:val="roman"/>
    <w:notTrueType/>
    <w:pitch w:val="default"/>
    <w:sig w:usb0="00000003" w:usb1="00000000" w:usb2="00000000" w:usb3="00000000" w:csb0="00000001" w:csb1="00000000"/>
  </w:font>
  <w:font w:name="Arial Narrow Bold">
    <w:panose1 w:val="020B0706020202030204"/>
    <w:charset w:val="00"/>
    <w:family w:val="auto"/>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
    <w:altName w:val="Malgun Gothic"/>
    <w:panose1 w:val="00000000000000000000"/>
    <w:charset w:val="81"/>
    <w:family w:val="roman"/>
    <w:notTrueType/>
    <w:pitch w:val="variable"/>
    <w:sig w:usb0="00000000" w:usb1="09060000" w:usb2="00000010" w:usb3="00000000" w:csb0="0008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1E0" w:firstRow="1" w:lastRow="1" w:firstColumn="1" w:lastColumn="1" w:noHBand="0" w:noVBand="0"/>
    </w:tblPr>
    <w:tblGrid>
      <w:gridCol w:w="9335"/>
      <w:gridCol w:w="235"/>
      <w:gridCol w:w="294"/>
    </w:tblGrid>
    <w:tr w:rsidR="002D31C1" w14:paraId="0520D0A0" w14:textId="77777777" w:rsidTr="00785829">
      <w:trPr>
        <w:trHeight w:val="227"/>
      </w:trPr>
      <w:tc>
        <w:tcPr>
          <w:tcW w:w="9015" w:type="dxa"/>
          <w:shd w:val="clear" w:color="auto" w:fill="auto"/>
          <w:tcMar>
            <w:left w:w="0" w:type="dxa"/>
            <w:right w:w="0" w:type="dxa"/>
          </w:tcMar>
          <w:vAlign w:val="bottom"/>
        </w:tcPr>
        <w:p w14:paraId="50D7D19D" w14:textId="77777777" w:rsidR="002D31C1" w:rsidRPr="00541C08" w:rsidRDefault="002D31C1" w:rsidP="000E2282">
          <w:pPr>
            <w:pStyle w:val="Footer"/>
            <w:jc w:val="right"/>
          </w:pPr>
        </w:p>
      </w:tc>
      <w:tc>
        <w:tcPr>
          <w:tcW w:w="227" w:type="dxa"/>
          <w:vMerge w:val="restart"/>
          <w:vAlign w:val="center"/>
        </w:tcPr>
        <w:p w14:paraId="029143B0" w14:textId="77777777" w:rsidR="002D31C1" w:rsidRPr="00CA323F" w:rsidRDefault="002D31C1" w:rsidP="000E2282">
          <w:pPr>
            <w:pStyle w:val="Footer"/>
            <w:spacing w:after="60"/>
            <w:jc w:val="center"/>
          </w:pPr>
        </w:p>
      </w:tc>
      <w:tc>
        <w:tcPr>
          <w:tcW w:w="284" w:type="dxa"/>
          <w:shd w:val="clear" w:color="auto" w:fill="0091B1"/>
          <w:vAlign w:val="center"/>
        </w:tcPr>
        <w:p w14:paraId="19DE6DA3" w14:textId="0957255F" w:rsidR="002D31C1" w:rsidRPr="00165013" w:rsidRDefault="002D31C1" w:rsidP="000E2282">
          <w:pPr>
            <w:jc w:val="center"/>
            <w:rPr>
              <w:b/>
              <w:color w:val="FFFFFF"/>
              <w:sz w:val="14"/>
              <w:szCs w:val="14"/>
            </w:rPr>
          </w:pPr>
          <w:r w:rsidRPr="00165013">
            <w:rPr>
              <w:rStyle w:val="PageNumber"/>
              <w:b w:val="0"/>
            </w:rPr>
            <w:fldChar w:fldCharType="begin"/>
          </w:r>
          <w:r w:rsidRPr="00165013">
            <w:rPr>
              <w:rStyle w:val="PageNumber"/>
              <w:b w:val="0"/>
            </w:rPr>
            <w:instrText xml:space="preserve"> PAGE </w:instrText>
          </w:r>
          <w:r w:rsidRPr="00165013">
            <w:rPr>
              <w:rStyle w:val="PageNumber"/>
              <w:b w:val="0"/>
            </w:rPr>
            <w:fldChar w:fldCharType="separate"/>
          </w:r>
          <w:r w:rsidR="003E684C">
            <w:rPr>
              <w:rStyle w:val="PageNumber"/>
              <w:b w:val="0"/>
              <w:noProof/>
            </w:rPr>
            <w:t>6</w:t>
          </w:r>
          <w:r w:rsidRPr="00165013">
            <w:rPr>
              <w:rStyle w:val="PageNumber"/>
              <w:b w:val="0"/>
            </w:rPr>
            <w:fldChar w:fldCharType="end"/>
          </w:r>
        </w:p>
      </w:tc>
    </w:tr>
    <w:tr w:rsidR="002D31C1" w14:paraId="0227BC5E" w14:textId="77777777" w:rsidTr="00785829">
      <w:trPr>
        <w:trHeight w:val="30"/>
      </w:trPr>
      <w:tc>
        <w:tcPr>
          <w:tcW w:w="9015" w:type="dxa"/>
          <w:shd w:val="clear" w:color="auto" w:fill="auto"/>
          <w:tcMar>
            <w:left w:w="0" w:type="dxa"/>
            <w:right w:w="0" w:type="dxa"/>
          </w:tcMar>
          <w:vAlign w:val="bottom"/>
        </w:tcPr>
        <w:p w14:paraId="56F03C67" w14:textId="77777777" w:rsidR="002D31C1" w:rsidRPr="00DD132B" w:rsidRDefault="002D31C1" w:rsidP="000E2282">
          <w:pPr>
            <w:pStyle w:val="Footer"/>
          </w:pPr>
        </w:p>
      </w:tc>
      <w:tc>
        <w:tcPr>
          <w:tcW w:w="227" w:type="dxa"/>
          <w:vMerge/>
        </w:tcPr>
        <w:p w14:paraId="594A10AF" w14:textId="77777777" w:rsidR="002D31C1" w:rsidRPr="001A0037" w:rsidRDefault="002D31C1" w:rsidP="000E2282">
          <w:pPr>
            <w:pStyle w:val="Footer"/>
            <w:jc w:val="center"/>
          </w:pPr>
        </w:p>
      </w:tc>
      <w:tc>
        <w:tcPr>
          <w:tcW w:w="284" w:type="dxa"/>
        </w:tcPr>
        <w:p w14:paraId="096EFE8A" w14:textId="77777777" w:rsidR="002D31C1" w:rsidRPr="001A0037" w:rsidRDefault="002D31C1" w:rsidP="000E2282">
          <w:pPr>
            <w:pStyle w:val="Footer"/>
            <w:jc w:val="center"/>
          </w:pPr>
        </w:p>
      </w:tc>
    </w:tr>
  </w:tbl>
  <w:p w14:paraId="49721985" w14:textId="71596A0A" w:rsidR="002D31C1" w:rsidRPr="00B26A19" w:rsidRDefault="002D31C1" w:rsidP="00B26A19">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1E0" w:firstRow="1" w:lastRow="1" w:firstColumn="1" w:lastColumn="1" w:noHBand="0" w:noVBand="0"/>
    </w:tblPr>
    <w:tblGrid>
      <w:gridCol w:w="9335"/>
      <w:gridCol w:w="235"/>
      <w:gridCol w:w="294"/>
    </w:tblGrid>
    <w:tr w:rsidR="002D31C1" w14:paraId="1FE53F84" w14:textId="77777777" w:rsidTr="00785829">
      <w:trPr>
        <w:trHeight w:val="227"/>
      </w:trPr>
      <w:tc>
        <w:tcPr>
          <w:tcW w:w="9015" w:type="dxa"/>
          <w:shd w:val="clear" w:color="auto" w:fill="auto"/>
          <w:tcMar>
            <w:left w:w="0" w:type="dxa"/>
            <w:right w:w="0" w:type="dxa"/>
          </w:tcMar>
          <w:vAlign w:val="bottom"/>
        </w:tcPr>
        <w:p w14:paraId="630C40D1" w14:textId="77777777" w:rsidR="002D31C1" w:rsidRPr="00541C08" w:rsidRDefault="002D31C1" w:rsidP="004C789E">
          <w:pPr>
            <w:pStyle w:val="Footer"/>
            <w:jc w:val="right"/>
          </w:pPr>
        </w:p>
      </w:tc>
      <w:tc>
        <w:tcPr>
          <w:tcW w:w="227" w:type="dxa"/>
          <w:vMerge w:val="restart"/>
          <w:vAlign w:val="center"/>
        </w:tcPr>
        <w:p w14:paraId="681F6A90" w14:textId="77777777" w:rsidR="002D31C1" w:rsidRPr="00CA323F" w:rsidRDefault="002D31C1" w:rsidP="004C789E">
          <w:pPr>
            <w:pStyle w:val="Footer"/>
            <w:spacing w:after="60"/>
            <w:jc w:val="center"/>
          </w:pPr>
        </w:p>
      </w:tc>
      <w:tc>
        <w:tcPr>
          <w:tcW w:w="284" w:type="dxa"/>
          <w:shd w:val="clear" w:color="auto" w:fill="0091B1"/>
          <w:vAlign w:val="center"/>
        </w:tcPr>
        <w:p w14:paraId="184811F2" w14:textId="0B2CD94B" w:rsidR="002D31C1" w:rsidRPr="00165013" w:rsidRDefault="002D31C1" w:rsidP="004C789E">
          <w:pPr>
            <w:jc w:val="center"/>
            <w:rPr>
              <w:b/>
              <w:color w:val="FFFFFF"/>
              <w:sz w:val="14"/>
              <w:szCs w:val="14"/>
            </w:rPr>
          </w:pPr>
          <w:r w:rsidRPr="00165013">
            <w:rPr>
              <w:rStyle w:val="PageNumber"/>
              <w:b w:val="0"/>
            </w:rPr>
            <w:fldChar w:fldCharType="begin"/>
          </w:r>
          <w:r w:rsidRPr="00165013">
            <w:rPr>
              <w:rStyle w:val="PageNumber"/>
              <w:b w:val="0"/>
            </w:rPr>
            <w:instrText xml:space="preserve"> PAGE </w:instrText>
          </w:r>
          <w:r w:rsidRPr="00165013">
            <w:rPr>
              <w:rStyle w:val="PageNumber"/>
              <w:b w:val="0"/>
            </w:rPr>
            <w:fldChar w:fldCharType="separate"/>
          </w:r>
          <w:r w:rsidR="003E684C">
            <w:rPr>
              <w:rStyle w:val="PageNumber"/>
              <w:b w:val="0"/>
              <w:noProof/>
            </w:rPr>
            <w:t>1</w:t>
          </w:r>
          <w:r w:rsidRPr="00165013">
            <w:rPr>
              <w:rStyle w:val="PageNumber"/>
              <w:b w:val="0"/>
            </w:rPr>
            <w:fldChar w:fldCharType="end"/>
          </w:r>
        </w:p>
      </w:tc>
    </w:tr>
    <w:tr w:rsidR="002D31C1" w14:paraId="59FBCBEA" w14:textId="77777777" w:rsidTr="00785829">
      <w:trPr>
        <w:trHeight w:val="30"/>
      </w:trPr>
      <w:tc>
        <w:tcPr>
          <w:tcW w:w="9015" w:type="dxa"/>
          <w:shd w:val="clear" w:color="auto" w:fill="auto"/>
          <w:tcMar>
            <w:left w:w="0" w:type="dxa"/>
            <w:right w:w="0" w:type="dxa"/>
          </w:tcMar>
          <w:vAlign w:val="bottom"/>
        </w:tcPr>
        <w:p w14:paraId="38C2732F" w14:textId="77777777" w:rsidR="002D31C1" w:rsidRPr="00DD132B" w:rsidRDefault="002D31C1" w:rsidP="004C789E">
          <w:pPr>
            <w:pStyle w:val="Footer"/>
          </w:pPr>
        </w:p>
      </w:tc>
      <w:tc>
        <w:tcPr>
          <w:tcW w:w="227" w:type="dxa"/>
          <w:vMerge/>
        </w:tcPr>
        <w:p w14:paraId="16C9AFD0" w14:textId="77777777" w:rsidR="002D31C1" w:rsidRPr="001A0037" w:rsidRDefault="002D31C1" w:rsidP="004C789E">
          <w:pPr>
            <w:pStyle w:val="Footer"/>
            <w:jc w:val="center"/>
          </w:pPr>
        </w:p>
      </w:tc>
      <w:tc>
        <w:tcPr>
          <w:tcW w:w="284" w:type="dxa"/>
        </w:tcPr>
        <w:p w14:paraId="526A7AF4" w14:textId="77777777" w:rsidR="002D31C1" w:rsidRPr="001A0037" w:rsidRDefault="002D31C1" w:rsidP="004C789E">
          <w:pPr>
            <w:pStyle w:val="Footer"/>
            <w:jc w:val="center"/>
          </w:pPr>
        </w:p>
      </w:tc>
    </w:tr>
  </w:tbl>
  <w:p w14:paraId="2BCAB1B7" w14:textId="7520408D" w:rsidR="002D31C1" w:rsidRPr="00E178D7" w:rsidRDefault="002D31C1" w:rsidP="00D148CA">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1E0" w:firstRow="1" w:lastRow="1" w:firstColumn="1" w:lastColumn="1" w:noHBand="0" w:noVBand="0"/>
    </w:tblPr>
    <w:tblGrid>
      <w:gridCol w:w="9335"/>
      <w:gridCol w:w="235"/>
      <w:gridCol w:w="294"/>
    </w:tblGrid>
    <w:tr w:rsidR="002D31C1" w14:paraId="4609F316" w14:textId="77777777" w:rsidTr="00785829">
      <w:trPr>
        <w:trHeight w:val="227"/>
      </w:trPr>
      <w:tc>
        <w:tcPr>
          <w:tcW w:w="9015" w:type="dxa"/>
          <w:shd w:val="clear" w:color="auto" w:fill="auto"/>
          <w:tcMar>
            <w:left w:w="0" w:type="dxa"/>
            <w:right w:w="0" w:type="dxa"/>
          </w:tcMar>
          <w:vAlign w:val="bottom"/>
        </w:tcPr>
        <w:p w14:paraId="4436DC99" w14:textId="364C3699" w:rsidR="002D31C1" w:rsidRPr="00541C08" w:rsidRDefault="002D31C1" w:rsidP="00FD7E95">
          <w:pPr>
            <w:pStyle w:val="Footer"/>
            <w:jc w:val="right"/>
          </w:pPr>
        </w:p>
      </w:tc>
      <w:tc>
        <w:tcPr>
          <w:tcW w:w="227" w:type="dxa"/>
          <w:vMerge w:val="restart"/>
          <w:vAlign w:val="center"/>
        </w:tcPr>
        <w:p w14:paraId="07B9C4F5" w14:textId="77777777" w:rsidR="002D31C1" w:rsidRPr="00CA323F" w:rsidRDefault="002D31C1" w:rsidP="00FD7E95">
          <w:pPr>
            <w:pStyle w:val="Footer"/>
            <w:spacing w:after="60"/>
            <w:jc w:val="center"/>
          </w:pPr>
        </w:p>
      </w:tc>
      <w:tc>
        <w:tcPr>
          <w:tcW w:w="284" w:type="dxa"/>
          <w:shd w:val="clear" w:color="auto" w:fill="0091B1"/>
          <w:vAlign w:val="center"/>
        </w:tcPr>
        <w:p w14:paraId="7CC5A9A4" w14:textId="4DBE17FE" w:rsidR="002D31C1" w:rsidRPr="00165013" w:rsidRDefault="002D31C1" w:rsidP="00FD7E95">
          <w:pPr>
            <w:jc w:val="center"/>
            <w:rPr>
              <w:b/>
              <w:color w:val="FFFFFF"/>
              <w:sz w:val="14"/>
              <w:szCs w:val="14"/>
            </w:rPr>
          </w:pPr>
          <w:r w:rsidRPr="00165013">
            <w:rPr>
              <w:rStyle w:val="PageNumber"/>
              <w:b w:val="0"/>
            </w:rPr>
            <w:fldChar w:fldCharType="begin"/>
          </w:r>
          <w:r w:rsidRPr="00165013">
            <w:rPr>
              <w:rStyle w:val="PageNumber"/>
              <w:b w:val="0"/>
            </w:rPr>
            <w:instrText xml:space="preserve"> PAGE </w:instrText>
          </w:r>
          <w:r w:rsidRPr="00165013">
            <w:rPr>
              <w:rStyle w:val="PageNumber"/>
              <w:b w:val="0"/>
            </w:rPr>
            <w:fldChar w:fldCharType="separate"/>
          </w:r>
          <w:r w:rsidR="003E684C">
            <w:rPr>
              <w:rStyle w:val="PageNumber"/>
              <w:b w:val="0"/>
              <w:noProof/>
            </w:rPr>
            <w:t>11</w:t>
          </w:r>
          <w:r w:rsidRPr="00165013">
            <w:rPr>
              <w:rStyle w:val="PageNumber"/>
              <w:b w:val="0"/>
            </w:rPr>
            <w:fldChar w:fldCharType="end"/>
          </w:r>
        </w:p>
      </w:tc>
    </w:tr>
    <w:tr w:rsidR="002D31C1" w14:paraId="1A1D4237" w14:textId="77777777" w:rsidTr="00785829">
      <w:trPr>
        <w:trHeight w:val="30"/>
      </w:trPr>
      <w:tc>
        <w:tcPr>
          <w:tcW w:w="9015" w:type="dxa"/>
          <w:shd w:val="clear" w:color="auto" w:fill="auto"/>
          <w:tcMar>
            <w:left w:w="0" w:type="dxa"/>
            <w:right w:w="0" w:type="dxa"/>
          </w:tcMar>
          <w:vAlign w:val="bottom"/>
        </w:tcPr>
        <w:p w14:paraId="06BF6C3C" w14:textId="77777777" w:rsidR="002D31C1" w:rsidRPr="00DD132B" w:rsidRDefault="002D31C1" w:rsidP="00FD7E95">
          <w:pPr>
            <w:pStyle w:val="Footer"/>
          </w:pPr>
        </w:p>
      </w:tc>
      <w:tc>
        <w:tcPr>
          <w:tcW w:w="227" w:type="dxa"/>
          <w:vMerge/>
        </w:tcPr>
        <w:p w14:paraId="78A7FA15" w14:textId="77777777" w:rsidR="002D31C1" w:rsidRPr="001A0037" w:rsidRDefault="002D31C1" w:rsidP="00FD7E95">
          <w:pPr>
            <w:pStyle w:val="Footer"/>
            <w:jc w:val="center"/>
          </w:pPr>
        </w:p>
      </w:tc>
      <w:tc>
        <w:tcPr>
          <w:tcW w:w="284" w:type="dxa"/>
        </w:tcPr>
        <w:p w14:paraId="5F31F1FC" w14:textId="77777777" w:rsidR="002D31C1" w:rsidRPr="001A0037" w:rsidRDefault="002D31C1" w:rsidP="00FD7E95">
          <w:pPr>
            <w:pStyle w:val="Footer"/>
            <w:jc w:val="center"/>
          </w:pPr>
        </w:p>
      </w:tc>
    </w:tr>
  </w:tbl>
  <w:p w14:paraId="6F820082" w14:textId="54C7193E" w:rsidR="002D31C1" w:rsidRPr="00E178D7" w:rsidRDefault="002D31C1" w:rsidP="00D148CA">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4A929" w14:textId="77777777" w:rsidR="00D915E0" w:rsidRDefault="00D915E0">
      <w:r>
        <w:separator/>
      </w:r>
    </w:p>
  </w:footnote>
  <w:footnote w:type="continuationSeparator" w:id="0">
    <w:p w14:paraId="02B6BF1E" w14:textId="77777777" w:rsidR="00D915E0" w:rsidRDefault="00D91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12"/>
      <w:gridCol w:w="515"/>
      <w:gridCol w:w="6509"/>
      <w:gridCol w:w="964"/>
      <w:gridCol w:w="1359"/>
    </w:tblGrid>
    <w:tr w:rsidR="002D31C1" w:rsidRPr="00AB5B9B" w14:paraId="4C9A6366" w14:textId="77777777" w:rsidTr="00AB5B9B">
      <w:trPr>
        <w:trHeight w:val="40"/>
      </w:trPr>
      <w:tc>
        <w:tcPr>
          <w:tcW w:w="260" w:type="pct"/>
          <w:tcBorders>
            <w:top w:val="single" w:sz="4" w:space="0" w:color="C0C0C0"/>
            <w:left w:val="single" w:sz="4" w:space="0" w:color="C0C0C0"/>
            <w:bottom w:val="single" w:sz="4" w:space="0" w:color="C0C0C0"/>
            <w:right w:val="single" w:sz="4" w:space="0" w:color="C0C0C0"/>
          </w:tcBorders>
          <w:shd w:val="clear" w:color="auto" w:fill="auto"/>
        </w:tcPr>
        <w:p w14:paraId="4BC41DCA" w14:textId="77777777" w:rsidR="002D31C1" w:rsidRPr="00BD262B" w:rsidRDefault="002D31C1" w:rsidP="001054B4">
          <w:pPr>
            <w:pStyle w:val="signTop"/>
          </w:pPr>
          <w:r>
            <w:rPr>
              <w:noProof/>
              <w:lang w:val="en-US" w:eastAsia="zh-CN"/>
            </w:rPr>
            <w:drawing>
              <wp:anchor distT="0" distB="0" distL="114300" distR="114300" simplePos="0" relativeHeight="251658240" behindDoc="0" locked="0" layoutInCell="1" allowOverlap="1" wp14:anchorId="2FE025BC" wp14:editId="45146CCC">
                <wp:simplePos x="0" y="0"/>
                <wp:positionH relativeFrom="column">
                  <wp:posOffset>78105</wp:posOffset>
                </wp:positionH>
                <wp:positionV relativeFrom="paragraph">
                  <wp:posOffset>-99060</wp:posOffset>
                </wp:positionV>
                <wp:extent cx="2333625" cy="545465"/>
                <wp:effectExtent l="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3625" cy="545465"/>
                        </a:xfrm>
                        <a:prstGeom prst="rect">
                          <a:avLst/>
                        </a:prstGeom>
                        <a:noFill/>
                      </pic:spPr>
                    </pic:pic>
                  </a:graphicData>
                </a:graphic>
                <wp14:sizeRelH relativeFrom="page">
                  <wp14:pctWidth>0</wp14:pctWidth>
                </wp14:sizeRelH>
                <wp14:sizeRelV relativeFrom="page">
                  <wp14:pctHeight>0</wp14:pctHeight>
                </wp14:sizeRelV>
              </wp:anchor>
            </w:drawing>
          </w:r>
        </w:p>
      </w:tc>
      <w:tc>
        <w:tcPr>
          <w:tcW w:w="4740" w:type="pct"/>
          <w:gridSpan w:val="4"/>
          <w:shd w:val="clear" w:color="auto" w:fill="auto"/>
        </w:tcPr>
        <w:p w14:paraId="3DB7BB54" w14:textId="77777777" w:rsidR="002D31C1" w:rsidRPr="00AB5B9B" w:rsidRDefault="002D31C1" w:rsidP="00BD262B">
          <w:pPr>
            <w:rPr>
              <w:sz w:val="2"/>
              <w:szCs w:val="18"/>
            </w:rPr>
          </w:pPr>
        </w:p>
      </w:tc>
    </w:tr>
    <w:tr w:rsidR="002D31C1" w:rsidRPr="00AB5B9B" w14:paraId="190AB059" w14:textId="77777777" w:rsidTr="00AB5B9B">
      <w:trPr>
        <w:trHeight w:val="70"/>
      </w:trPr>
      <w:tc>
        <w:tcPr>
          <w:tcW w:w="260" w:type="pct"/>
          <w:vMerge w:val="restart"/>
          <w:tcBorders>
            <w:top w:val="single" w:sz="4" w:space="0" w:color="C0C0C0"/>
            <w:left w:val="single" w:sz="4" w:space="0" w:color="C0C0C0"/>
            <w:bottom w:val="single" w:sz="4" w:space="0" w:color="C0C0C0"/>
            <w:right w:val="single" w:sz="4" w:space="0" w:color="C0C0C0"/>
          </w:tcBorders>
          <w:shd w:val="clear" w:color="auto" w:fill="auto"/>
          <w:vAlign w:val="center"/>
        </w:tcPr>
        <w:p w14:paraId="59E430BF" w14:textId="77777777" w:rsidR="002D31C1" w:rsidRPr="00BD262B" w:rsidRDefault="002D31C1" w:rsidP="00F01A9D">
          <w:pPr>
            <w:pStyle w:val="logoline"/>
          </w:pPr>
        </w:p>
      </w:tc>
      <w:tc>
        <w:tcPr>
          <w:tcW w:w="261" w:type="pct"/>
          <w:vMerge w:val="restart"/>
          <w:tcBorders>
            <w:top w:val="single" w:sz="4" w:space="0" w:color="auto"/>
            <w:bottom w:val="single" w:sz="4" w:space="0" w:color="auto"/>
          </w:tcBorders>
          <w:shd w:val="clear" w:color="auto" w:fill="auto"/>
          <w:vAlign w:val="center"/>
        </w:tcPr>
        <w:p w14:paraId="222EF06C" w14:textId="77777777" w:rsidR="002D31C1" w:rsidRPr="00AB5B9B" w:rsidRDefault="002D31C1" w:rsidP="00BD262B">
          <w:pPr>
            <w:rPr>
              <w:sz w:val="2"/>
              <w:szCs w:val="18"/>
            </w:rPr>
          </w:pPr>
        </w:p>
      </w:tc>
      <w:tc>
        <w:tcPr>
          <w:tcW w:w="3301" w:type="pct"/>
          <w:vMerge w:val="restart"/>
          <w:tcBorders>
            <w:top w:val="single" w:sz="4" w:space="0" w:color="auto"/>
            <w:bottom w:val="single" w:sz="4" w:space="0" w:color="auto"/>
          </w:tcBorders>
          <w:shd w:val="clear" w:color="auto" w:fill="auto"/>
          <w:vAlign w:val="center"/>
        </w:tcPr>
        <w:p w14:paraId="7DCA1B53" w14:textId="77777777" w:rsidR="002D31C1" w:rsidRPr="00BD262B" w:rsidRDefault="002D31C1" w:rsidP="00F01A9D">
          <w:pPr>
            <w:pStyle w:val="LogoTextPos"/>
          </w:pPr>
        </w:p>
      </w:tc>
      <w:tc>
        <w:tcPr>
          <w:tcW w:w="489" w:type="pct"/>
          <w:tcBorders>
            <w:top w:val="single" w:sz="4" w:space="0" w:color="auto"/>
          </w:tcBorders>
          <w:shd w:val="clear" w:color="auto" w:fill="auto"/>
        </w:tcPr>
        <w:p w14:paraId="4D8732EB" w14:textId="77777777" w:rsidR="002D31C1" w:rsidRPr="00BD262B" w:rsidRDefault="002D31C1" w:rsidP="00F01A9D">
          <w:pPr>
            <w:pStyle w:val="signTop"/>
          </w:pPr>
        </w:p>
      </w:tc>
      <w:tc>
        <w:tcPr>
          <w:tcW w:w="689" w:type="pct"/>
          <w:tcBorders>
            <w:top w:val="single" w:sz="4" w:space="0" w:color="auto"/>
            <w:right w:val="single" w:sz="4" w:space="0" w:color="auto"/>
          </w:tcBorders>
          <w:shd w:val="clear" w:color="auto" w:fill="auto"/>
          <w:vAlign w:val="center"/>
        </w:tcPr>
        <w:p w14:paraId="56B92D46" w14:textId="77777777" w:rsidR="002D31C1" w:rsidRPr="00BD262B" w:rsidRDefault="002D31C1" w:rsidP="00F01A9D">
          <w:pPr>
            <w:pStyle w:val="signTop"/>
          </w:pPr>
        </w:p>
      </w:tc>
    </w:tr>
    <w:tr w:rsidR="002D31C1" w:rsidRPr="00AB5B9B" w14:paraId="58040F23" w14:textId="77777777" w:rsidTr="00AB5B9B">
      <w:trPr>
        <w:trHeight w:val="170"/>
      </w:trPr>
      <w:tc>
        <w:tcPr>
          <w:tcW w:w="260" w:type="pct"/>
          <w:vMerge/>
          <w:tcBorders>
            <w:top w:val="single" w:sz="4" w:space="0" w:color="C0C0C0"/>
            <w:left w:val="single" w:sz="4" w:space="0" w:color="C0C0C0"/>
            <w:bottom w:val="single" w:sz="4" w:space="0" w:color="C0C0C0"/>
            <w:right w:val="single" w:sz="4" w:space="0" w:color="C0C0C0"/>
          </w:tcBorders>
          <w:shd w:val="clear" w:color="auto" w:fill="auto"/>
        </w:tcPr>
        <w:p w14:paraId="4A1BF89C" w14:textId="77777777" w:rsidR="002D31C1" w:rsidRPr="00AB5B9B" w:rsidRDefault="002D31C1" w:rsidP="00BD262B">
          <w:pPr>
            <w:rPr>
              <w:sz w:val="32"/>
              <w:szCs w:val="32"/>
            </w:rPr>
          </w:pPr>
        </w:p>
      </w:tc>
      <w:tc>
        <w:tcPr>
          <w:tcW w:w="261" w:type="pct"/>
          <w:vMerge/>
          <w:tcBorders>
            <w:bottom w:val="single" w:sz="4" w:space="0" w:color="auto"/>
          </w:tcBorders>
          <w:shd w:val="clear" w:color="auto" w:fill="auto"/>
        </w:tcPr>
        <w:p w14:paraId="2E1D4DF1" w14:textId="77777777" w:rsidR="002D31C1" w:rsidRPr="00AB5B9B" w:rsidRDefault="002D31C1" w:rsidP="00BD262B">
          <w:pPr>
            <w:rPr>
              <w:sz w:val="2"/>
              <w:szCs w:val="18"/>
            </w:rPr>
          </w:pPr>
        </w:p>
      </w:tc>
      <w:tc>
        <w:tcPr>
          <w:tcW w:w="3301" w:type="pct"/>
          <w:vMerge/>
          <w:tcBorders>
            <w:bottom w:val="single" w:sz="4" w:space="0" w:color="auto"/>
          </w:tcBorders>
          <w:shd w:val="clear" w:color="auto" w:fill="auto"/>
        </w:tcPr>
        <w:p w14:paraId="3543E527" w14:textId="77777777" w:rsidR="002D31C1" w:rsidRPr="00AB5B9B" w:rsidRDefault="002D31C1" w:rsidP="00BD262B">
          <w:pPr>
            <w:rPr>
              <w:sz w:val="2"/>
              <w:szCs w:val="18"/>
            </w:rPr>
          </w:pPr>
        </w:p>
      </w:tc>
      <w:tc>
        <w:tcPr>
          <w:tcW w:w="489" w:type="pct"/>
          <w:tcBorders>
            <w:right w:val="single" w:sz="4" w:space="0" w:color="auto"/>
          </w:tcBorders>
          <w:shd w:val="clear" w:color="auto" w:fill="auto"/>
          <w:vAlign w:val="center"/>
        </w:tcPr>
        <w:p w14:paraId="08BAD167" w14:textId="77777777" w:rsidR="002D31C1" w:rsidRPr="00BD262B" w:rsidRDefault="002D31C1" w:rsidP="00F01A9D">
          <w:pPr>
            <w:pStyle w:val="LogoTextPos"/>
          </w:pPr>
        </w:p>
      </w:tc>
      <w:tc>
        <w:tcPr>
          <w:tcW w:w="689" w:type="pct"/>
          <w:tcBorders>
            <w:left w:val="single" w:sz="4" w:space="0" w:color="auto"/>
            <w:right w:val="single" w:sz="4" w:space="0" w:color="auto"/>
          </w:tcBorders>
          <w:shd w:val="clear" w:color="auto" w:fill="auto"/>
          <w:vAlign w:val="center"/>
        </w:tcPr>
        <w:p w14:paraId="020013CB" w14:textId="66C2D844" w:rsidR="002D31C1" w:rsidRPr="00AB5B9B" w:rsidRDefault="002D31C1" w:rsidP="00AB5B9B">
          <w:pPr>
            <w:spacing w:before="20" w:after="20"/>
            <w:ind w:left="113"/>
            <w:rPr>
              <w:rFonts w:ascii="Arial Narrow" w:hAnsi="Arial Narrow"/>
              <w:sz w:val="16"/>
              <w:szCs w:val="16"/>
            </w:rPr>
          </w:pPr>
          <w:r w:rsidRPr="00AB5B9B">
            <w:rPr>
              <w:rFonts w:ascii="Arial Narrow" w:hAnsi="Arial Narrow"/>
              <w:sz w:val="16"/>
              <w:szCs w:val="16"/>
            </w:rPr>
            <w:fldChar w:fldCharType="begin"/>
          </w:r>
          <w:r w:rsidRPr="00AB5B9B">
            <w:rPr>
              <w:rFonts w:ascii="Arial Narrow" w:hAnsi="Arial Narrow"/>
              <w:sz w:val="16"/>
              <w:szCs w:val="16"/>
            </w:rPr>
            <w:instrText xml:space="preserve"> DATE  \@ "d MMMM yyyy"  \* MERGEFORMAT </w:instrText>
          </w:r>
          <w:r w:rsidRPr="00AB5B9B">
            <w:rPr>
              <w:rFonts w:ascii="Arial Narrow" w:hAnsi="Arial Narrow"/>
              <w:sz w:val="16"/>
              <w:szCs w:val="16"/>
            </w:rPr>
            <w:fldChar w:fldCharType="separate"/>
          </w:r>
          <w:r w:rsidR="0021624C">
            <w:rPr>
              <w:rFonts w:ascii="Arial Narrow" w:hAnsi="Arial Narrow"/>
              <w:noProof/>
              <w:sz w:val="16"/>
              <w:szCs w:val="16"/>
            </w:rPr>
            <w:t>4 January 2024</w:t>
          </w:r>
          <w:r w:rsidRPr="00AB5B9B">
            <w:rPr>
              <w:rFonts w:ascii="Arial Narrow" w:hAnsi="Arial Narrow"/>
              <w:sz w:val="16"/>
              <w:szCs w:val="16"/>
            </w:rPr>
            <w:fldChar w:fldCharType="end"/>
          </w:r>
        </w:p>
      </w:tc>
    </w:tr>
    <w:tr w:rsidR="002D31C1" w:rsidRPr="00AB5B9B" w14:paraId="36F76042" w14:textId="77777777" w:rsidTr="00AB5B9B">
      <w:trPr>
        <w:trHeight w:val="40"/>
      </w:trPr>
      <w:tc>
        <w:tcPr>
          <w:tcW w:w="260" w:type="pct"/>
          <w:vMerge/>
          <w:tcBorders>
            <w:top w:val="single" w:sz="4" w:space="0" w:color="C0C0C0"/>
            <w:left w:val="single" w:sz="4" w:space="0" w:color="C0C0C0"/>
            <w:bottom w:val="single" w:sz="4" w:space="0" w:color="C0C0C0"/>
            <w:right w:val="single" w:sz="4" w:space="0" w:color="C0C0C0"/>
          </w:tcBorders>
          <w:shd w:val="clear" w:color="auto" w:fill="auto"/>
        </w:tcPr>
        <w:p w14:paraId="2EC59AFE" w14:textId="77777777" w:rsidR="002D31C1" w:rsidRPr="00AB5B9B" w:rsidRDefault="002D31C1" w:rsidP="00BD262B">
          <w:pPr>
            <w:rPr>
              <w:sz w:val="32"/>
              <w:szCs w:val="32"/>
            </w:rPr>
          </w:pPr>
        </w:p>
      </w:tc>
      <w:tc>
        <w:tcPr>
          <w:tcW w:w="261" w:type="pct"/>
          <w:vMerge/>
          <w:tcBorders>
            <w:bottom w:val="single" w:sz="4" w:space="0" w:color="auto"/>
          </w:tcBorders>
          <w:shd w:val="clear" w:color="auto" w:fill="auto"/>
        </w:tcPr>
        <w:p w14:paraId="6DD7D49E" w14:textId="77777777" w:rsidR="002D31C1" w:rsidRPr="00AB5B9B" w:rsidRDefault="002D31C1" w:rsidP="00BD262B">
          <w:pPr>
            <w:rPr>
              <w:sz w:val="2"/>
              <w:szCs w:val="18"/>
            </w:rPr>
          </w:pPr>
        </w:p>
      </w:tc>
      <w:tc>
        <w:tcPr>
          <w:tcW w:w="3301" w:type="pct"/>
          <w:vMerge/>
          <w:tcBorders>
            <w:bottom w:val="single" w:sz="4" w:space="0" w:color="auto"/>
          </w:tcBorders>
          <w:shd w:val="clear" w:color="auto" w:fill="auto"/>
        </w:tcPr>
        <w:p w14:paraId="0C04A325" w14:textId="77777777" w:rsidR="002D31C1" w:rsidRPr="00AB5B9B" w:rsidRDefault="002D31C1" w:rsidP="00BD262B">
          <w:pPr>
            <w:rPr>
              <w:sz w:val="2"/>
              <w:szCs w:val="18"/>
            </w:rPr>
          </w:pPr>
        </w:p>
      </w:tc>
      <w:tc>
        <w:tcPr>
          <w:tcW w:w="489" w:type="pct"/>
          <w:tcBorders>
            <w:bottom w:val="single" w:sz="4" w:space="0" w:color="auto"/>
          </w:tcBorders>
          <w:shd w:val="clear" w:color="auto" w:fill="auto"/>
          <w:vAlign w:val="center"/>
        </w:tcPr>
        <w:p w14:paraId="28F36BBB" w14:textId="77777777" w:rsidR="002D31C1" w:rsidRPr="00BD262B" w:rsidRDefault="002D31C1" w:rsidP="00F01A9D">
          <w:pPr>
            <w:pStyle w:val="signTop"/>
          </w:pPr>
        </w:p>
      </w:tc>
      <w:tc>
        <w:tcPr>
          <w:tcW w:w="689" w:type="pct"/>
          <w:tcBorders>
            <w:bottom w:val="single" w:sz="4" w:space="0" w:color="auto"/>
            <w:right w:val="single" w:sz="4" w:space="0" w:color="auto"/>
          </w:tcBorders>
          <w:shd w:val="clear" w:color="auto" w:fill="auto"/>
          <w:vAlign w:val="center"/>
        </w:tcPr>
        <w:p w14:paraId="1D789BA2" w14:textId="77777777" w:rsidR="002D31C1" w:rsidRPr="00BD262B" w:rsidRDefault="002D31C1" w:rsidP="00F01A9D">
          <w:pPr>
            <w:pStyle w:val="signTop"/>
          </w:pPr>
        </w:p>
      </w:tc>
    </w:tr>
    <w:tr w:rsidR="002D31C1" w:rsidRPr="00AB5B9B" w14:paraId="6BBF2849" w14:textId="77777777" w:rsidTr="00AB5B9B">
      <w:tc>
        <w:tcPr>
          <w:tcW w:w="260" w:type="pct"/>
          <w:tcBorders>
            <w:top w:val="single" w:sz="4" w:space="0" w:color="C0C0C0"/>
            <w:left w:val="single" w:sz="4" w:space="0" w:color="C0C0C0"/>
            <w:bottom w:val="single" w:sz="4" w:space="0" w:color="C0C0C0"/>
            <w:right w:val="single" w:sz="4" w:space="0" w:color="C0C0C0"/>
          </w:tcBorders>
          <w:shd w:val="clear" w:color="auto" w:fill="auto"/>
        </w:tcPr>
        <w:p w14:paraId="4B34859D" w14:textId="77777777" w:rsidR="002D31C1" w:rsidRPr="00BD262B" w:rsidRDefault="002D31C1" w:rsidP="001054B4">
          <w:pPr>
            <w:pStyle w:val="signTop"/>
          </w:pPr>
        </w:p>
      </w:tc>
      <w:tc>
        <w:tcPr>
          <w:tcW w:w="4740" w:type="pct"/>
          <w:gridSpan w:val="4"/>
          <w:shd w:val="clear" w:color="auto" w:fill="auto"/>
        </w:tcPr>
        <w:p w14:paraId="38F6B65F" w14:textId="77777777" w:rsidR="002D31C1" w:rsidRPr="00BD262B" w:rsidRDefault="002D31C1" w:rsidP="001054B4">
          <w:pPr>
            <w:pStyle w:val="signTop"/>
          </w:pPr>
        </w:p>
      </w:tc>
    </w:tr>
  </w:tbl>
  <w:p w14:paraId="1F796731" w14:textId="77777777" w:rsidR="002D31C1" w:rsidRDefault="002D31C1" w:rsidP="000A1252">
    <w:pPr>
      <w:pStyle w:val="Spac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FFFFFF"/>
      </w:tblBorders>
      <w:tblLayout w:type="fixed"/>
      <w:tblCellMar>
        <w:left w:w="0" w:type="dxa"/>
        <w:right w:w="0" w:type="dxa"/>
      </w:tblCellMar>
      <w:tblLook w:val="01E0" w:firstRow="1" w:lastRow="1" w:firstColumn="1" w:lastColumn="1" w:noHBand="0" w:noVBand="0"/>
    </w:tblPr>
    <w:tblGrid>
      <w:gridCol w:w="686"/>
      <w:gridCol w:w="687"/>
      <w:gridCol w:w="3663"/>
      <w:gridCol w:w="2344"/>
      <w:gridCol w:w="225"/>
      <w:gridCol w:w="495"/>
      <w:gridCol w:w="1440"/>
      <w:gridCol w:w="324"/>
    </w:tblGrid>
    <w:tr w:rsidR="002D31C1" w:rsidRPr="00BC5FF7" w14:paraId="155E43B0" w14:textId="77777777">
      <w:trPr>
        <w:trHeight w:val="50"/>
      </w:trPr>
      <w:tc>
        <w:tcPr>
          <w:tcW w:w="2553" w:type="pct"/>
          <w:gridSpan w:val="3"/>
          <w:tcBorders>
            <w:bottom w:val="nil"/>
          </w:tcBorders>
          <w:shd w:val="clear" w:color="auto" w:fill="DBE2E9"/>
        </w:tcPr>
        <w:p w14:paraId="1D020096" w14:textId="77777777" w:rsidR="002D31C1" w:rsidRPr="001A7B2D" w:rsidRDefault="002D31C1" w:rsidP="00FD7E95">
          <w:pPr>
            <w:rPr>
              <w:sz w:val="10"/>
              <w:szCs w:val="10"/>
            </w:rPr>
          </w:pPr>
          <w:r>
            <w:rPr>
              <w:noProof/>
              <w:lang w:val="en-US" w:eastAsia="zh-CN"/>
            </w:rPr>
            <w:drawing>
              <wp:anchor distT="0" distB="0" distL="114300" distR="114300" simplePos="0" relativeHeight="251657216" behindDoc="0" locked="0" layoutInCell="1" allowOverlap="1" wp14:anchorId="3B9E9D3C" wp14:editId="4F02D971">
                <wp:simplePos x="0" y="0"/>
                <wp:positionH relativeFrom="column">
                  <wp:posOffset>254635</wp:posOffset>
                </wp:positionH>
                <wp:positionV relativeFrom="paragraph">
                  <wp:posOffset>63500</wp:posOffset>
                </wp:positionV>
                <wp:extent cx="2333625" cy="545465"/>
                <wp:effectExtent l="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3625" cy="545465"/>
                        </a:xfrm>
                        <a:prstGeom prst="rect">
                          <a:avLst/>
                        </a:prstGeom>
                        <a:noFill/>
                      </pic:spPr>
                    </pic:pic>
                  </a:graphicData>
                </a:graphic>
                <wp14:sizeRelH relativeFrom="page">
                  <wp14:pctWidth>0</wp14:pctWidth>
                </wp14:sizeRelH>
                <wp14:sizeRelV relativeFrom="page">
                  <wp14:pctHeight>0</wp14:pctHeight>
                </wp14:sizeRelV>
              </wp:anchor>
            </w:drawing>
          </w:r>
        </w:p>
      </w:tc>
      <w:tc>
        <w:tcPr>
          <w:tcW w:w="1188" w:type="pct"/>
          <w:tcBorders>
            <w:bottom w:val="nil"/>
          </w:tcBorders>
          <w:shd w:val="clear" w:color="auto" w:fill="DBE2E9"/>
        </w:tcPr>
        <w:p w14:paraId="70DD39A7" w14:textId="77777777" w:rsidR="002D31C1" w:rsidRPr="00BC5FF7" w:rsidRDefault="002D31C1" w:rsidP="00FD7E95">
          <w:pPr>
            <w:rPr>
              <w:sz w:val="2"/>
              <w:szCs w:val="2"/>
            </w:rPr>
          </w:pPr>
        </w:p>
      </w:tc>
      <w:tc>
        <w:tcPr>
          <w:tcW w:w="1259" w:type="pct"/>
          <w:gridSpan w:val="4"/>
          <w:tcBorders>
            <w:bottom w:val="nil"/>
          </w:tcBorders>
          <w:shd w:val="clear" w:color="auto" w:fill="DBE2E9"/>
        </w:tcPr>
        <w:p w14:paraId="71F9C097" w14:textId="77777777" w:rsidR="002D31C1" w:rsidRPr="00BC5FF7" w:rsidRDefault="002D31C1" w:rsidP="00FD7E95">
          <w:pPr>
            <w:rPr>
              <w:sz w:val="2"/>
              <w:szCs w:val="2"/>
            </w:rPr>
          </w:pPr>
        </w:p>
      </w:tc>
    </w:tr>
    <w:tr w:rsidR="002D31C1" w:rsidRPr="00BC5FF7" w14:paraId="79D11C7F" w14:textId="77777777">
      <w:trPr>
        <w:trHeight w:val="50"/>
      </w:trPr>
      <w:tc>
        <w:tcPr>
          <w:tcW w:w="2553" w:type="pct"/>
          <w:gridSpan w:val="3"/>
          <w:tcBorders>
            <w:top w:val="nil"/>
            <w:bottom w:val="nil"/>
          </w:tcBorders>
          <w:shd w:val="clear" w:color="auto" w:fill="DBE2E9"/>
        </w:tcPr>
        <w:p w14:paraId="5C5780E4" w14:textId="77777777" w:rsidR="002D31C1" w:rsidRPr="00D609A3" w:rsidRDefault="002D31C1" w:rsidP="00FD7E95">
          <w:pPr>
            <w:pStyle w:val="signTop"/>
            <w:rPr>
              <w:szCs w:val="8"/>
            </w:rPr>
          </w:pPr>
        </w:p>
      </w:tc>
      <w:tc>
        <w:tcPr>
          <w:tcW w:w="1188" w:type="pct"/>
          <w:tcBorders>
            <w:top w:val="nil"/>
            <w:bottom w:val="nil"/>
          </w:tcBorders>
          <w:shd w:val="clear" w:color="auto" w:fill="DBE2E9"/>
        </w:tcPr>
        <w:p w14:paraId="23F88F62" w14:textId="77777777" w:rsidR="002D31C1" w:rsidRPr="00BC5FF7" w:rsidRDefault="002D31C1" w:rsidP="00FD7E95">
          <w:pPr>
            <w:rPr>
              <w:sz w:val="2"/>
              <w:szCs w:val="2"/>
            </w:rPr>
          </w:pPr>
        </w:p>
      </w:tc>
      <w:tc>
        <w:tcPr>
          <w:tcW w:w="1259" w:type="pct"/>
          <w:gridSpan w:val="4"/>
          <w:tcBorders>
            <w:bottom w:val="nil"/>
          </w:tcBorders>
          <w:shd w:val="clear" w:color="auto" w:fill="DBE2E9"/>
        </w:tcPr>
        <w:p w14:paraId="11A1734D" w14:textId="77777777" w:rsidR="002D31C1" w:rsidRPr="00BC5FF7" w:rsidRDefault="002D31C1" w:rsidP="00FD7E95">
          <w:pPr>
            <w:rPr>
              <w:sz w:val="2"/>
              <w:szCs w:val="2"/>
            </w:rPr>
          </w:pPr>
        </w:p>
      </w:tc>
    </w:tr>
    <w:tr w:rsidR="002D31C1" w:rsidRPr="00BC5FF7" w14:paraId="343EB06D" w14:textId="77777777">
      <w:trPr>
        <w:trHeight w:val="32"/>
      </w:trPr>
      <w:tc>
        <w:tcPr>
          <w:tcW w:w="348" w:type="pct"/>
          <w:tcBorders>
            <w:top w:val="nil"/>
            <w:bottom w:val="single" w:sz="4" w:space="0" w:color="auto"/>
          </w:tcBorders>
          <w:shd w:val="clear" w:color="auto" w:fill="DBE2E9"/>
        </w:tcPr>
        <w:p w14:paraId="663F37EF" w14:textId="77777777" w:rsidR="002D31C1" w:rsidRPr="00BC5FF7" w:rsidRDefault="002D31C1" w:rsidP="00FD7E95">
          <w:pPr>
            <w:rPr>
              <w:sz w:val="2"/>
              <w:szCs w:val="2"/>
            </w:rPr>
          </w:pPr>
        </w:p>
      </w:tc>
      <w:tc>
        <w:tcPr>
          <w:tcW w:w="348" w:type="pct"/>
          <w:tcBorders>
            <w:top w:val="nil"/>
            <w:bottom w:val="single" w:sz="4" w:space="0" w:color="auto"/>
          </w:tcBorders>
          <w:shd w:val="clear" w:color="auto" w:fill="DBE2E9"/>
        </w:tcPr>
        <w:p w14:paraId="2251B926" w14:textId="77777777" w:rsidR="002D31C1" w:rsidRPr="00BC5FF7" w:rsidRDefault="002D31C1" w:rsidP="00FD7E95">
          <w:pPr>
            <w:rPr>
              <w:sz w:val="2"/>
              <w:szCs w:val="2"/>
            </w:rPr>
          </w:pPr>
        </w:p>
      </w:tc>
      <w:tc>
        <w:tcPr>
          <w:tcW w:w="1857" w:type="pct"/>
          <w:tcBorders>
            <w:top w:val="nil"/>
            <w:bottom w:val="single" w:sz="4" w:space="0" w:color="auto"/>
          </w:tcBorders>
          <w:shd w:val="clear" w:color="auto" w:fill="DBE2E9"/>
        </w:tcPr>
        <w:p w14:paraId="34389ACE" w14:textId="77777777" w:rsidR="002D31C1" w:rsidRPr="00BC5FF7" w:rsidRDefault="002D31C1" w:rsidP="00FD7E95">
          <w:pPr>
            <w:pStyle w:val="signTop"/>
          </w:pPr>
        </w:p>
      </w:tc>
      <w:tc>
        <w:tcPr>
          <w:tcW w:w="1188" w:type="pct"/>
          <w:tcBorders>
            <w:top w:val="nil"/>
            <w:bottom w:val="single" w:sz="4" w:space="0" w:color="auto"/>
          </w:tcBorders>
          <w:shd w:val="clear" w:color="auto" w:fill="DBE2E9"/>
        </w:tcPr>
        <w:p w14:paraId="7A97ACEB" w14:textId="77777777" w:rsidR="002D31C1" w:rsidRPr="00BC5FF7" w:rsidRDefault="002D31C1" w:rsidP="00FD7E95">
          <w:pPr>
            <w:rPr>
              <w:sz w:val="4"/>
              <w:szCs w:val="4"/>
            </w:rPr>
          </w:pPr>
        </w:p>
      </w:tc>
      <w:tc>
        <w:tcPr>
          <w:tcW w:w="1259" w:type="pct"/>
          <w:gridSpan w:val="4"/>
          <w:tcBorders>
            <w:top w:val="nil"/>
            <w:bottom w:val="single" w:sz="4" w:space="0" w:color="auto"/>
          </w:tcBorders>
          <w:shd w:val="clear" w:color="auto" w:fill="DBE2E9"/>
        </w:tcPr>
        <w:p w14:paraId="27D1BCA4" w14:textId="77777777" w:rsidR="002D31C1" w:rsidRPr="00BC5FF7" w:rsidRDefault="002D31C1" w:rsidP="00FD7E95">
          <w:pPr>
            <w:rPr>
              <w:sz w:val="4"/>
              <w:szCs w:val="4"/>
            </w:rPr>
          </w:pPr>
        </w:p>
      </w:tc>
    </w:tr>
    <w:tr w:rsidR="002D31C1" w:rsidRPr="0021542E" w14:paraId="23770129" w14:textId="77777777">
      <w:trPr>
        <w:trHeight w:val="22"/>
      </w:trPr>
      <w:tc>
        <w:tcPr>
          <w:tcW w:w="348" w:type="pct"/>
          <w:tcBorders>
            <w:top w:val="single" w:sz="4" w:space="0" w:color="auto"/>
            <w:left w:val="single" w:sz="4" w:space="0" w:color="auto"/>
            <w:bottom w:val="nil"/>
            <w:right w:val="nil"/>
          </w:tcBorders>
          <w:shd w:val="clear" w:color="auto" w:fill="FFFFFF"/>
          <w:vAlign w:val="center"/>
        </w:tcPr>
        <w:p w14:paraId="64031F0F" w14:textId="77777777" w:rsidR="002D31C1" w:rsidRPr="00BC5FF7" w:rsidRDefault="002D31C1" w:rsidP="00FD7E95">
          <w:pPr>
            <w:rPr>
              <w:sz w:val="4"/>
              <w:szCs w:val="2"/>
            </w:rPr>
          </w:pPr>
        </w:p>
      </w:tc>
      <w:tc>
        <w:tcPr>
          <w:tcW w:w="348" w:type="pct"/>
          <w:tcBorders>
            <w:top w:val="single" w:sz="4" w:space="0" w:color="auto"/>
            <w:left w:val="nil"/>
            <w:bottom w:val="nil"/>
            <w:right w:val="nil"/>
          </w:tcBorders>
          <w:shd w:val="clear" w:color="auto" w:fill="FFFFFF"/>
          <w:vAlign w:val="center"/>
        </w:tcPr>
        <w:p w14:paraId="66CB7E01" w14:textId="77777777" w:rsidR="002D31C1" w:rsidRPr="00BC5FF7" w:rsidRDefault="002D31C1" w:rsidP="00FD7E95">
          <w:pPr>
            <w:rPr>
              <w:sz w:val="4"/>
              <w:szCs w:val="2"/>
            </w:rPr>
          </w:pPr>
        </w:p>
      </w:tc>
      <w:tc>
        <w:tcPr>
          <w:tcW w:w="3410" w:type="pct"/>
          <w:gridSpan w:val="4"/>
          <w:tcBorders>
            <w:top w:val="single" w:sz="4" w:space="0" w:color="auto"/>
            <w:left w:val="nil"/>
            <w:bottom w:val="nil"/>
            <w:right w:val="nil"/>
          </w:tcBorders>
          <w:shd w:val="clear" w:color="auto" w:fill="FFFFFF"/>
          <w:vAlign w:val="center"/>
        </w:tcPr>
        <w:p w14:paraId="27ADDA5C" w14:textId="77777777" w:rsidR="002D31C1" w:rsidRPr="00BC5FF7" w:rsidRDefault="002D31C1" w:rsidP="00FD7E95">
          <w:pPr>
            <w:rPr>
              <w:sz w:val="4"/>
              <w:szCs w:val="2"/>
            </w:rPr>
          </w:pPr>
        </w:p>
      </w:tc>
      <w:tc>
        <w:tcPr>
          <w:tcW w:w="730" w:type="pct"/>
          <w:tcBorders>
            <w:top w:val="single" w:sz="4" w:space="0" w:color="auto"/>
            <w:left w:val="nil"/>
            <w:bottom w:val="nil"/>
            <w:right w:val="nil"/>
          </w:tcBorders>
          <w:shd w:val="clear" w:color="auto" w:fill="FFFFFF"/>
          <w:vAlign w:val="center"/>
        </w:tcPr>
        <w:p w14:paraId="539EC7C6" w14:textId="77777777" w:rsidR="002D31C1" w:rsidRPr="00BC5FF7" w:rsidRDefault="002D31C1" w:rsidP="00FD7E95">
          <w:pPr>
            <w:rPr>
              <w:sz w:val="4"/>
              <w:szCs w:val="2"/>
            </w:rPr>
          </w:pPr>
        </w:p>
      </w:tc>
      <w:tc>
        <w:tcPr>
          <w:tcW w:w="164" w:type="pct"/>
          <w:tcBorders>
            <w:top w:val="single" w:sz="4" w:space="0" w:color="auto"/>
            <w:left w:val="nil"/>
            <w:bottom w:val="nil"/>
            <w:right w:val="single" w:sz="4" w:space="0" w:color="auto"/>
          </w:tcBorders>
          <w:shd w:val="clear" w:color="auto" w:fill="FFFFFF"/>
          <w:vAlign w:val="center"/>
        </w:tcPr>
        <w:p w14:paraId="0D62D44B" w14:textId="77777777" w:rsidR="002D31C1" w:rsidRPr="00BC5FF7" w:rsidRDefault="002D31C1" w:rsidP="00FD7E95">
          <w:pPr>
            <w:rPr>
              <w:sz w:val="4"/>
              <w:szCs w:val="2"/>
            </w:rPr>
          </w:pPr>
        </w:p>
      </w:tc>
    </w:tr>
    <w:tr w:rsidR="002D31C1" w:rsidRPr="0021542E" w14:paraId="4F41C2D1" w14:textId="77777777">
      <w:trPr>
        <w:trHeight w:val="50"/>
      </w:trPr>
      <w:tc>
        <w:tcPr>
          <w:tcW w:w="348" w:type="pct"/>
          <w:vMerge w:val="restart"/>
          <w:tcBorders>
            <w:top w:val="nil"/>
            <w:left w:val="single" w:sz="4" w:space="0" w:color="auto"/>
            <w:right w:val="nil"/>
          </w:tcBorders>
          <w:shd w:val="clear" w:color="auto" w:fill="FFFFFF"/>
          <w:vAlign w:val="center"/>
        </w:tcPr>
        <w:p w14:paraId="2774596A" w14:textId="77777777" w:rsidR="002D31C1" w:rsidRPr="00BC5FF7" w:rsidRDefault="002D31C1" w:rsidP="00FD7E95">
          <w:pPr>
            <w:pStyle w:val="signMid"/>
          </w:pPr>
        </w:p>
      </w:tc>
      <w:tc>
        <w:tcPr>
          <w:tcW w:w="348" w:type="pct"/>
          <w:vMerge w:val="restart"/>
          <w:tcBorders>
            <w:top w:val="nil"/>
            <w:left w:val="nil"/>
            <w:right w:val="nil"/>
          </w:tcBorders>
          <w:shd w:val="clear" w:color="auto" w:fill="FFFFFF"/>
          <w:vAlign w:val="center"/>
        </w:tcPr>
        <w:p w14:paraId="3596F0FB" w14:textId="77777777" w:rsidR="002D31C1" w:rsidRPr="00BC5FF7" w:rsidRDefault="002D31C1" w:rsidP="00FD7E95">
          <w:pPr>
            <w:rPr>
              <w:sz w:val="16"/>
              <w:szCs w:val="16"/>
            </w:rPr>
          </w:pPr>
        </w:p>
      </w:tc>
      <w:tc>
        <w:tcPr>
          <w:tcW w:w="3410" w:type="pct"/>
          <w:gridSpan w:val="4"/>
          <w:vMerge w:val="restart"/>
          <w:tcBorders>
            <w:top w:val="nil"/>
            <w:left w:val="nil"/>
            <w:right w:val="nil"/>
          </w:tcBorders>
          <w:shd w:val="clear" w:color="auto" w:fill="FFFFFF"/>
          <w:vAlign w:val="center"/>
        </w:tcPr>
        <w:p w14:paraId="7AA78CDF" w14:textId="77777777" w:rsidR="002D31C1" w:rsidRPr="00BC5FF7" w:rsidRDefault="002D31C1" w:rsidP="00FD7E95">
          <w:pPr>
            <w:pStyle w:val="LogoTextPos"/>
          </w:pPr>
        </w:p>
      </w:tc>
      <w:tc>
        <w:tcPr>
          <w:tcW w:w="894" w:type="pct"/>
          <w:gridSpan w:val="2"/>
          <w:tcBorders>
            <w:top w:val="nil"/>
            <w:left w:val="nil"/>
            <w:bottom w:val="nil"/>
            <w:right w:val="single" w:sz="4" w:space="0" w:color="auto"/>
          </w:tcBorders>
          <w:shd w:val="clear" w:color="auto" w:fill="FFFFFF"/>
          <w:vAlign w:val="center"/>
        </w:tcPr>
        <w:p w14:paraId="08D42FFD" w14:textId="77777777" w:rsidR="002D31C1" w:rsidRPr="00BC5FF7" w:rsidRDefault="002D31C1" w:rsidP="00FD7E95">
          <w:pPr>
            <w:pStyle w:val="spacer2pt"/>
          </w:pPr>
        </w:p>
      </w:tc>
    </w:tr>
    <w:tr w:rsidR="002D31C1" w:rsidRPr="0021542E" w14:paraId="13433FA5" w14:textId="77777777">
      <w:trPr>
        <w:trHeight w:val="137"/>
      </w:trPr>
      <w:tc>
        <w:tcPr>
          <w:tcW w:w="348" w:type="pct"/>
          <w:vMerge/>
          <w:tcBorders>
            <w:left w:val="single" w:sz="4" w:space="0" w:color="auto"/>
            <w:right w:val="nil"/>
          </w:tcBorders>
          <w:shd w:val="clear" w:color="auto" w:fill="FFFFFF"/>
          <w:vAlign w:val="center"/>
        </w:tcPr>
        <w:p w14:paraId="28DBB7D3" w14:textId="77777777" w:rsidR="002D31C1" w:rsidRPr="00BC5FF7" w:rsidRDefault="002D31C1" w:rsidP="00FD7E95">
          <w:pPr>
            <w:pStyle w:val="signMid"/>
          </w:pPr>
        </w:p>
      </w:tc>
      <w:tc>
        <w:tcPr>
          <w:tcW w:w="348" w:type="pct"/>
          <w:vMerge/>
          <w:tcBorders>
            <w:left w:val="nil"/>
            <w:right w:val="nil"/>
          </w:tcBorders>
          <w:shd w:val="clear" w:color="auto" w:fill="FFFFFF"/>
          <w:vAlign w:val="center"/>
        </w:tcPr>
        <w:p w14:paraId="1027E2B6" w14:textId="77777777" w:rsidR="002D31C1" w:rsidRPr="00BC5FF7" w:rsidRDefault="002D31C1" w:rsidP="00FD7E95">
          <w:pPr>
            <w:rPr>
              <w:sz w:val="16"/>
              <w:szCs w:val="16"/>
            </w:rPr>
          </w:pPr>
        </w:p>
      </w:tc>
      <w:tc>
        <w:tcPr>
          <w:tcW w:w="3410" w:type="pct"/>
          <w:gridSpan w:val="4"/>
          <w:vMerge/>
          <w:tcBorders>
            <w:left w:val="nil"/>
            <w:right w:val="single" w:sz="4" w:space="0" w:color="auto"/>
          </w:tcBorders>
          <w:shd w:val="clear" w:color="auto" w:fill="FFFFFF"/>
          <w:vAlign w:val="center"/>
        </w:tcPr>
        <w:p w14:paraId="6531176A" w14:textId="77777777" w:rsidR="002D31C1" w:rsidRDefault="002D31C1" w:rsidP="00FD7E95">
          <w:pPr>
            <w:pStyle w:val="LogoTextPos"/>
          </w:pPr>
        </w:p>
      </w:tc>
      <w:tc>
        <w:tcPr>
          <w:tcW w:w="894" w:type="pct"/>
          <w:gridSpan w:val="2"/>
          <w:tcBorders>
            <w:top w:val="nil"/>
            <w:left w:val="single" w:sz="4" w:space="0" w:color="auto"/>
            <w:bottom w:val="nil"/>
            <w:right w:val="single" w:sz="4" w:space="0" w:color="auto"/>
          </w:tcBorders>
          <w:shd w:val="clear" w:color="auto" w:fill="FFFFFF"/>
          <w:vAlign w:val="center"/>
        </w:tcPr>
        <w:p w14:paraId="275C194C" w14:textId="5F3F5CF1" w:rsidR="002D31C1" w:rsidRPr="00BC5FF7" w:rsidRDefault="002D31C1" w:rsidP="00FD7E95">
          <w:pPr>
            <w:pStyle w:val="insideheaderleft"/>
          </w:pPr>
          <w:r>
            <w:fldChar w:fldCharType="begin"/>
          </w:r>
          <w:r>
            <w:instrText xml:space="preserve"> DATE  \@ "d MMMM yyyy"  \* MERGEFORMAT </w:instrText>
          </w:r>
          <w:r>
            <w:fldChar w:fldCharType="separate"/>
          </w:r>
          <w:r w:rsidR="0021624C">
            <w:rPr>
              <w:noProof/>
            </w:rPr>
            <w:t>4 January 2024</w:t>
          </w:r>
          <w:r>
            <w:fldChar w:fldCharType="end"/>
          </w:r>
        </w:p>
      </w:tc>
    </w:tr>
    <w:tr w:rsidR="002D31C1" w:rsidRPr="0021542E" w14:paraId="642223F3" w14:textId="77777777">
      <w:trPr>
        <w:trHeight w:val="66"/>
      </w:trPr>
      <w:tc>
        <w:tcPr>
          <w:tcW w:w="348" w:type="pct"/>
          <w:vMerge/>
          <w:tcBorders>
            <w:left w:val="single" w:sz="4" w:space="0" w:color="auto"/>
            <w:bottom w:val="nil"/>
            <w:right w:val="nil"/>
          </w:tcBorders>
          <w:shd w:val="clear" w:color="auto" w:fill="FFFFFF"/>
          <w:vAlign w:val="center"/>
        </w:tcPr>
        <w:p w14:paraId="15ED57EA" w14:textId="77777777" w:rsidR="002D31C1" w:rsidRPr="00BC5FF7" w:rsidRDefault="002D31C1" w:rsidP="00FD7E95">
          <w:pPr>
            <w:pStyle w:val="signMid"/>
          </w:pPr>
        </w:p>
      </w:tc>
      <w:tc>
        <w:tcPr>
          <w:tcW w:w="348" w:type="pct"/>
          <w:vMerge/>
          <w:tcBorders>
            <w:left w:val="nil"/>
            <w:bottom w:val="nil"/>
            <w:right w:val="nil"/>
          </w:tcBorders>
          <w:shd w:val="clear" w:color="auto" w:fill="FFFFFF"/>
          <w:vAlign w:val="center"/>
        </w:tcPr>
        <w:p w14:paraId="4D525D9C" w14:textId="77777777" w:rsidR="002D31C1" w:rsidRPr="00BC5FF7" w:rsidRDefault="002D31C1" w:rsidP="00FD7E95">
          <w:pPr>
            <w:rPr>
              <w:sz w:val="16"/>
              <w:szCs w:val="16"/>
            </w:rPr>
          </w:pPr>
        </w:p>
      </w:tc>
      <w:tc>
        <w:tcPr>
          <w:tcW w:w="3410" w:type="pct"/>
          <w:gridSpan w:val="4"/>
          <w:vMerge/>
          <w:tcBorders>
            <w:left w:val="nil"/>
            <w:bottom w:val="nil"/>
            <w:right w:val="nil"/>
          </w:tcBorders>
          <w:shd w:val="clear" w:color="auto" w:fill="FFFFFF"/>
          <w:vAlign w:val="center"/>
        </w:tcPr>
        <w:p w14:paraId="6BDE0CF3" w14:textId="77777777" w:rsidR="002D31C1" w:rsidRDefault="002D31C1" w:rsidP="00FD7E95">
          <w:pPr>
            <w:pStyle w:val="LogoTextPos"/>
          </w:pPr>
        </w:p>
      </w:tc>
      <w:tc>
        <w:tcPr>
          <w:tcW w:w="894" w:type="pct"/>
          <w:gridSpan w:val="2"/>
          <w:tcBorders>
            <w:top w:val="nil"/>
            <w:left w:val="nil"/>
            <w:bottom w:val="nil"/>
            <w:right w:val="single" w:sz="4" w:space="0" w:color="auto"/>
          </w:tcBorders>
          <w:shd w:val="clear" w:color="auto" w:fill="FFFFFF"/>
          <w:vAlign w:val="center"/>
        </w:tcPr>
        <w:p w14:paraId="40A3B9F8" w14:textId="77777777" w:rsidR="002D31C1" w:rsidRPr="00BC5FF7" w:rsidRDefault="002D31C1" w:rsidP="00FD7E95">
          <w:pPr>
            <w:pStyle w:val="spacer2pt"/>
          </w:pPr>
        </w:p>
      </w:tc>
    </w:tr>
    <w:tr w:rsidR="002D31C1" w:rsidRPr="0021542E" w14:paraId="2AE59C57" w14:textId="77777777">
      <w:trPr>
        <w:trHeight w:val="30"/>
      </w:trPr>
      <w:tc>
        <w:tcPr>
          <w:tcW w:w="348" w:type="pct"/>
          <w:tcBorders>
            <w:top w:val="nil"/>
            <w:left w:val="single" w:sz="4" w:space="0" w:color="auto"/>
            <w:bottom w:val="single" w:sz="4" w:space="0" w:color="auto"/>
            <w:right w:val="nil"/>
          </w:tcBorders>
          <w:shd w:val="clear" w:color="auto" w:fill="FFFFFF"/>
          <w:vAlign w:val="center"/>
        </w:tcPr>
        <w:p w14:paraId="0CCA1EB6" w14:textId="77777777" w:rsidR="002D31C1" w:rsidRPr="00BC5FF7" w:rsidRDefault="002D31C1" w:rsidP="00FD7E95">
          <w:pPr>
            <w:rPr>
              <w:sz w:val="4"/>
              <w:szCs w:val="2"/>
            </w:rPr>
          </w:pPr>
        </w:p>
      </w:tc>
      <w:tc>
        <w:tcPr>
          <w:tcW w:w="348" w:type="pct"/>
          <w:tcBorders>
            <w:top w:val="nil"/>
            <w:left w:val="nil"/>
            <w:bottom w:val="single" w:sz="4" w:space="0" w:color="auto"/>
            <w:right w:val="nil"/>
          </w:tcBorders>
          <w:shd w:val="clear" w:color="auto" w:fill="FFFFFF"/>
          <w:vAlign w:val="center"/>
        </w:tcPr>
        <w:p w14:paraId="4108E224" w14:textId="77777777" w:rsidR="002D31C1" w:rsidRPr="00BC5FF7" w:rsidRDefault="002D31C1" w:rsidP="00FD7E95">
          <w:pPr>
            <w:rPr>
              <w:sz w:val="4"/>
              <w:szCs w:val="2"/>
            </w:rPr>
          </w:pPr>
        </w:p>
      </w:tc>
      <w:tc>
        <w:tcPr>
          <w:tcW w:w="3410" w:type="pct"/>
          <w:gridSpan w:val="4"/>
          <w:tcBorders>
            <w:top w:val="nil"/>
            <w:left w:val="nil"/>
            <w:bottom w:val="single" w:sz="4" w:space="0" w:color="auto"/>
            <w:right w:val="nil"/>
          </w:tcBorders>
          <w:shd w:val="clear" w:color="auto" w:fill="FFFFFF"/>
          <w:vAlign w:val="center"/>
        </w:tcPr>
        <w:p w14:paraId="0CD8577F" w14:textId="77777777" w:rsidR="002D31C1" w:rsidRPr="00BC5FF7" w:rsidRDefault="002D31C1" w:rsidP="00FD7E95">
          <w:pPr>
            <w:rPr>
              <w:sz w:val="4"/>
              <w:szCs w:val="2"/>
            </w:rPr>
          </w:pPr>
        </w:p>
      </w:tc>
      <w:tc>
        <w:tcPr>
          <w:tcW w:w="730" w:type="pct"/>
          <w:tcBorders>
            <w:top w:val="nil"/>
            <w:left w:val="nil"/>
            <w:bottom w:val="single" w:sz="4" w:space="0" w:color="auto"/>
            <w:right w:val="nil"/>
          </w:tcBorders>
          <w:shd w:val="clear" w:color="auto" w:fill="FFFFFF"/>
          <w:vAlign w:val="center"/>
        </w:tcPr>
        <w:p w14:paraId="62A16380" w14:textId="77777777" w:rsidR="002D31C1" w:rsidRPr="00BC5FF7" w:rsidRDefault="002D31C1" w:rsidP="00FD7E95">
          <w:pPr>
            <w:rPr>
              <w:sz w:val="4"/>
              <w:szCs w:val="2"/>
            </w:rPr>
          </w:pPr>
        </w:p>
      </w:tc>
      <w:tc>
        <w:tcPr>
          <w:tcW w:w="164" w:type="pct"/>
          <w:tcBorders>
            <w:top w:val="nil"/>
            <w:left w:val="nil"/>
            <w:bottom w:val="single" w:sz="4" w:space="0" w:color="auto"/>
            <w:right w:val="single" w:sz="4" w:space="0" w:color="auto"/>
          </w:tcBorders>
          <w:shd w:val="clear" w:color="auto" w:fill="FFFFFF"/>
          <w:vAlign w:val="center"/>
        </w:tcPr>
        <w:p w14:paraId="64730076" w14:textId="77777777" w:rsidR="002D31C1" w:rsidRPr="00BC5FF7" w:rsidRDefault="002D31C1" w:rsidP="00FD7E95">
          <w:pPr>
            <w:rPr>
              <w:sz w:val="4"/>
              <w:szCs w:val="2"/>
            </w:rPr>
          </w:pPr>
        </w:p>
      </w:tc>
    </w:tr>
    <w:tr w:rsidR="002D31C1" w:rsidRPr="00BC5FF7" w14:paraId="14961A64" w14:textId="77777777">
      <w:trPr>
        <w:trHeight w:val="22"/>
      </w:trPr>
      <w:tc>
        <w:tcPr>
          <w:tcW w:w="348" w:type="pct"/>
          <w:tcBorders>
            <w:top w:val="single" w:sz="4" w:space="0" w:color="auto"/>
            <w:bottom w:val="nil"/>
          </w:tcBorders>
          <w:shd w:val="clear" w:color="auto" w:fill="DBE2E9"/>
          <w:vAlign w:val="center"/>
        </w:tcPr>
        <w:p w14:paraId="45AB778B" w14:textId="77777777" w:rsidR="002D31C1" w:rsidRPr="00BC5FF7" w:rsidRDefault="002D31C1" w:rsidP="00FD7E95">
          <w:pPr>
            <w:rPr>
              <w:sz w:val="4"/>
              <w:szCs w:val="4"/>
            </w:rPr>
          </w:pPr>
          <w:r>
            <w:rPr>
              <w:noProof/>
              <w:sz w:val="4"/>
              <w:szCs w:val="4"/>
              <w:lang w:val="en-US" w:eastAsia="zh-CN"/>
            </w:rPr>
            <mc:AlternateContent>
              <mc:Choice Requires="wps">
                <w:drawing>
                  <wp:anchor distT="0" distB="0" distL="114300" distR="114300" simplePos="0" relativeHeight="251656192" behindDoc="0" locked="0" layoutInCell="0" allowOverlap="1" wp14:anchorId="3B5CAB4D" wp14:editId="6D248E59">
                    <wp:simplePos x="0" y="0"/>
                    <wp:positionH relativeFrom="column">
                      <wp:posOffset>-6985</wp:posOffset>
                    </wp:positionH>
                    <wp:positionV relativeFrom="paragraph">
                      <wp:posOffset>6350</wp:posOffset>
                    </wp:positionV>
                    <wp:extent cx="6275070" cy="114300"/>
                    <wp:effectExtent l="2540" t="0" r="0" b="31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5070" cy="114300"/>
                            </a:xfrm>
                            <a:prstGeom prst="rect">
                              <a:avLst/>
                            </a:prstGeom>
                            <a:solidFill>
                              <a:srgbClr val="DBE2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11788" id="Rectangle 1" o:spid="_x0000_s1026" style="position:absolute;left:0;text-align:left;margin-left:-.55pt;margin-top:.5pt;width:494.1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" o:allowincell="f" fillcolor="#dbe2e9" stroked="f"/>
                </w:pict>
              </mc:Fallback>
            </mc:AlternateContent>
          </w:r>
        </w:p>
      </w:tc>
      <w:tc>
        <w:tcPr>
          <w:tcW w:w="348" w:type="pct"/>
          <w:tcBorders>
            <w:top w:val="single" w:sz="4" w:space="0" w:color="auto"/>
            <w:bottom w:val="nil"/>
          </w:tcBorders>
          <w:shd w:val="clear" w:color="auto" w:fill="DBE2E9"/>
          <w:vAlign w:val="center"/>
        </w:tcPr>
        <w:p w14:paraId="5E15E357" w14:textId="77777777" w:rsidR="002D31C1" w:rsidRPr="00BC5FF7" w:rsidRDefault="002D31C1" w:rsidP="00FD7E95">
          <w:pPr>
            <w:rPr>
              <w:sz w:val="4"/>
              <w:szCs w:val="4"/>
            </w:rPr>
          </w:pPr>
        </w:p>
      </w:tc>
      <w:tc>
        <w:tcPr>
          <w:tcW w:w="1857" w:type="pct"/>
          <w:tcBorders>
            <w:top w:val="single" w:sz="4" w:space="0" w:color="auto"/>
            <w:bottom w:val="nil"/>
          </w:tcBorders>
          <w:shd w:val="clear" w:color="auto" w:fill="DBE2E9"/>
          <w:vAlign w:val="center"/>
        </w:tcPr>
        <w:p w14:paraId="08BF6444" w14:textId="77777777" w:rsidR="002D31C1" w:rsidRPr="00BC5FF7" w:rsidRDefault="002D31C1" w:rsidP="00FD7E95">
          <w:pPr>
            <w:pStyle w:val="signTop"/>
          </w:pPr>
        </w:p>
      </w:tc>
      <w:tc>
        <w:tcPr>
          <w:tcW w:w="1302" w:type="pct"/>
          <w:gridSpan w:val="2"/>
          <w:tcBorders>
            <w:top w:val="single" w:sz="4" w:space="0" w:color="auto"/>
            <w:bottom w:val="nil"/>
          </w:tcBorders>
          <w:shd w:val="clear" w:color="auto" w:fill="DBE2E9"/>
        </w:tcPr>
        <w:p w14:paraId="31762825" w14:textId="77777777" w:rsidR="002D31C1" w:rsidRPr="00BC5FF7" w:rsidRDefault="002D31C1" w:rsidP="00FD7E95">
          <w:pPr>
            <w:rPr>
              <w:sz w:val="4"/>
              <w:szCs w:val="4"/>
            </w:rPr>
          </w:pPr>
        </w:p>
      </w:tc>
      <w:tc>
        <w:tcPr>
          <w:tcW w:w="1145" w:type="pct"/>
          <w:gridSpan w:val="3"/>
          <w:tcBorders>
            <w:top w:val="single" w:sz="4" w:space="0" w:color="auto"/>
            <w:bottom w:val="nil"/>
          </w:tcBorders>
          <w:shd w:val="clear" w:color="auto" w:fill="DBE2E9"/>
        </w:tcPr>
        <w:p w14:paraId="1CEEEA10" w14:textId="77777777" w:rsidR="002D31C1" w:rsidRPr="00BC5FF7" w:rsidRDefault="002D31C1" w:rsidP="00FD7E95">
          <w:pPr>
            <w:rPr>
              <w:sz w:val="4"/>
              <w:szCs w:val="4"/>
            </w:rPr>
          </w:pPr>
        </w:p>
      </w:tc>
    </w:tr>
  </w:tbl>
  <w:p w14:paraId="5D7F391B" w14:textId="77777777" w:rsidR="002D31C1" w:rsidRPr="002A0929" w:rsidRDefault="002D31C1">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12"/>
      <w:gridCol w:w="515"/>
      <w:gridCol w:w="6509"/>
      <w:gridCol w:w="964"/>
      <w:gridCol w:w="1359"/>
    </w:tblGrid>
    <w:tr w:rsidR="002D31C1" w:rsidRPr="00AB5B9B" w14:paraId="22B79D9B" w14:textId="77777777" w:rsidTr="00AB5B9B">
      <w:trPr>
        <w:trHeight w:val="40"/>
      </w:trPr>
      <w:tc>
        <w:tcPr>
          <w:tcW w:w="260" w:type="pct"/>
          <w:tcBorders>
            <w:top w:val="single" w:sz="4" w:space="0" w:color="C0C0C0"/>
            <w:left w:val="single" w:sz="4" w:space="0" w:color="C0C0C0"/>
            <w:bottom w:val="single" w:sz="4" w:space="0" w:color="C0C0C0"/>
            <w:right w:val="single" w:sz="4" w:space="0" w:color="C0C0C0"/>
          </w:tcBorders>
          <w:shd w:val="clear" w:color="auto" w:fill="auto"/>
        </w:tcPr>
        <w:p w14:paraId="08218BC7" w14:textId="77777777" w:rsidR="002D31C1" w:rsidRPr="00BD262B" w:rsidRDefault="002D31C1" w:rsidP="00FD7E95">
          <w:pPr>
            <w:pStyle w:val="signTop"/>
          </w:pPr>
          <w:r>
            <w:rPr>
              <w:noProof/>
              <w:sz w:val="2"/>
              <w:szCs w:val="18"/>
              <w:lang w:val="en-US" w:eastAsia="zh-CN"/>
            </w:rPr>
            <w:drawing>
              <wp:anchor distT="0" distB="0" distL="114300" distR="114300" simplePos="0" relativeHeight="251659264" behindDoc="0" locked="0" layoutInCell="1" allowOverlap="1" wp14:anchorId="2E75E352" wp14:editId="7B9E8558">
                <wp:simplePos x="0" y="0"/>
                <wp:positionH relativeFrom="column">
                  <wp:posOffset>194945</wp:posOffset>
                </wp:positionH>
                <wp:positionV relativeFrom="paragraph">
                  <wp:posOffset>-90805</wp:posOffset>
                </wp:positionV>
                <wp:extent cx="2333625" cy="545465"/>
                <wp:effectExtent l="0" t="0" r="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3625" cy="545465"/>
                        </a:xfrm>
                        <a:prstGeom prst="rect">
                          <a:avLst/>
                        </a:prstGeom>
                        <a:noFill/>
                      </pic:spPr>
                    </pic:pic>
                  </a:graphicData>
                </a:graphic>
                <wp14:sizeRelH relativeFrom="page">
                  <wp14:pctWidth>0</wp14:pctWidth>
                </wp14:sizeRelH>
                <wp14:sizeRelV relativeFrom="page">
                  <wp14:pctHeight>0</wp14:pctHeight>
                </wp14:sizeRelV>
              </wp:anchor>
            </w:drawing>
          </w:r>
        </w:p>
      </w:tc>
      <w:tc>
        <w:tcPr>
          <w:tcW w:w="4740" w:type="pct"/>
          <w:gridSpan w:val="4"/>
          <w:shd w:val="clear" w:color="auto" w:fill="auto"/>
        </w:tcPr>
        <w:p w14:paraId="09FBFA22" w14:textId="77777777" w:rsidR="002D31C1" w:rsidRPr="00AB5B9B" w:rsidRDefault="002D31C1" w:rsidP="00FD7E95">
          <w:pPr>
            <w:rPr>
              <w:sz w:val="2"/>
              <w:szCs w:val="18"/>
            </w:rPr>
          </w:pPr>
        </w:p>
      </w:tc>
    </w:tr>
    <w:tr w:rsidR="002D31C1" w:rsidRPr="00AB5B9B" w14:paraId="4481D1A2" w14:textId="77777777" w:rsidTr="00AB5B9B">
      <w:trPr>
        <w:trHeight w:val="70"/>
      </w:trPr>
      <w:tc>
        <w:tcPr>
          <w:tcW w:w="260" w:type="pct"/>
          <w:vMerge w:val="restart"/>
          <w:tcBorders>
            <w:top w:val="single" w:sz="4" w:space="0" w:color="C0C0C0"/>
            <w:left w:val="single" w:sz="4" w:space="0" w:color="C0C0C0"/>
            <w:bottom w:val="single" w:sz="4" w:space="0" w:color="C0C0C0"/>
            <w:right w:val="single" w:sz="4" w:space="0" w:color="C0C0C0"/>
          </w:tcBorders>
          <w:shd w:val="clear" w:color="auto" w:fill="auto"/>
          <w:vAlign w:val="center"/>
        </w:tcPr>
        <w:p w14:paraId="79260013" w14:textId="77777777" w:rsidR="002D31C1" w:rsidRPr="00BD262B" w:rsidRDefault="002D31C1" w:rsidP="00FD7E95">
          <w:pPr>
            <w:pStyle w:val="logoline"/>
          </w:pPr>
        </w:p>
      </w:tc>
      <w:tc>
        <w:tcPr>
          <w:tcW w:w="261" w:type="pct"/>
          <w:vMerge w:val="restart"/>
          <w:tcBorders>
            <w:top w:val="single" w:sz="4" w:space="0" w:color="auto"/>
            <w:bottom w:val="single" w:sz="4" w:space="0" w:color="auto"/>
          </w:tcBorders>
          <w:shd w:val="clear" w:color="auto" w:fill="auto"/>
          <w:vAlign w:val="center"/>
        </w:tcPr>
        <w:p w14:paraId="41DDBEA8" w14:textId="77777777" w:rsidR="002D31C1" w:rsidRPr="00AB5B9B" w:rsidRDefault="002D31C1" w:rsidP="00FD7E95">
          <w:pPr>
            <w:rPr>
              <w:sz w:val="2"/>
              <w:szCs w:val="18"/>
            </w:rPr>
          </w:pPr>
        </w:p>
      </w:tc>
      <w:tc>
        <w:tcPr>
          <w:tcW w:w="3301" w:type="pct"/>
          <w:vMerge w:val="restart"/>
          <w:tcBorders>
            <w:top w:val="single" w:sz="4" w:space="0" w:color="auto"/>
            <w:bottom w:val="single" w:sz="4" w:space="0" w:color="auto"/>
          </w:tcBorders>
          <w:shd w:val="clear" w:color="auto" w:fill="auto"/>
          <w:vAlign w:val="center"/>
        </w:tcPr>
        <w:p w14:paraId="72E80048" w14:textId="77777777" w:rsidR="002D31C1" w:rsidRPr="00BD262B" w:rsidRDefault="002D31C1" w:rsidP="00FD7E95">
          <w:pPr>
            <w:pStyle w:val="LogoTextPos"/>
          </w:pPr>
        </w:p>
      </w:tc>
      <w:tc>
        <w:tcPr>
          <w:tcW w:w="489" w:type="pct"/>
          <w:tcBorders>
            <w:top w:val="single" w:sz="4" w:space="0" w:color="auto"/>
          </w:tcBorders>
          <w:shd w:val="clear" w:color="auto" w:fill="auto"/>
        </w:tcPr>
        <w:p w14:paraId="495FAE69" w14:textId="77777777" w:rsidR="002D31C1" w:rsidRPr="00BD262B" w:rsidRDefault="002D31C1" w:rsidP="00FD7E95">
          <w:pPr>
            <w:pStyle w:val="signTop"/>
          </w:pPr>
        </w:p>
      </w:tc>
      <w:tc>
        <w:tcPr>
          <w:tcW w:w="689" w:type="pct"/>
          <w:tcBorders>
            <w:top w:val="single" w:sz="4" w:space="0" w:color="auto"/>
            <w:right w:val="single" w:sz="4" w:space="0" w:color="auto"/>
          </w:tcBorders>
          <w:shd w:val="clear" w:color="auto" w:fill="auto"/>
          <w:vAlign w:val="center"/>
        </w:tcPr>
        <w:p w14:paraId="76B2CD7B" w14:textId="77777777" w:rsidR="002D31C1" w:rsidRPr="00BD262B" w:rsidRDefault="002D31C1" w:rsidP="00FD7E95">
          <w:pPr>
            <w:pStyle w:val="signTop"/>
          </w:pPr>
        </w:p>
      </w:tc>
    </w:tr>
    <w:tr w:rsidR="002D31C1" w:rsidRPr="00AB5B9B" w14:paraId="0B93B55B" w14:textId="77777777" w:rsidTr="00AB5B9B">
      <w:trPr>
        <w:trHeight w:val="170"/>
      </w:trPr>
      <w:tc>
        <w:tcPr>
          <w:tcW w:w="260" w:type="pct"/>
          <w:vMerge/>
          <w:tcBorders>
            <w:top w:val="single" w:sz="4" w:space="0" w:color="C0C0C0"/>
            <w:left w:val="single" w:sz="4" w:space="0" w:color="C0C0C0"/>
            <w:bottom w:val="single" w:sz="4" w:space="0" w:color="C0C0C0"/>
            <w:right w:val="single" w:sz="4" w:space="0" w:color="C0C0C0"/>
          </w:tcBorders>
          <w:shd w:val="clear" w:color="auto" w:fill="auto"/>
        </w:tcPr>
        <w:p w14:paraId="435407B2" w14:textId="77777777" w:rsidR="002D31C1" w:rsidRPr="00AB5B9B" w:rsidRDefault="002D31C1" w:rsidP="00FD7E95">
          <w:pPr>
            <w:rPr>
              <w:sz w:val="32"/>
              <w:szCs w:val="32"/>
            </w:rPr>
          </w:pPr>
        </w:p>
      </w:tc>
      <w:tc>
        <w:tcPr>
          <w:tcW w:w="261" w:type="pct"/>
          <w:vMerge/>
          <w:tcBorders>
            <w:bottom w:val="single" w:sz="4" w:space="0" w:color="auto"/>
          </w:tcBorders>
          <w:shd w:val="clear" w:color="auto" w:fill="auto"/>
        </w:tcPr>
        <w:p w14:paraId="09B81B53" w14:textId="77777777" w:rsidR="002D31C1" w:rsidRPr="00AB5B9B" w:rsidRDefault="002D31C1" w:rsidP="00FD7E95">
          <w:pPr>
            <w:rPr>
              <w:sz w:val="2"/>
              <w:szCs w:val="18"/>
            </w:rPr>
          </w:pPr>
        </w:p>
      </w:tc>
      <w:tc>
        <w:tcPr>
          <w:tcW w:w="3301" w:type="pct"/>
          <w:vMerge/>
          <w:tcBorders>
            <w:bottom w:val="single" w:sz="4" w:space="0" w:color="auto"/>
          </w:tcBorders>
          <w:shd w:val="clear" w:color="auto" w:fill="auto"/>
        </w:tcPr>
        <w:p w14:paraId="76FCE297" w14:textId="77777777" w:rsidR="002D31C1" w:rsidRPr="00AB5B9B" w:rsidRDefault="002D31C1" w:rsidP="00FD7E95">
          <w:pPr>
            <w:rPr>
              <w:sz w:val="2"/>
              <w:szCs w:val="18"/>
            </w:rPr>
          </w:pPr>
        </w:p>
      </w:tc>
      <w:tc>
        <w:tcPr>
          <w:tcW w:w="489" w:type="pct"/>
          <w:tcBorders>
            <w:right w:val="single" w:sz="4" w:space="0" w:color="auto"/>
          </w:tcBorders>
          <w:shd w:val="clear" w:color="auto" w:fill="auto"/>
          <w:vAlign w:val="center"/>
        </w:tcPr>
        <w:p w14:paraId="5E8DB7D6" w14:textId="77777777" w:rsidR="002D31C1" w:rsidRPr="00BD262B" w:rsidRDefault="002D31C1" w:rsidP="00FD7E95">
          <w:pPr>
            <w:pStyle w:val="LogoTextPos"/>
          </w:pPr>
        </w:p>
      </w:tc>
      <w:tc>
        <w:tcPr>
          <w:tcW w:w="689" w:type="pct"/>
          <w:tcBorders>
            <w:left w:val="single" w:sz="4" w:space="0" w:color="auto"/>
            <w:right w:val="single" w:sz="4" w:space="0" w:color="auto"/>
          </w:tcBorders>
          <w:shd w:val="clear" w:color="auto" w:fill="auto"/>
          <w:vAlign w:val="center"/>
        </w:tcPr>
        <w:p w14:paraId="7DD265AE" w14:textId="23796961" w:rsidR="002D31C1" w:rsidRPr="00AB5B9B" w:rsidRDefault="002D31C1" w:rsidP="00AB5B9B">
          <w:pPr>
            <w:spacing w:before="20" w:after="20"/>
            <w:ind w:left="113"/>
            <w:rPr>
              <w:rFonts w:ascii="Arial Narrow" w:hAnsi="Arial Narrow"/>
              <w:sz w:val="16"/>
              <w:szCs w:val="16"/>
            </w:rPr>
          </w:pPr>
          <w:r w:rsidRPr="00AB5B9B">
            <w:rPr>
              <w:rFonts w:ascii="Arial Narrow" w:hAnsi="Arial Narrow"/>
              <w:sz w:val="16"/>
              <w:szCs w:val="16"/>
            </w:rPr>
            <w:fldChar w:fldCharType="begin"/>
          </w:r>
          <w:r w:rsidRPr="00AB5B9B">
            <w:rPr>
              <w:rFonts w:ascii="Arial Narrow" w:hAnsi="Arial Narrow"/>
              <w:sz w:val="16"/>
              <w:szCs w:val="16"/>
            </w:rPr>
            <w:instrText xml:space="preserve"> DATE  \@ "d MMMM yyyy"  \* MERGEFORMAT </w:instrText>
          </w:r>
          <w:r w:rsidRPr="00AB5B9B">
            <w:rPr>
              <w:rFonts w:ascii="Arial Narrow" w:hAnsi="Arial Narrow"/>
              <w:sz w:val="16"/>
              <w:szCs w:val="16"/>
            </w:rPr>
            <w:fldChar w:fldCharType="separate"/>
          </w:r>
          <w:r w:rsidR="0021624C">
            <w:rPr>
              <w:rFonts w:ascii="Arial Narrow" w:hAnsi="Arial Narrow"/>
              <w:noProof/>
              <w:sz w:val="16"/>
              <w:szCs w:val="16"/>
            </w:rPr>
            <w:t>4 January 2024</w:t>
          </w:r>
          <w:r w:rsidRPr="00AB5B9B">
            <w:rPr>
              <w:rFonts w:ascii="Arial Narrow" w:hAnsi="Arial Narrow"/>
              <w:sz w:val="16"/>
              <w:szCs w:val="16"/>
            </w:rPr>
            <w:fldChar w:fldCharType="end"/>
          </w:r>
        </w:p>
      </w:tc>
    </w:tr>
    <w:tr w:rsidR="002D31C1" w:rsidRPr="00AB5B9B" w14:paraId="4D6AFD5D" w14:textId="77777777" w:rsidTr="00AB5B9B">
      <w:trPr>
        <w:trHeight w:val="40"/>
      </w:trPr>
      <w:tc>
        <w:tcPr>
          <w:tcW w:w="260" w:type="pct"/>
          <w:vMerge/>
          <w:tcBorders>
            <w:top w:val="single" w:sz="4" w:space="0" w:color="C0C0C0"/>
            <w:left w:val="single" w:sz="4" w:space="0" w:color="C0C0C0"/>
            <w:bottom w:val="single" w:sz="4" w:space="0" w:color="C0C0C0"/>
            <w:right w:val="single" w:sz="4" w:space="0" w:color="C0C0C0"/>
          </w:tcBorders>
          <w:shd w:val="clear" w:color="auto" w:fill="auto"/>
        </w:tcPr>
        <w:p w14:paraId="3CA12253" w14:textId="77777777" w:rsidR="002D31C1" w:rsidRPr="00AB5B9B" w:rsidRDefault="002D31C1" w:rsidP="00FD7E95">
          <w:pPr>
            <w:rPr>
              <w:sz w:val="32"/>
              <w:szCs w:val="32"/>
            </w:rPr>
          </w:pPr>
        </w:p>
      </w:tc>
      <w:tc>
        <w:tcPr>
          <w:tcW w:w="261" w:type="pct"/>
          <w:vMerge/>
          <w:tcBorders>
            <w:bottom w:val="single" w:sz="4" w:space="0" w:color="auto"/>
          </w:tcBorders>
          <w:shd w:val="clear" w:color="auto" w:fill="auto"/>
        </w:tcPr>
        <w:p w14:paraId="0CAEA1D2" w14:textId="77777777" w:rsidR="002D31C1" w:rsidRPr="00AB5B9B" w:rsidRDefault="002D31C1" w:rsidP="00FD7E95">
          <w:pPr>
            <w:rPr>
              <w:sz w:val="2"/>
              <w:szCs w:val="18"/>
            </w:rPr>
          </w:pPr>
        </w:p>
      </w:tc>
      <w:tc>
        <w:tcPr>
          <w:tcW w:w="3301" w:type="pct"/>
          <w:vMerge/>
          <w:tcBorders>
            <w:bottom w:val="single" w:sz="4" w:space="0" w:color="auto"/>
          </w:tcBorders>
          <w:shd w:val="clear" w:color="auto" w:fill="auto"/>
        </w:tcPr>
        <w:p w14:paraId="2282BCB3" w14:textId="77777777" w:rsidR="002D31C1" w:rsidRPr="00AB5B9B" w:rsidRDefault="002D31C1" w:rsidP="00FD7E95">
          <w:pPr>
            <w:rPr>
              <w:sz w:val="2"/>
              <w:szCs w:val="18"/>
            </w:rPr>
          </w:pPr>
        </w:p>
      </w:tc>
      <w:tc>
        <w:tcPr>
          <w:tcW w:w="489" w:type="pct"/>
          <w:tcBorders>
            <w:bottom w:val="single" w:sz="4" w:space="0" w:color="auto"/>
          </w:tcBorders>
          <w:shd w:val="clear" w:color="auto" w:fill="auto"/>
          <w:vAlign w:val="center"/>
        </w:tcPr>
        <w:p w14:paraId="0C8DD67A" w14:textId="77777777" w:rsidR="002D31C1" w:rsidRPr="00BD262B" w:rsidRDefault="002D31C1" w:rsidP="00FD7E95">
          <w:pPr>
            <w:pStyle w:val="signTop"/>
          </w:pPr>
        </w:p>
      </w:tc>
      <w:tc>
        <w:tcPr>
          <w:tcW w:w="689" w:type="pct"/>
          <w:tcBorders>
            <w:bottom w:val="single" w:sz="4" w:space="0" w:color="auto"/>
            <w:right w:val="single" w:sz="4" w:space="0" w:color="auto"/>
          </w:tcBorders>
          <w:shd w:val="clear" w:color="auto" w:fill="auto"/>
          <w:vAlign w:val="center"/>
        </w:tcPr>
        <w:p w14:paraId="3869C9AE" w14:textId="77777777" w:rsidR="002D31C1" w:rsidRPr="00BD262B" w:rsidRDefault="002D31C1" w:rsidP="00FD7E95">
          <w:pPr>
            <w:pStyle w:val="signTop"/>
          </w:pPr>
        </w:p>
      </w:tc>
    </w:tr>
    <w:tr w:rsidR="002D31C1" w:rsidRPr="00AB5B9B" w14:paraId="75186C78" w14:textId="77777777" w:rsidTr="00AB5B9B">
      <w:tc>
        <w:tcPr>
          <w:tcW w:w="260" w:type="pct"/>
          <w:tcBorders>
            <w:top w:val="single" w:sz="4" w:space="0" w:color="C0C0C0"/>
            <w:left w:val="single" w:sz="4" w:space="0" w:color="C0C0C0"/>
            <w:bottom w:val="single" w:sz="4" w:space="0" w:color="C0C0C0"/>
            <w:right w:val="single" w:sz="4" w:space="0" w:color="C0C0C0"/>
          </w:tcBorders>
          <w:shd w:val="clear" w:color="auto" w:fill="auto"/>
        </w:tcPr>
        <w:p w14:paraId="1C86BADE" w14:textId="77777777" w:rsidR="002D31C1" w:rsidRPr="00BD262B" w:rsidRDefault="002D31C1" w:rsidP="00FD7E95">
          <w:pPr>
            <w:pStyle w:val="signTop"/>
          </w:pPr>
        </w:p>
      </w:tc>
      <w:tc>
        <w:tcPr>
          <w:tcW w:w="4740" w:type="pct"/>
          <w:gridSpan w:val="4"/>
          <w:shd w:val="clear" w:color="auto" w:fill="auto"/>
        </w:tcPr>
        <w:p w14:paraId="77BBA791" w14:textId="77777777" w:rsidR="002D31C1" w:rsidRPr="00BD262B" w:rsidRDefault="002D31C1" w:rsidP="00FD7E95">
          <w:pPr>
            <w:pStyle w:val="signTop"/>
          </w:pPr>
        </w:p>
      </w:tc>
    </w:tr>
  </w:tbl>
  <w:p w14:paraId="45062F1B" w14:textId="77777777" w:rsidR="002D31C1" w:rsidRPr="002A0929" w:rsidRDefault="002D31C1">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A98722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000004"/>
    <w:multiLevelType w:val="multilevel"/>
    <w:tmpl w:val="B7D6FC2C"/>
    <w:lvl w:ilvl="0">
      <w:start w:val="1"/>
      <w:numFmt w:val="none"/>
      <w:suff w:val="nothing"/>
      <w:lvlText w:val=""/>
      <w:lvlJc w:val="left"/>
      <w:pPr>
        <w:ind w:firstLine="1440"/>
      </w:pPr>
    </w:lvl>
    <w:lvl w:ilvl="1">
      <w:start w:val="1"/>
      <w:numFmt w:val="lowerLetter"/>
      <w:lvlText w:val="(%2)"/>
      <w:lvlJc w:val="left"/>
      <w:pPr>
        <w:tabs>
          <w:tab w:val="num" w:pos="1800"/>
        </w:tabs>
        <w:ind w:left="720" w:firstLine="720"/>
      </w:pPr>
    </w:lvl>
    <w:lvl w:ilvl="2">
      <w:start w:val="1"/>
      <w:numFmt w:val="lowerRoman"/>
      <w:lvlText w:val="(%3)"/>
      <w:lvlJc w:val="right"/>
      <w:pPr>
        <w:tabs>
          <w:tab w:val="num" w:pos="2779"/>
        </w:tabs>
        <w:ind w:left="1440" w:firstLine="979"/>
      </w:pPr>
    </w:lvl>
    <w:lvl w:ilvl="3">
      <w:start w:val="1"/>
      <w:numFmt w:val="upperLetter"/>
      <w:lvlText w:val="(%4)"/>
      <w:lvlJc w:val="left"/>
      <w:pPr>
        <w:tabs>
          <w:tab w:val="num" w:pos="3240"/>
        </w:tabs>
        <w:ind w:left="2160" w:firstLine="720"/>
      </w:pPr>
    </w:lvl>
    <w:lvl w:ilvl="4">
      <w:start w:val="1"/>
      <w:numFmt w:val="decimal"/>
      <w:lvlText w:val="(%5)"/>
      <w:lvlJc w:val="left"/>
      <w:pPr>
        <w:tabs>
          <w:tab w:val="num" w:pos="3960"/>
        </w:tabs>
        <w:ind w:left="2880" w:firstLine="720"/>
      </w:pPr>
    </w:lvl>
    <w:lvl w:ilvl="5">
      <w:start w:val="24"/>
      <w:numFmt w:val="lowerLetter"/>
      <w:lvlText w:val="(%6)"/>
      <w:lvlJc w:val="left"/>
      <w:pPr>
        <w:tabs>
          <w:tab w:val="num" w:pos="4680"/>
        </w:tabs>
        <w:ind w:left="3600" w:firstLine="7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2" w15:restartNumberingAfterBreak="0">
    <w:nsid w:val="021D3EEF"/>
    <w:multiLevelType w:val="singleLevel"/>
    <w:tmpl w:val="1C763C74"/>
    <w:lvl w:ilvl="0">
      <w:start w:val="2"/>
      <w:numFmt w:val="lowerRoman"/>
      <w:lvlText w:val="(%1)"/>
      <w:lvlJc w:val="left"/>
      <w:pPr>
        <w:tabs>
          <w:tab w:val="num" w:pos="1440"/>
        </w:tabs>
        <w:ind w:left="1440" w:hanging="720"/>
      </w:pPr>
      <w:rPr>
        <w:rFonts w:hint="default"/>
      </w:rPr>
    </w:lvl>
  </w:abstractNum>
  <w:abstractNum w:abstractNumId="3" w15:restartNumberingAfterBreak="0">
    <w:nsid w:val="09356F4C"/>
    <w:multiLevelType w:val="singleLevel"/>
    <w:tmpl w:val="040C0019"/>
    <w:lvl w:ilvl="0">
      <w:start w:val="1"/>
      <w:numFmt w:val="lowerLetter"/>
      <w:lvlText w:val="(%1)"/>
      <w:lvlJc w:val="left"/>
      <w:pPr>
        <w:tabs>
          <w:tab w:val="num" w:pos="360"/>
        </w:tabs>
        <w:ind w:left="360" w:hanging="360"/>
      </w:pPr>
      <w:rPr>
        <w:rFonts w:hint="default"/>
      </w:rPr>
    </w:lvl>
  </w:abstractNum>
  <w:abstractNum w:abstractNumId="4" w15:restartNumberingAfterBreak="0">
    <w:nsid w:val="0B1B324C"/>
    <w:multiLevelType w:val="hybridMultilevel"/>
    <w:tmpl w:val="C8E0E69A"/>
    <w:lvl w:ilvl="0" w:tplc="DA9E66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421E0"/>
    <w:multiLevelType w:val="multilevel"/>
    <w:tmpl w:val="28C20660"/>
    <w:lvl w:ilvl="0">
      <w:start w:val="1"/>
      <w:numFmt w:val="none"/>
      <w:pStyle w:val="Defhead"/>
      <w:suff w:val="nothing"/>
      <w:lvlText w:val=""/>
      <w:lvlJc w:val="left"/>
      <w:pPr>
        <w:ind w:left="720" w:firstLine="0"/>
      </w:pPr>
      <w:rPr>
        <w:rFonts w:hint="default"/>
        <w:lang w:val="en-GB"/>
      </w:rPr>
    </w:lvl>
    <w:lvl w:ilvl="1">
      <w:start w:val="1"/>
      <w:numFmt w:val="lowerLetter"/>
      <w:pStyle w:val="Defpara1"/>
      <w:lvlText w:val="(%2)"/>
      <w:lvlJc w:val="left"/>
      <w:pPr>
        <w:tabs>
          <w:tab w:val="num" w:pos="1440"/>
        </w:tabs>
        <w:ind w:left="1440" w:hanging="720"/>
      </w:pPr>
      <w:rPr>
        <w:rFonts w:hint="default"/>
      </w:rPr>
    </w:lvl>
    <w:lvl w:ilvl="2">
      <w:start w:val="1"/>
      <w:numFmt w:val="lowerRoman"/>
      <w:pStyle w:val="Defpara2"/>
      <w:lvlText w:val="(%3)"/>
      <w:lvlJc w:val="left"/>
      <w:pPr>
        <w:tabs>
          <w:tab w:val="num" w:pos="2160"/>
        </w:tabs>
        <w:ind w:left="2160" w:hanging="720"/>
      </w:pPr>
      <w:rPr>
        <w:rFonts w:hint="default"/>
      </w:rPr>
    </w:lvl>
    <w:lvl w:ilvl="3">
      <w:start w:val="1"/>
      <w:numFmt w:val="upperLetter"/>
      <w:pStyle w:val="Defpara3"/>
      <w:lvlText w:val="(%4)"/>
      <w:lvlJc w:val="left"/>
      <w:pPr>
        <w:tabs>
          <w:tab w:val="num" w:pos="2880"/>
        </w:tabs>
        <w:ind w:left="2880" w:hanging="720"/>
      </w:pPr>
      <w:rPr>
        <w:rFonts w:hint="default"/>
      </w:rPr>
    </w:lvl>
    <w:lvl w:ilvl="4">
      <w:start w:val="1"/>
      <w:numFmt w:val="upperLetter"/>
      <w:pStyle w:val="Defpara4"/>
      <w:lvlText w:val="(%5)"/>
      <w:lvlJc w:val="left"/>
      <w:pPr>
        <w:tabs>
          <w:tab w:val="num" w:pos="1440"/>
        </w:tabs>
        <w:ind w:left="1440" w:hanging="720"/>
      </w:pPr>
      <w:rPr>
        <w:rFonts w:hint="default"/>
      </w:rPr>
    </w:lvl>
    <w:lvl w:ilvl="5">
      <w:start w:val="1"/>
      <w:numFmt w:val="decimal"/>
      <w:pStyle w:val="Defpara5"/>
      <w:lvlText w:val="(%6)"/>
      <w:lvlJc w:val="left"/>
      <w:pPr>
        <w:tabs>
          <w:tab w:val="num" w:pos="2160"/>
        </w:tabs>
        <w:ind w:left="2160" w:hanging="720"/>
      </w:pPr>
      <w:rPr>
        <w:rFonts w:hint="default"/>
      </w:rPr>
    </w:lvl>
    <w:lvl w:ilvl="6">
      <w:start w:val="1"/>
      <w:numFmt w:val="lowerLetter"/>
      <w:pStyle w:val="Defpara6"/>
      <w:lvlText w:val="(%7)"/>
      <w:lvlJc w:val="left"/>
      <w:pPr>
        <w:tabs>
          <w:tab w:val="num" w:pos="3600"/>
        </w:tabs>
        <w:ind w:left="3600" w:hanging="720"/>
      </w:pPr>
      <w:rPr>
        <w:rFonts w:hint="default"/>
      </w:rPr>
    </w:lvl>
    <w:lvl w:ilvl="7">
      <w:start w:val="1"/>
      <w:numFmt w:val="lowerRoman"/>
      <w:lvlText w:val="(%8)"/>
      <w:lvlJc w:val="left"/>
      <w:pPr>
        <w:tabs>
          <w:tab w:val="num" w:pos="1440"/>
        </w:tabs>
        <w:ind w:left="1440" w:hanging="72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12D122DE"/>
    <w:multiLevelType w:val="hybridMultilevel"/>
    <w:tmpl w:val="D690EC1E"/>
    <w:lvl w:ilvl="0" w:tplc="AD064D38">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7" w15:restartNumberingAfterBreak="0">
    <w:nsid w:val="150E6DDC"/>
    <w:multiLevelType w:val="hybridMultilevel"/>
    <w:tmpl w:val="2AA41A9E"/>
    <w:lvl w:ilvl="0" w:tplc="812860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E3850"/>
    <w:multiLevelType w:val="singleLevel"/>
    <w:tmpl w:val="0AC6CF5E"/>
    <w:lvl w:ilvl="0">
      <w:start w:val="2"/>
      <w:numFmt w:val="lowerRoman"/>
      <w:lvlText w:val="(%1)"/>
      <w:lvlJc w:val="left"/>
      <w:pPr>
        <w:tabs>
          <w:tab w:val="num" w:pos="1440"/>
        </w:tabs>
        <w:ind w:left="1440" w:hanging="720"/>
      </w:pPr>
      <w:rPr>
        <w:rFonts w:hint="default"/>
      </w:rPr>
    </w:lvl>
  </w:abstractNum>
  <w:abstractNum w:abstractNumId="9" w15:restartNumberingAfterBreak="0">
    <w:nsid w:val="1C97769A"/>
    <w:multiLevelType w:val="hybridMultilevel"/>
    <w:tmpl w:val="E5AC817E"/>
    <w:lvl w:ilvl="0" w:tplc="05608F1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1E0F6953"/>
    <w:multiLevelType w:val="multilevel"/>
    <w:tmpl w:val="BC64004C"/>
    <w:lvl w:ilvl="0">
      <w:start w:val="1"/>
      <w:numFmt w:val="decimal"/>
      <w:lvlText w:val="%1"/>
      <w:lvlJc w:val="left"/>
      <w:pPr>
        <w:tabs>
          <w:tab w:val="num" w:pos="425"/>
        </w:tabs>
        <w:ind w:left="425" w:hanging="425"/>
      </w:pPr>
      <w:rPr>
        <w:rFonts w:hint="default"/>
        <w:sz w:val="22"/>
      </w:rPr>
    </w:lvl>
    <w:lvl w:ilvl="1">
      <w:start w:val="1"/>
      <w:numFmt w:val="decimal"/>
      <w:lvlText w:val="%1.%2"/>
      <w:lvlJc w:val="left"/>
      <w:pPr>
        <w:tabs>
          <w:tab w:val="num" w:pos="992"/>
        </w:tabs>
        <w:ind w:left="992" w:hanging="567"/>
      </w:pPr>
      <w:rPr>
        <w:rFonts w:hint="default"/>
        <w:sz w:val="21"/>
      </w:rPr>
    </w:lvl>
    <w:lvl w:ilvl="2">
      <w:start w:val="1"/>
      <w:numFmt w:val="decimal"/>
      <w:lvlText w:val="%1.%2.%3"/>
      <w:lvlJc w:val="left"/>
      <w:pPr>
        <w:tabs>
          <w:tab w:val="num" w:pos="1559"/>
        </w:tabs>
        <w:ind w:left="1559" w:hanging="567"/>
      </w:pPr>
      <w:rPr>
        <w:rFonts w:hint="default"/>
        <w:sz w:val="17"/>
      </w:rPr>
    </w:lvl>
    <w:lvl w:ilvl="3">
      <w:start w:val="1"/>
      <w:numFmt w:val="lowerLetter"/>
      <w:lvlText w:val="(%4)"/>
      <w:lvlJc w:val="left"/>
      <w:pPr>
        <w:tabs>
          <w:tab w:val="num" w:pos="2126"/>
        </w:tabs>
        <w:ind w:left="2126" w:hanging="567"/>
      </w:pPr>
      <w:rPr>
        <w:rFonts w:hint="default"/>
        <w:sz w:val="20"/>
      </w:rPr>
    </w:lvl>
    <w:lvl w:ilvl="4">
      <w:start w:val="1"/>
      <w:numFmt w:val="upperRoman"/>
      <w:lvlText w:val="(%5)"/>
      <w:lvlJc w:val="left"/>
      <w:pPr>
        <w:tabs>
          <w:tab w:val="num" w:pos="2846"/>
        </w:tabs>
        <w:ind w:left="2693" w:hanging="567"/>
      </w:pPr>
      <w:rPr>
        <w:rFonts w:hint="default"/>
        <w:sz w:val="20"/>
      </w:rPr>
    </w:lvl>
    <w:lvl w:ilvl="5">
      <w:start w:val="1"/>
      <w:numFmt w:val="upperLetter"/>
      <w:lvlText w:val="(%6)"/>
      <w:lvlJc w:val="left"/>
      <w:pPr>
        <w:tabs>
          <w:tab w:val="num" w:pos="3260"/>
        </w:tabs>
        <w:ind w:left="3260" w:hanging="567"/>
      </w:pPr>
      <w:rPr>
        <w:rFonts w:hint="default"/>
        <w:sz w:val="2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abstractNum w:abstractNumId="11" w15:restartNumberingAfterBreak="0">
    <w:nsid w:val="1E6677CA"/>
    <w:multiLevelType w:val="singleLevel"/>
    <w:tmpl w:val="9E72F5FC"/>
    <w:lvl w:ilvl="0">
      <w:start w:val="6"/>
      <w:numFmt w:val="lowerRoman"/>
      <w:lvlText w:val="(%1)"/>
      <w:lvlJc w:val="left"/>
      <w:pPr>
        <w:tabs>
          <w:tab w:val="num" w:pos="1440"/>
        </w:tabs>
        <w:ind w:left="1440" w:hanging="720"/>
      </w:pPr>
      <w:rPr>
        <w:rFonts w:hint="default"/>
      </w:rPr>
    </w:lvl>
  </w:abstractNum>
  <w:abstractNum w:abstractNumId="12" w15:restartNumberingAfterBreak="0">
    <w:nsid w:val="229A2682"/>
    <w:multiLevelType w:val="hybridMultilevel"/>
    <w:tmpl w:val="57BAE84C"/>
    <w:lvl w:ilvl="0" w:tplc="A19A37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BE6115"/>
    <w:multiLevelType w:val="hybridMultilevel"/>
    <w:tmpl w:val="11C2B288"/>
    <w:lvl w:ilvl="0" w:tplc="26F4B65A">
      <w:start w:val="1"/>
      <w:numFmt w:val="decimal"/>
      <w:lvlText w:val="%1."/>
      <w:lvlJc w:val="left"/>
      <w:pPr>
        <w:ind w:left="360" w:hanging="360"/>
      </w:pPr>
      <w:rPr>
        <w:rFonts w:ascii="Microsoft YaHei" w:eastAsia="Microsoft YaHei" w:hAnsi="Microsoft YaHei" w:cs="Microsoft YaHe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464A36"/>
    <w:multiLevelType w:val="hybridMultilevel"/>
    <w:tmpl w:val="C076FFA4"/>
    <w:lvl w:ilvl="0" w:tplc="A19A37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FF3E49"/>
    <w:multiLevelType w:val="multilevel"/>
    <w:tmpl w:val="4A7E56CE"/>
    <w:lvl w:ilvl="0">
      <w:start w:val="1"/>
      <w:numFmt w:val="bullet"/>
      <w:lvlText w:val=""/>
      <w:lvlJc w:val="left"/>
      <w:pPr>
        <w:tabs>
          <w:tab w:val="num" w:pos="340"/>
        </w:tabs>
        <w:ind w:left="340" w:hanging="340"/>
      </w:pPr>
      <w:rPr>
        <w:rFonts w:ascii="Wingdings" w:hAnsi="Wingdings" w:hint="default"/>
        <w:b w:val="0"/>
        <w:i w:val="0"/>
        <w:caps w:val="0"/>
        <w:strike w:val="0"/>
        <w:dstrike w:val="0"/>
        <w:vanish w:val="0"/>
        <w:color w:val="000000"/>
        <w:sz w:val="16"/>
        <w:szCs w:val="1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816621"/>
    <w:multiLevelType w:val="hybridMultilevel"/>
    <w:tmpl w:val="126C2996"/>
    <w:lvl w:ilvl="0" w:tplc="B120953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656CFA"/>
    <w:multiLevelType w:val="hybridMultilevel"/>
    <w:tmpl w:val="5E706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F54696"/>
    <w:multiLevelType w:val="hybridMultilevel"/>
    <w:tmpl w:val="B77EF0D2"/>
    <w:lvl w:ilvl="0" w:tplc="0DD4CA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9D01547"/>
    <w:multiLevelType w:val="multilevel"/>
    <w:tmpl w:val="2BBC25A6"/>
    <w:lvl w:ilvl="0">
      <w:start w:val="1"/>
      <w:numFmt w:val="none"/>
      <w:pStyle w:val="Def1"/>
      <w:suff w:val="nothing"/>
      <w:lvlText w:val=""/>
      <w:lvlJc w:val="left"/>
      <w:pPr>
        <w:ind w:left="720" w:firstLine="0"/>
      </w:pPr>
      <w:rPr>
        <w:rFonts w:hint="default"/>
        <w:lang w:val="en-GB"/>
      </w:rPr>
    </w:lvl>
    <w:lvl w:ilvl="1">
      <w:start w:val="1"/>
      <w:numFmt w:val="lowerRoman"/>
      <w:pStyle w:val="Def2"/>
      <w:lvlText w:val="(%2)"/>
      <w:lvlJc w:val="left"/>
      <w:pPr>
        <w:tabs>
          <w:tab w:val="num" w:pos="1440"/>
        </w:tabs>
        <w:ind w:left="1440" w:hanging="720"/>
      </w:pPr>
      <w:rPr>
        <w:rFonts w:hint="default"/>
        <w:b w:val="0"/>
        <w:bCs w:val="0"/>
      </w:rPr>
    </w:lvl>
    <w:lvl w:ilvl="2">
      <w:start w:val="1"/>
      <w:numFmt w:val="lowerRoman"/>
      <w:lvlText w:val="(%3)."/>
      <w:lvlJc w:val="left"/>
      <w:pPr>
        <w:tabs>
          <w:tab w:val="num" w:pos="0"/>
        </w:tabs>
        <w:ind w:left="720" w:firstLine="0"/>
      </w:pPr>
      <w:rPr>
        <w:rFonts w:hint="default"/>
        <w:lang w:val="en-GB"/>
      </w:rPr>
    </w:lvl>
    <w:lvl w:ilvl="3">
      <w:start w:val="1"/>
      <w:numFmt w:val="decimal"/>
      <w:pStyle w:val="Def4"/>
      <w:lvlText w:val="(%4)"/>
      <w:lvlJc w:val="left"/>
      <w:pPr>
        <w:tabs>
          <w:tab w:val="num" w:pos="2160"/>
        </w:tabs>
        <w:ind w:left="2160" w:hanging="720"/>
      </w:pPr>
      <w:rPr>
        <w:rFonts w:hint="default"/>
      </w:rPr>
    </w:lvl>
    <w:lvl w:ilvl="4">
      <w:start w:val="1"/>
      <w:numFmt w:val="upperLetter"/>
      <w:pStyle w:val="Def5"/>
      <w:lvlText w:val="(%5)"/>
      <w:lvlJc w:val="left"/>
      <w:pPr>
        <w:tabs>
          <w:tab w:val="num" w:pos="1440"/>
        </w:tabs>
        <w:ind w:left="1440" w:hanging="720"/>
      </w:pPr>
      <w:rPr>
        <w:rFonts w:hint="default"/>
      </w:rPr>
    </w:lvl>
    <w:lvl w:ilvl="5">
      <w:start w:val="1"/>
      <w:numFmt w:val="lowerLetter"/>
      <w:pStyle w:val="Def6"/>
      <w:lvlText w:val="(%6)"/>
      <w:lvlJc w:val="left"/>
      <w:pPr>
        <w:tabs>
          <w:tab w:val="num" w:pos="2160"/>
        </w:tabs>
        <w:ind w:left="2160" w:hanging="720"/>
      </w:pPr>
      <w:rPr>
        <w:rFonts w:hint="default"/>
      </w:rPr>
    </w:lvl>
    <w:lvl w:ilvl="6">
      <w:start w:val="1"/>
      <w:numFmt w:val="lowerRoman"/>
      <w:pStyle w:val="Def7"/>
      <w:lvlText w:val="(%7)"/>
      <w:lvlJc w:val="left"/>
      <w:pPr>
        <w:tabs>
          <w:tab w:val="num" w:pos="2880"/>
        </w:tabs>
        <w:ind w:left="2880" w:hanging="720"/>
      </w:pPr>
      <w:rPr>
        <w:rFonts w:hint="default"/>
      </w:rPr>
    </w:lvl>
    <w:lvl w:ilvl="7">
      <w:start w:val="1"/>
      <w:numFmt w:val="lowerLetter"/>
      <w:pStyle w:val="Def8"/>
      <w:lvlText w:val="(%8)"/>
      <w:lvlJc w:val="left"/>
      <w:pPr>
        <w:tabs>
          <w:tab w:val="num" w:pos="3600"/>
        </w:tabs>
        <w:ind w:left="3600" w:hanging="720"/>
      </w:pPr>
      <w:rPr>
        <w:rFonts w:hint="default"/>
      </w:rPr>
    </w:lvl>
    <w:lvl w:ilvl="8">
      <w:start w:val="1"/>
      <w:numFmt w:val="lowerRoman"/>
      <w:pStyle w:val="Def9"/>
      <w:lvlText w:val="%9."/>
      <w:lvlJc w:val="left"/>
      <w:pPr>
        <w:tabs>
          <w:tab w:val="num" w:pos="3600"/>
        </w:tabs>
        <w:ind w:left="3600" w:hanging="720"/>
      </w:pPr>
      <w:rPr>
        <w:rFonts w:hint="default"/>
      </w:rPr>
    </w:lvl>
  </w:abstractNum>
  <w:abstractNum w:abstractNumId="20" w15:restartNumberingAfterBreak="0">
    <w:nsid w:val="42667379"/>
    <w:multiLevelType w:val="multilevel"/>
    <w:tmpl w:val="A9AA74B0"/>
    <w:lvl w:ilvl="0">
      <w:start w:val="1"/>
      <w:numFmt w:val="bullet"/>
      <w:lvlText w:val=""/>
      <w:lvlJc w:val="left"/>
      <w:pPr>
        <w:tabs>
          <w:tab w:val="num" w:pos="340"/>
        </w:tabs>
        <w:ind w:left="340" w:hanging="340"/>
      </w:pPr>
      <w:rPr>
        <w:rFonts w:ascii="Wingdings" w:hAnsi="Wingdings" w:hint="default"/>
        <w:b w:val="0"/>
        <w:i w:val="0"/>
        <w:caps w:val="0"/>
        <w:strike w:val="0"/>
        <w:dstrike w:val="0"/>
        <w:vanish w:val="0"/>
        <w:color w:val="auto"/>
        <w:sz w:val="16"/>
        <w:szCs w:val="16"/>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C95587"/>
    <w:multiLevelType w:val="singleLevel"/>
    <w:tmpl w:val="C9B84C3C"/>
    <w:lvl w:ilvl="0">
      <w:start w:val="1"/>
      <w:numFmt w:val="lowerRoman"/>
      <w:lvlText w:val="(%1)"/>
      <w:lvlJc w:val="left"/>
      <w:pPr>
        <w:tabs>
          <w:tab w:val="num" w:pos="1440"/>
        </w:tabs>
        <w:ind w:left="1440" w:hanging="720"/>
      </w:pPr>
      <w:rPr>
        <w:rFonts w:hint="default"/>
      </w:rPr>
    </w:lvl>
  </w:abstractNum>
  <w:abstractNum w:abstractNumId="22" w15:restartNumberingAfterBreak="0">
    <w:nsid w:val="47553BD9"/>
    <w:multiLevelType w:val="hybridMultilevel"/>
    <w:tmpl w:val="D070ED34"/>
    <w:lvl w:ilvl="0" w:tplc="BE34482A">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3" w15:restartNumberingAfterBreak="0">
    <w:nsid w:val="49AA5275"/>
    <w:multiLevelType w:val="hybridMultilevel"/>
    <w:tmpl w:val="4D2626FA"/>
    <w:lvl w:ilvl="0" w:tplc="A5B815DC">
      <w:start w:val="1"/>
      <w:numFmt w:val="decimal"/>
      <w:lvlText w:val="%1."/>
      <w:lvlJc w:val="left"/>
      <w:pPr>
        <w:tabs>
          <w:tab w:val="num" w:pos="720"/>
        </w:tabs>
        <w:ind w:left="720" w:hanging="360"/>
      </w:pPr>
    </w:lvl>
    <w:lvl w:ilvl="1" w:tplc="DBE4754A" w:tentative="1">
      <w:start w:val="1"/>
      <w:numFmt w:val="decimal"/>
      <w:lvlText w:val="%2."/>
      <w:lvlJc w:val="left"/>
      <w:pPr>
        <w:tabs>
          <w:tab w:val="num" w:pos="1440"/>
        </w:tabs>
        <w:ind w:left="1440" w:hanging="360"/>
      </w:pPr>
    </w:lvl>
    <w:lvl w:ilvl="2" w:tplc="2FAEB67A" w:tentative="1">
      <w:start w:val="1"/>
      <w:numFmt w:val="decimal"/>
      <w:lvlText w:val="%3."/>
      <w:lvlJc w:val="left"/>
      <w:pPr>
        <w:tabs>
          <w:tab w:val="num" w:pos="2160"/>
        </w:tabs>
        <w:ind w:left="2160" w:hanging="360"/>
      </w:pPr>
    </w:lvl>
    <w:lvl w:ilvl="3" w:tplc="EA22D8D2" w:tentative="1">
      <w:start w:val="1"/>
      <w:numFmt w:val="decimal"/>
      <w:lvlText w:val="%4."/>
      <w:lvlJc w:val="left"/>
      <w:pPr>
        <w:tabs>
          <w:tab w:val="num" w:pos="2880"/>
        </w:tabs>
        <w:ind w:left="2880" w:hanging="360"/>
      </w:pPr>
    </w:lvl>
    <w:lvl w:ilvl="4" w:tplc="B1FCC156" w:tentative="1">
      <w:start w:val="1"/>
      <w:numFmt w:val="decimal"/>
      <w:lvlText w:val="%5."/>
      <w:lvlJc w:val="left"/>
      <w:pPr>
        <w:tabs>
          <w:tab w:val="num" w:pos="3600"/>
        </w:tabs>
        <w:ind w:left="3600" w:hanging="360"/>
      </w:pPr>
    </w:lvl>
    <w:lvl w:ilvl="5" w:tplc="97AE8F28" w:tentative="1">
      <w:start w:val="1"/>
      <w:numFmt w:val="decimal"/>
      <w:lvlText w:val="%6."/>
      <w:lvlJc w:val="left"/>
      <w:pPr>
        <w:tabs>
          <w:tab w:val="num" w:pos="4320"/>
        </w:tabs>
        <w:ind w:left="4320" w:hanging="360"/>
      </w:pPr>
    </w:lvl>
    <w:lvl w:ilvl="6" w:tplc="5A2A5ACE" w:tentative="1">
      <w:start w:val="1"/>
      <w:numFmt w:val="decimal"/>
      <w:lvlText w:val="%7."/>
      <w:lvlJc w:val="left"/>
      <w:pPr>
        <w:tabs>
          <w:tab w:val="num" w:pos="5040"/>
        </w:tabs>
        <w:ind w:left="5040" w:hanging="360"/>
      </w:pPr>
    </w:lvl>
    <w:lvl w:ilvl="7" w:tplc="E2C4F724" w:tentative="1">
      <w:start w:val="1"/>
      <w:numFmt w:val="decimal"/>
      <w:lvlText w:val="%8."/>
      <w:lvlJc w:val="left"/>
      <w:pPr>
        <w:tabs>
          <w:tab w:val="num" w:pos="5760"/>
        </w:tabs>
        <w:ind w:left="5760" w:hanging="360"/>
      </w:pPr>
    </w:lvl>
    <w:lvl w:ilvl="8" w:tplc="AC98E41E" w:tentative="1">
      <w:start w:val="1"/>
      <w:numFmt w:val="decimal"/>
      <w:lvlText w:val="%9."/>
      <w:lvlJc w:val="left"/>
      <w:pPr>
        <w:tabs>
          <w:tab w:val="num" w:pos="6480"/>
        </w:tabs>
        <w:ind w:left="6480" w:hanging="360"/>
      </w:pPr>
    </w:lvl>
  </w:abstractNum>
  <w:abstractNum w:abstractNumId="24" w15:restartNumberingAfterBreak="0">
    <w:nsid w:val="50C00DC3"/>
    <w:multiLevelType w:val="hybridMultilevel"/>
    <w:tmpl w:val="147C1CE4"/>
    <w:lvl w:ilvl="0" w:tplc="442A4EF8">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4345FD"/>
    <w:multiLevelType w:val="hybridMultilevel"/>
    <w:tmpl w:val="57BAE84C"/>
    <w:lvl w:ilvl="0" w:tplc="A19A37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65F99"/>
    <w:multiLevelType w:val="multilevel"/>
    <w:tmpl w:val="92902B5E"/>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sz w:val="16"/>
        <w:szCs w:val="16"/>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635567"/>
    <w:multiLevelType w:val="hybridMultilevel"/>
    <w:tmpl w:val="6ADCDF68"/>
    <w:lvl w:ilvl="0" w:tplc="DFA67C0C">
      <w:start w:val="1"/>
      <w:numFmt w:val="decimal"/>
      <w:lvlText w:val="%1."/>
      <w:lvlJc w:val="left"/>
      <w:pPr>
        <w:ind w:left="360" w:hanging="360"/>
      </w:pPr>
      <w:rPr>
        <w:rFonts w:ascii="Microsoft YaHei" w:eastAsia="Microsoft YaHei" w:hAnsi="Microsoft YaHei" w:cs="Microsoft YaHe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E1553A"/>
    <w:multiLevelType w:val="hybridMultilevel"/>
    <w:tmpl w:val="2AA41A9E"/>
    <w:lvl w:ilvl="0" w:tplc="812860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D541C8"/>
    <w:multiLevelType w:val="hybridMultilevel"/>
    <w:tmpl w:val="5874B38C"/>
    <w:lvl w:ilvl="0" w:tplc="33522F90">
      <w:start w:val="1"/>
      <w:numFmt w:val="lowerLetter"/>
      <w:lvlText w:val="(%1)"/>
      <w:lvlJc w:val="left"/>
      <w:pPr>
        <w:tabs>
          <w:tab w:val="num" w:pos="720"/>
        </w:tabs>
        <w:ind w:left="720" w:hanging="360"/>
      </w:pPr>
      <w:rPr>
        <w:rFonts w:hint="default"/>
      </w:rPr>
    </w:lvl>
    <w:lvl w:ilvl="1" w:tplc="C004EA9E">
      <w:start w:val="2"/>
      <w:numFmt w:val="lowerRoman"/>
      <w:lvlText w:val="(%2)"/>
      <w:lvlJc w:val="left"/>
      <w:pPr>
        <w:tabs>
          <w:tab w:val="num" w:pos="1063"/>
        </w:tabs>
        <w:ind w:left="1063"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252BD6"/>
    <w:multiLevelType w:val="hybridMultilevel"/>
    <w:tmpl w:val="35D482CA"/>
    <w:lvl w:ilvl="0" w:tplc="261A0476">
      <w:start w:val="1"/>
      <w:numFmt w:val="lowerRoman"/>
      <w:lvlText w:val="(%1)"/>
      <w:lvlJc w:val="left"/>
      <w:pPr>
        <w:ind w:left="1287" w:hanging="720"/>
      </w:pPr>
      <w:rPr>
        <w:rFonts w:ascii="Arial" w:hAnsi="Arial" w:cs="Arial" w:hint="default"/>
        <w:sz w:val="18"/>
        <w:szCs w:val="1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61845604"/>
    <w:multiLevelType w:val="singleLevel"/>
    <w:tmpl w:val="A27AA5F2"/>
    <w:lvl w:ilvl="0">
      <w:start w:val="1"/>
      <w:numFmt w:val="lowerLetter"/>
      <w:pStyle w:val="alpha1"/>
      <w:lvlText w:val="(%1)"/>
      <w:lvlJc w:val="left"/>
      <w:pPr>
        <w:tabs>
          <w:tab w:val="num" w:pos="567"/>
        </w:tabs>
        <w:ind w:left="567" w:hanging="567"/>
      </w:pPr>
      <w:rPr>
        <w:rFonts w:ascii="Arial" w:hAnsi="Arial" w:hint="default"/>
        <w:b w:val="0"/>
        <w:i w:val="0"/>
        <w:sz w:val="20"/>
      </w:rPr>
    </w:lvl>
  </w:abstractNum>
  <w:abstractNum w:abstractNumId="32" w15:restartNumberingAfterBreak="0">
    <w:nsid w:val="62121B83"/>
    <w:multiLevelType w:val="hybridMultilevel"/>
    <w:tmpl w:val="4DD65E1A"/>
    <w:lvl w:ilvl="0" w:tplc="F10886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4643EC"/>
    <w:multiLevelType w:val="multilevel"/>
    <w:tmpl w:val="0794FFF8"/>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FDFE1"/>
        <w:sz w:val="16"/>
        <w:szCs w:val="1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E337BB"/>
    <w:multiLevelType w:val="hybridMultilevel"/>
    <w:tmpl w:val="D070ED34"/>
    <w:lvl w:ilvl="0" w:tplc="BE34482A">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5" w15:restartNumberingAfterBreak="0">
    <w:nsid w:val="651D481B"/>
    <w:multiLevelType w:val="hybridMultilevel"/>
    <w:tmpl w:val="5308C1DA"/>
    <w:lvl w:ilvl="0" w:tplc="0D9C903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904186F"/>
    <w:multiLevelType w:val="hybridMultilevel"/>
    <w:tmpl w:val="C076FFA4"/>
    <w:lvl w:ilvl="0" w:tplc="A19A37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C128CE"/>
    <w:multiLevelType w:val="hybridMultilevel"/>
    <w:tmpl w:val="E776225E"/>
    <w:lvl w:ilvl="0" w:tplc="34C863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BA56BC"/>
    <w:multiLevelType w:val="hybridMultilevel"/>
    <w:tmpl w:val="6C2C5734"/>
    <w:lvl w:ilvl="0" w:tplc="513C00AA">
      <w:start w:val="1"/>
      <w:numFmt w:val="bullet"/>
      <w:pStyle w:val="CarChar1CarCharCarCharCar"/>
      <w:lvlText w:val=""/>
      <w:lvlJc w:val="left"/>
      <w:pPr>
        <w:tabs>
          <w:tab w:val="num" w:pos="1080"/>
        </w:tabs>
        <w:ind w:left="108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384B6D"/>
    <w:multiLevelType w:val="hybridMultilevel"/>
    <w:tmpl w:val="4DD65E1A"/>
    <w:lvl w:ilvl="0" w:tplc="F10886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927CDB"/>
    <w:multiLevelType w:val="hybridMultilevel"/>
    <w:tmpl w:val="633C5860"/>
    <w:lvl w:ilvl="0" w:tplc="D4045F3E">
      <w:start w:val="1"/>
      <w:numFmt w:val="bullet"/>
      <w:pStyle w:val="Bodybulletedtext"/>
      <w:lvlText w:val=""/>
      <w:lvlJc w:val="left"/>
      <w:pPr>
        <w:tabs>
          <w:tab w:val="num" w:pos="227"/>
        </w:tabs>
        <w:ind w:left="227" w:hanging="227"/>
      </w:pPr>
      <w:rPr>
        <w:rFonts w:ascii="Wingdings" w:hAnsi="Wingdings" w:hint="default"/>
        <w:b w:val="0"/>
        <w:i w:val="0"/>
        <w:caps w:val="0"/>
        <w:strike w:val="0"/>
        <w:dstrike w:val="0"/>
        <w:vanish w:val="0"/>
        <w:color w:val="005789"/>
        <w:sz w:val="16"/>
        <w:szCs w:val="1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C905A1"/>
    <w:multiLevelType w:val="singleLevel"/>
    <w:tmpl w:val="494ECB34"/>
    <w:lvl w:ilvl="0">
      <w:start w:val="1"/>
      <w:numFmt w:val="decimal"/>
      <w:lvlText w:val="(%1)"/>
      <w:lvlJc w:val="left"/>
      <w:pPr>
        <w:tabs>
          <w:tab w:val="num" w:pos="2160"/>
        </w:tabs>
        <w:ind w:left="2160" w:hanging="720"/>
      </w:pPr>
      <w:rPr>
        <w:rFonts w:hint="default"/>
      </w:rPr>
    </w:lvl>
  </w:abstractNum>
  <w:abstractNum w:abstractNumId="42" w15:restartNumberingAfterBreak="0">
    <w:nsid w:val="74E36B9B"/>
    <w:multiLevelType w:val="hybridMultilevel"/>
    <w:tmpl w:val="42D8E20E"/>
    <w:lvl w:ilvl="0" w:tplc="B6542F04">
      <w:start w:val="1"/>
      <w:numFmt w:val="lowerRoman"/>
      <w:lvlText w:val="(%1)"/>
      <w:lvlJc w:val="left"/>
      <w:pPr>
        <w:ind w:left="1287" w:hanging="720"/>
      </w:pPr>
      <w:rPr>
        <w:rFonts w:ascii="Arial" w:hAnsi="Arial" w:cs="Arial" w:hint="default"/>
        <w:b w:val="0"/>
        <w:bCs w:val="0"/>
        <w:sz w:val="18"/>
        <w:szCs w:val="1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3" w15:restartNumberingAfterBreak="0">
    <w:nsid w:val="753B2579"/>
    <w:multiLevelType w:val="singleLevel"/>
    <w:tmpl w:val="84AE77BC"/>
    <w:lvl w:ilvl="0">
      <w:start w:val="1"/>
      <w:numFmt w:val="decimal"/>
      <w:lvlText w:val="(%1)"/>
      <w:lvlJc w:val="left"/>
      <w:pPr>
        <w:tabs>
          <w:tab w:val="num" w:pos="2160"/>
        </w:tabs>
        <w:ind w:left="2160" w:hanging="720"/>
      </w:pPr>
      <w:rPr>
        <w:rFonts w:hint="default"/>
      </w:rPr>
    </w:lvl>
  </w:abstractNum>
  <w:abstractNum w:abstractNumId="44" w15:restartNumberingAfterBreak="0">
    <w:nsid w:val="75494F64"/>
    <w:multiLevelType w:val="hybridMultilevel"/>
    <w:tmpl w:val="02F4C8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DB3700"/>
    <w:multiLevelType w:val="singleLevel"/>
    <w:tmpl w:val="814225B6"/>
    <w:lvl w:ilvl="0">
      <w:start w:val="1"/>
      <w:numFmt w:val="lowerLetter"/>
      <w:lvlText w:val="(%1)"/>
      <w:lvlJc w:val="left"/>
      <w:pPr>
        <w:tabs>
          <w:tab w:val="num" w:pos="720"/>
        </w:tabs>
        <w:ind w:left="720" w:hanging="720"/>
      </w:pPr>
      <w:rPr>
        <w:rFonts w:hint="default"/>
      </w:rPr>
    </w:lvl>
  </w:abstractNum>
  <w:abstractNum w:abstractNumId="46" w15:restartNumberingAfterBreak="0">
    <w:nsid w:val="79EC2DF0"/>
    <w:multiLevelType w:val="multilevel"/>
    <w:tmpl w:val="259E62CE"/>
    <w:lvl w:ilvl="0">
      <w:start w:val="1"/>
      <w:numFmt w:val="lowerLetter"/>
      <w:lvlText w:val="(%1)"/>
      <w:lvlJc w:val="left"/>
      <w:pPr>
        <w:tabs>
          <w:tab w:val="left" w:pos="720"/>
        </w:tabs>
      </w:pPr>
      <w:rPr>
        <w:rFonts w:ascii="Times New Roman" w:eastAsia="Times New Roman" w:hAnsi="Times New Roman"/>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9ED5BD2"/>
    <w:multiLevelType w:val="hybridMultilevel"/>
    <w:tmpl w:val="93ACAEA8"/>
    <w:lvl w:ilvl="0" w:tplc="8642F3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2F3282"/>
    <w:multiLevelType w:val="singleLevel"/>
    <w:tmpl w:val="FC144396"/>
    <w:lvl w:ilvl="0">
      <w:start w:val="1"/>
      <w:numFmt w:val="lowerLetter"/>
      <w:lvlText w:val="(%1)"/>
      <w:lvlJc w:val="left"/>
      <w:pPr>
        <w:tabs>
          <w:tab w:val="num" w:pos="720"/>
        </w:tabs>
        <w:ind w:left="720" w:hanging="720"/>
      </w:pPr>
      <w:rPr>
        <w:rFonts w:hint="default"/>
      </w:rPr>
    </w:lvl>
  </w:abstractNum>
  <w:num w:numId="1" w16cid:durableId="197282575">
    <w:abstractNumId w:val="23"/>
  </w:num>
  <w:num w:numId="2" w16cid:durableId="2003389713">
    <w:abstractNumId w:val="40"/>
  </w:num>
  <w:num w:numId="3" w16cid:durableId="684476254">
    <w:abstractNumId w:val="15"/>
  </w:num>
  <w:num w:numId="4" w16cid:durableId="2110734578">
    <w:abstractNumId w:val="20"/>
  </w:num>
  <w:num w:numId="5" w16cid:durableId="529147721">
    <w:abstractNumId w:val="26"/>
  </w:num>
  <w:num w:numId="6" w16cid:durableId="1648239856">
    <w:abstractNumId w:val="33"/>
  </w:num>
  <w:num w:numId="7" w16cid:durableId="1526938576">
    <w:abstractNumId w:val="48"/>
  </w:num>
  <w:num w:numId="8" w16cid:durableId="1484615445">
    <w:abstractNumId w:val="3"/>
  </w:num>
  <w:num w:numId="9" w16cid:durableId="2115323953">
    <w:abstractNumId w:val="8"/>
  </w:num>
  <w:num w:numId="10" w16cid:durableId="1045761711">
    <w:abstractNumId w:val="41"/>
  </w:num>
  <w:num w:numId="11" w16cid:durableId="1002854565">
    <w:abstractNumId w:val="45"/>
  </w:num>
  <w:num w:numId="12" w16cid:durableId="99110529">
    <w:abstractNumId w:val="43"/>
  </w:num>
  <w:num w:numId="13" w16cid:durableId="1463766171">
    <w:abstractNumId w:val="2"/>
  </w:num>
  <w:num w:numId="14" w16cid:durableId="620649022">
    <w:abstractNumId w:val="21"/>
  </w:num>
  <w:num w:numId="15" w16cid:durableId="792332050">
    <w:abstractNumId w:val="11"/>
  </w:num>
  <w:num w:numId="16" w16cid:durableId="1578132355">
    <w:abstractNumId w:val="38"/>
  </w:num>
  <w:num w:numId="17" w16cid:durableId="1994018539">
    <w:abstractNumId w:val="6"/>
  </w:num>
  <w:num w:numId="18" w16cid:durableId="1198203254">
    <w:abstractNumId w:val="0"/>
  </w:num>
  <w:num w:numId="19" w16cid:durableId="1127743741">
    <w:abstractNumId w:val="35"/>
  </w:num>
  <w:num w:numId="20" w16cid:durableId="1578663238">
    <w:abstractNumId w:val="34"/>
  </w:num>
  <w:num w:numId="21" w16cid:durableId="1580868213">
    <w:abstractNumId w:val="22"/>
  </w:num>
  <w:num w:numId="22" w16cid:durableId="607808299">
    <w:abstractNumId w:val="10"/>
  </w:num>
  <w:num w:numId="23" w16cid:durableId="1328635106">
    <w:abstractNumId w:val="1"/>
  </w:num>
  <w:num w:numId="24" w16cid:durableId="1866864515">
    <w:abstractNumId w:val="47"/>
  </w:num>
  <w:num w:numId="25" w16cid:durableId="259026948">
    <w:abstractNumId w:val="24"/>
  </w:num>
  <w:num w:numId="26" w16cid:durableId="1514102021">
    <w:abstractNumId w:val="39"/>
  </w:num>
  <w:num w:numId="27" w16cid:durableId="598560047">
    <w:abstractNumId w:val="32"/>
  </w:num>
  <w:num w:numId="28" w16cid:durableId="634719184">
    <w:abstractNumId w:val="4"/>
  </w:num>
  <w:num w:numId="29" w16cid:durableId="921648386">
    <w:abstractNumId w:val="16"/>
  </w:num>
  <w:num w:numId="30" w16cid:durableId="1465002090">
    <w:abstractNumId w:val="13"/>
  </w:num>
  <w:num w:numId="31" w16cid:durableId="552614955">
    <w:abstractNumId w:val="27"/>
  </w:num>
  <w:num w:numId="32" w16cid:durableId="1793085236">
    <w:abstractNumId w:val="25"/>
  </w:num>
  <w:num w:numId="33" w16cid:durableId="1450591465">
    <w:abstractNumId w:val="7"/>
  </w:num>
  <w:num w:numId="34" w16cid:durableId="581185583">
    <w:abstractNumId w:val="46"/>
  </w:num>
  <w:num w:numId="35" w16cid:durableId="1903176469">
    <w:abstractNumId w:val="28"/>
  </w:num>
  <w:num w:numId="36" w16cid:durableId="1553345249">
    <w:abstractNumId w:val="9"/>
  </w:num>
  <w:num w:numId="37" w16cid:durableId="1735011766">
    <w:abstractNumId w:val="17"/>
  </w:num>
  <w:num w:numId="38" w16cid:durableId="93017700">
    <w:abstractNumId w:val="44"/>
  </w:num>
  <w:num w:numId="39" w16cid:durableId="705830233">
    <w:abstractNumId w:val="18"/>
  </w:num>
  <w:num w:numId="40" w16cid:durableId="1447430811">
    <w:abstractNumId w:val="14"/>
  </w:num>
  <w:num w:numId="41" w16cid:durableId="791247364">
    <w:abstractNumId w:val="12"/>
  </w:num>
  <w:num w:numId="42" w16cid:durableId="494951450">
    <w:abstractNumId w:val="37"/>
  </w:num>
  <w:num w:numId="43" w16cid:durableId="668873418">
    <w:abstractNumId w:val="36"/>
  </w:num>
  <w:num w:numId="44" w16cid:durableId="1009797961">
    <w:abstractNumId w:val="31"/>
  </w:num>
  <w:num w:numId="45" w16cid:durableId="1003631113">
    <w:abstractNumId w:val="29"/>
  </w:num>
  <w:num w:numId="46" w16cid:durableId="2030062944">
    <w:abstractNumId w:val="31"/>
  </w:num>
  <w:num w:numId="47" w16cid:durableId="289239569">
    <w:abstractNumId w:val="30"/>
  </w:num>
  <w:num w:numId="48" w16cid:durableId="907690980">
    <w:abstractNumId w:val="19"/>
  </w:num>
  <w:num w:numId="49" w16cid:durableId="20861425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31863004">
    <w:abstractNumId w:val="5"/>
  </w:num>
  <w:num w:numId="51" w16cid:durableId="177698465">
    <w:abstractNumId w:val="31"/>
  </w:num>
  <w:num w:numId="52" w16cid:durableId="276300426">
    <w:abstractNumId w:val="31"/>
  </w:num>
  <w:num w:numId="53" w16cid:durableId="200870997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fr-FR" w:vendorID="64" w:dllVersion="6" w:nlCheck="1" w:checkStyle="0"/>
  <w:activeWritingStyle w:appName="MSWord" w:lang="en-GB" w:vendorID="64" w:dllVersion="6" w:nlCheck="1" w:checkStyle="0"/>
  <w:activeWritingStyle w:appName="MSWord" w:lang="en-US" w:vendorID="64" w:dllVersion="6" w:nlCheck="1" w:checkStyle="0"/>
  <w:activeWritingStyle w:appName="MSWord" w:lang="ko-KR" w:vendorID="64" w:dllVersion="5" w:nlCheck="1" w:checkStyle="1"/>
  <w:activeWritingStyle w:appName="MSWord" w:lang="zh-CN" w:vendorID="64" w:dllVersion="5" w:nlCheck="1" w:checkStyle="1"/>
  <w:activeWritingStyle w:appName="MSWord" w:lang="en-GB"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evenAndOddHeaders/>
  <w:noPunctuationKerning/>
  <w:characterSpacingControl w:val="doNotCompress"/>
  <w:hdrShapeDefaults>
    <o:shapedefaults v:ext="edit" spidmax="2050">
      <o:colormru v:ext="edit" colors="#005789,#d9e6e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274"/>
    <w:rsid w:val="0000096B"/>
    <w:rsid w:val="00002DA2"/>
    <w:rsid w:val="00004755"/>
    <w:rsid w:val="00007DCB"/>
    <w:rsid w:val="000142AE"/>
    <w:rsid w:val="00016BAE"/>
    <w:rsid w:val="00017BE2"/>
    <w:rsid w:val="0002044D"/>
    <w:rsid w:val="00027061"/>
    <w:rsid w:val="00031050"/>
    <w:rsid w:val="00032305"/>
    <w:rsid w:val="000327D4"/>
    <w:rsid w:val="00033859"/>
    <w:rsid w:val="00033F71"/>
    <w:rsid w:val="000348F8"/>
    <w:rsid w:val="00037EE2"/>
    <w:rsid w:val="00040A60"/>
    <w:rsid w:val="000432B6"/>
    <w:rsid w:val="00045FCE"/>
    <w:rsid w:val="00046AD1"/>
    <w:rsid w:val="00047AFC"/>
    <w:rsid w:val="00047FC0"/>
    <w:rsid w:val="00050116"/>
    <w:rsid w:val="0005359F"/>
    <w:rsid w:val="000540AC"/>
    <w:rsid w:val="000541E6"/>
    <w:rsid w:val="00055D91"/>
    <w:rsid w:val="00056AE6"/>
    <w:rsid w:val="00057D00"/>
    <w:rsid w:val="0006073D"/>
    <w:rsid w:val="000619BA"/>
    <w:rsid w:val="0006326D"/>
    <w:rsid w:val="000642B4"/>
    <w:rsid w:val="00065599"/>
    <w:rsid w:val="000678E8"/>
    <w:rsid w:val="00071D36"/>
    <w:rsid w:val="00072DD0"/>
    <w:rsid w:val="0007375E"/>
    <w:rsid w:val="00075731"/>
    <w:rsid w:val="00075864"/>
    <w:rsid w:val="00091014"/>
    <w:rsid w:val="00091B55"/>
    <w:rsid w:val="00091CE3"/>
    <w:rsid w:val="0009233E"/>
    <w:rsid w:val="0009254C"/>
    <w:rsid w:val="00093061"/>
    <w:rsid w:val="00093475"/>
    <w:rsid w:val="0009753F"/>
    <w:rsid w:val="000A1252"/>
    <w:rsid w:val="000A32C5"/>
    <w:rsid w:val="000A3916"/>
    <w:rsid w:val="000A40E8"/>
    <w:rsid w:val="000A6056"/>
    <w:rsid w:val="000A6B92"/>
    <w:rsid w:val="000A7FB7"/>
    <w:rsid w:val="000B1C6B"/>
    <w:rsid w:val="000B237B"/>
    <w:rsid w:val="000B5020"/>
    <w:rsid w:val="000B5F30"/>
    <w:rsid w:val="000B6236"/>
    <w:rsid w:val="000B6FC3"/>
    <w:rsid w:val="000C0479"/>
    <w:rsid w:val="000C199F"/>
    <w:rsid w:val="000C381B"/>
    <w:rsid w:val="000C39E8"/>
    <w:rsid w:val="000C64F2"/>
    <w:rsid w:val="000C6881"/>
    <w:rsid w:val="000D042D"/>
    <w:rsid w:val="000D0506"/>
    <w:rsid w:val="000D25C0"/>
    <w:rsid w:val="000D2722"/>
    <w:rsid w:val="000D3A23"/>
    <w:rsid w:val="000D50E0"/>
    <w:rsid w:val="000D705C"/>
    <w:rsid w:val="000D7117"/>
    <w:rsid w:val="000E1272"/>
    <w:rsid w:val="000E13CA"/>
    <w:rsid w:val="000E154E"/>
    <w:rsid w:val="000E1747"/>
    <w:rsid w:val="000E2282"/>
    <w:rsid w:val="000E2C5C"/>
    <w:rsid w:val="000E2C7D"/>
    <w:rsid w:val="000E36B0"/>
    <w:rsid w:val="000E46AA"/>
    <w:rsid w:val="000E58EF"/>
    <w:rsid w:val="000E6113"/>
    <w:rsid w:val="000E6F1B"/>
    <w:rsid w:val="000E736E"/>
    <w:rsid w:val="000F01B2"/>
    <w:rsid w:val="000F156A"/>
    <w:rsid w:val="000F37AE"/>
    <w:rsid w:val="000F531C"/>
    <w:rsid w:val="000F797E"/>
    <w:rsid w:val="001054B4"/>
    <w:rsid w:val="001057DB"/>
    <w:rsid w:val="00110481"/>
    <w:rsid w:val="00110573"/>
    <w:rsid w:val="00111091"/>
    <w:rsid w:val="00115AE7"/>
    <w:rsid w:val="0011677D"/>
    <w:rsid w:val="00117580"/>
    <w:rsid w:val="001214B1"/>
    <w:rsid w:val="001237EE"/>
    <w:rsid w:val="001302A5"/>
    <w:rsid w:val="00135110"/>
    <w:rsid w:val="00135465"/>
    <w:rsid w:val="0013554D"/>
    <w:rsid w:val="001362B6"/>
    <w:rsid w:val="00140D71"/>
    <w:rsid w:val="00141D11"/>
    <w:rsid w:val="001426B7"/>
    <w:rsid w:val="001432D9"/>
    <w:rsid w:val="00150113"/>
    <w:rsid w:val="00150FE5"/>
    <w:rsid w:val="00153526"/>
    <w:rsid w:val="00153730"/>
    <w:rsid w:val="00153B34"/>
    <w:rsid w:val="0015448F"/>
    <w:rsid w:val="001545BF"/>
    <w:rsid w:val="00154CC2"/>
    <w:rsid w:val="0015540B"/>
    <w:rsid w:val="00155DD6"/>
    <w:rsid w:val="001560FD"/>
    <w:rsid w:val="00156F8B"/>
    <w:rsid w:val="00160595"/>
    <w:rsid w:val="0016059F"/>
    <w:rsid w:val="0016159E"/>
    <w:rsid w:val="00161FA4"/>
    <w:rsid w:val="00162C7F"/>
    <w:rsid w:val="00163B10"/>
    <w:rsid w:val="00163D11"/>
    <w:rsid w:val="00165767"/>
    <w:rsid w:val="00167FDD"/>
    <w:rsid w:val="00171293"/>
    <w:rsid w:val="00173A92"/>
    <w:rsid w:val="00173B12"/>
    <w:rsid w:val="001748BD"/>
    <w:rsid w:val="00174CF6"/>
    <w:rsid w:val="00180272"/>
    <w:rsid w:val="00180406"/>
    <w:rsid w:val="0018065D"/>
    <w:rsid w:val="00180A5A"/>
    <w:rsid w:val="001816E4"/>
    <w:rsid w:val="00181A3F"/>
    <w:rsid w:val="00181FB2"/>
    <w:rsid w:val="00183228"/>
    <w:rsid w:val="0018322E"/>
    <w:rsid w:val="00183359"/>
    <w:rsid w:val="00184717"/>
    <w:rsid w:val="001849CB"/>
    <w:rsid w:val="00185AD8"/>
    <w:rsid w:val="00185F33"/>
    <w:rsid w:val="00186D52"/>
    <w:rsid w:val="00191F9A"/>
    <w:rsid w:val="00191FA0"/>
    <w:rsid w:val="001936BD"/>
    <w:rsid w:val="001939FD"/>
    <w:rsid w:val="00196F82"/>
    <w:rsid w:val="00196FEE"/>
    <w:rsid w:val="001A22FC"/>
    <w:rsid w:val="001A626A"/>
    <w:rsid w:val="001A6731"/>
    <w:rsid w:val="001A6957"/>
    <w:rsid w:val="001A7B2D"/>
    <w:rsid w:val="001B1FF3"/>
    <w:rsid w:val="001B2EDB"/>
    <w:rsid w:val="001B3474"/>
    <w:rsid w:val="001B4282"/>
    <w:rsid w:val="001C5684"/>
    <w:rsid w:val="001C641E"/>
    <w:rsid w:val="001D0E2F"/>
    <w:rsid w:val="001D1313"/>
    <w:rsid w:val="001D6E41"/>
    <w:rsid w:val="001E1400"/>
    <w:rsid w:val="001F0F23"/>
    <w:rsid w:val="001F27E7"/>
    <w:rsid w:val="002019F2"/>
    <w:rsid w:val="0020242B"/>
    <w:rsid w:val="002029DA"/>
    <w:rsid w:val="00202B16"/>
    <w:rsid w:val="002037A8"/>
    <w:rsid w:val="00203A80"/>
    <w:rsid w:val="00203E0F"/>
    <w:rsid w:val="002072E2"/>
    <w:rsid w:val="00210D63"/>
    <w:rsid w:val="00211D13"/>
    <w:rsid w:val="002122C1"/>
    <w:rsid w:val="00212962"/>
    <w:rsid w:val="00213027"/>
    <w:rsid w:val="0021499E"/>
    <w:rsid w:val="00214AD4"/>
    <w:rsid w:val="0021542E"/>
    <w:rsid w:val="0021624C"/>
    <w:rsid w:val="002163BA"/>
    <w:rsid w:val="00217719"/>
    <w:rsid w:val="0022117B"/>
    <w:rsid w:val="002213A4"/>
    <w:rsid w:val="002215E5"/>
    <w:rsid w:val="002219EA"/>
    <w:rsid w:val="00222510"/>
    <w:rsid w:val="00223875"/>
    <w:rsid w:val="00223A04"/>
    <w:rsid w:val="00223C99"/>
    <w:rsid w:val="00223FAB"/>
    <w:rsid w:val="00225B71"/>
    <w:rsid w:val="00226658"/>
    <w:rsid w:val="00226D0A"/>
    <w:rsid w:val="00233003"/>
    <w:rsid w:val="00233F6F"/>
    <w:rsid w:val="00236FF1"/>
    <w:rsid w:val="0023799D"/>
    <w:rsid w:val="0024198B"/>
    <w:rsid w:val="00242528"/>
    <w:rsid w:val="00242FA4"/>
    <w:rsid w:val="00244B48"/>
    <w:rsid w:val="00244D6A"/>
    <w:rsid w:val="002474FF"/>
    <w:rsid w:val="00250F44"/>
    <w:rsid w:val="002534B9"/>
    <w:rsid w:val="0025379A"/>
    <w:rsid w:val="002549E8"/>
    <w:rsid w:val="002556FE"/>
    <w:rsid w:val="00257082"/>
    <w:rsid w:val="00257C03"/>
    <w:rsid w:val="0026039C"/>
    <w:rsid w:val="00261076"/>
    <w:rsid w:val="002639EE"/>
    <w:rsid w:val="00267512"/>
    <w:rsid w:val="00272F22"/>
    <w:rsid w:val="002743E3"/>
    <w:rsid w:val="0028043F"/>
    <w:rsid w:val="0028140D"/>
    <w:rsid w:val="002845E4"/>
    <w:rsid w:val="0028649A"/>
    <w:rsid w:val="002905C1"/>
    <w:rsid w:val="00292C0A"/>
    <w:rsid w:val="00292CA9"/>
    <w:rsid w:val="0029371A"/>
    <w:rsid w:val="00293FE5"/>
    <w:rsid w:val="002943D0"/>
    <w:rsid w:val="002949D0"/>
    <w:rsid w:val="00294EBC"/>
    <w:rsid w:val="00295FA2"/>
    <w:rsid w:val="00296A66"/>
    <w:rsid w:val="00296FCE"/>
    <w:rsid w:val="00297581"/>
    <w:rsid w:val="002A0651"/>
    <w:rsid w:val="002A0929"/>
    <w:rsid w:val="002A10DF"/>
    <w:rsid w:val="002A1C9E"/>
    <w:rsid w:val="002A2749"/>
    <w:rsid w:val="002A3249"/>
    <w:rsid w:val="002A4E9C"/>
    <w:rsid w:val="002A62C4"/>
    <w:rsid w:val="002A74C9"/>
    <w:rsid w:val="002B23A9"/>
    <w:rsid w:val="002B50A9"/>
    <w:rsid w:val="002C2FF7"/>
    <w:rsid w:val="002C35E3"/>
    <w:rsid w:val="002C40A5"/>
    <w:rsid w:val="002C47CA"/>
    <w:rsid w:val="002C5843"/>
    <w:rsid w:val="002C66D2"/>
    <w:rsid w:val="002C7E2D"/>
    <w:rsid w:val="002D158C"/>
    <w:rsid w:val="002D191A"/>
    <w:rsid w:val="002D31C1"/>
    <w:rsid w:val="002D3343"/>
    <w:rsid w:val="002D36A7"/>
    <w:rsid w:val="002D5958"/>
    <w:rsid w:val="002D5E6F"/>
    <w:rsid w:val="002D6E56"/>
    <w:rsid w:val="002D7732"/>
    <w:rsid w:val="002E560A"/>
    <w:rsid w:val="002E5677"/>
    <w:rsid w:val="002E58DB"/>
    <w:rsid w:val="002E58F2"/>
    <w:rsid w:val="002E7A09"/>
    <w:rsid w:val="002F0D9E"/>
    <w:rsid w:val="002F17FE"/>
    <w:rsid w:val="002F1A79"/>
    <w:rsid w:val="002F1D13"/>
    <w:rsid w:val="002F2638"/>
    <w:rsid w:val="002F26E3"/>
    <w:rsid w:val="002F3B7A"/>
    <w:rsid w:val="002F3FC1"/>
    <w:rsid w:val="002F4EF7"/>
    <w:rsid w:val="002F6A4E"/>
    <w:rsid w:val="003010F4"/>
    <w:rsid w:val="00301423"/>
    <w:rsid w:val="00302936"/>
    <w:rsid w:val="00312682"/>
    <w:rsid w:val="00315676"/>
    <w:rsid w:val="00321BCF"/>
    <w:rsid w:val="003223AF"/>
    <w:rsid w:val="00323660"/>
    <w:rsid w:val="00325847"/>
    <w:rsid w:val="00325F10"/>
    <w:rsid w:val="0032783B"/>
    <w:rsid w:val="00331572"/>
    <w:rsid w:val="00331992"/>
    <w:rsid w:val="00333E92"/>
    <w:rsid w:val="003345A7"/>
    <w:rsid w:val="003363EA"/>
    <w:rsid w:val="003408A2"/>
    <w:rsid w:val="00344A9D"/>
    <w:rsid w:val="00347AF6"/>
    <w:rsid w:val="00350B09"/>
    <w:rsid w:val="003524B9"/>
    <w:rsid w:val="00354B15"/>
    <w:rsid w:val="0035698A"/>
    <w:rsid w:val="00360476"/>
    <w:rsid w:val="00361719"/>
    <w:rsid w:val="0036359F"/>
    <w:rsid w:val="00363DE7"/>
    <w:rsid w:val="003674D5"/>
    <w:rsid w:val="00370267"/>
    <w:rsid w:val="003706C4"/>
    <w:rsid w:val="003708CF"/>
    <w:rsid w:val="003726D9"/>
    <w:rsid w:val="00373F49"/>
    <w:rsid w:val="0037648C"/>
    <w:rsid w:val="003819A2"/>
    <w:rsid w:val="00382D43"/>
    <w:rsid w:val="00383963"/>
    <w:rsid w:val="00384109"/>
    <w:rsid w:val="003864A4"/>
    <w:rsid w:val="00386ADA"/>
    <w:rsid w:val="003900A3"/>
    <w:rsid w:val="00390829"/>
    <w:rsid w:val="00393B65"/>
    <w:rsid w:val="00396F32"/>
    <w:rsid w:val="003970E5"/>
    <w:rsid w:val="003A062B"/>
    <w:rsid w:val="003A0C15"/>
    <w:rsid w:val="003A0ED4"/>
    <w:rsid w:val="003A554C"/>
    <w:rsid w:val="003A60EC"/>
    <w:rsid w:val="003A6BC3"/>
    <w:rsid w:val="003A7DCB"/>
    <w:rsid w:val="003B072E"/>
    <w:rsid w:val="003B3B32"/>
    <w:rsid w:val="003B590F"/>
    <w:rsid w:val="003B681E"/>
    <w:rsid w:val="003C069A"/>
    <w:rsid w:val="003C1411"/>
    <w:rsid w:val="003C2AA7"/>
    <w:rsid w:val="003C30BB"/>
    <w:rsid w:val="003C35CD"/>
    <w:rsid w:val="003C3649"/>
    <w:rsid w:val="003C5E08"/>
    <w:rsid w:val="003C7025"/>
    <w:rsid w:val="003D0CD3"/>
    <w:rsid w:val="003D0CE3"/>
    <w:rsid w:val="003D0F77"/>
    <w:rsid w:val="003D2D96"/>
    <w:rsid w:val="003D57AA"/>
    <w:rsid w:val="003D5BE8"/>
    <w:rsid w:val="003E10D8"/>
    <w:rsid w:val="003E17BD"/>
    <w:rsid w:val="003E23AA"/>
    <w:rsid w:val="003E2F9D"/>
    <w:rsid w:val="003E542C"/>
    <w:rsid w:val="003E684C"/>
    <w:rsid w:val="003F0EC5"/>
    <w:rsid w:val="003F1674"/>
    <w:rsid w:val="003F1C6A"/>
    <w:rsid w:val="003F5BAC"/>
    <w:rsid w:val="003F714F"/>
    <w:rsid w:val="003F7A0E"/>
    <w:rsid w:val="0040029D"/>
    <w:rsid w:val="00402222"/>
    <w:rsid w:val="0040252F"/>
    <w:rsid w:val="00402E73"/>
    <w:rsid w:val="00402EFA"/>
    <w:rsid w:val="00403AD1"/>
    <w:rsid w:val="00403E93"/>
    <w:rsid w:val="004046B8"/>
    <w:rsid w:val="00404C5B"/>
    <w:rsid w:val="00405414"/>
    <w:rsid w:val="004056FF"/>
    <w:rsid w:val="004071D7"/>
    <w:rsid w:val="004104E6"/>
    <w:rsid w:val="00410C27"/>
    <w:rsid w:val="00411E2E"/>
    <w:rsid w:val="00412E29"/>
    <w:rsid w:val="00415F4D"/>
    <w:rsid w:val="00416072"/>
    <w:rsid w:val="00416831"/>
    <w:rsid w:val="00417861"/>
    <w:rsid w:val="004206AF"/>
    <w:rsid w:val="00421408"/>
    <w:rsid w:val="00427695"/>
    <w:rsid w:val="004277C2"/>
    <w:rsid w:val="00431070"/>
    <w:rsid w:val="00433836"/>
    <w:rsid w:val="00435066"/>
    <w:rsid w:val="00435E75"/>
    <w:rsid w:val="004361F5"/>
    <w:rsid w:val="004405BA"/>
    <w:rsid w:val="00440BA8"/>
    <w:rsid w:val="00440FBF"/>
    <w:rsid w:val="0044364C"/>
    <w:rsid w:val="004442E0"/>
    <w:rsid w:val="00451BBA"/>
    <w:rsid w:val="00451DF9"/>
    <w:rsid w:val="004537C1"/>
    <w:rsid w:val="00455AC1"/>
    <w:rsid w:val="00456BE3"/>
    <w:rsid w:val="00462251"/>
    <w:rsid w:val="00463B24"/>
    <w:rsid w:val="00466C45"/>
    <w:rsid w:val="00472309"/>
    <w:rsid w:val="00472458"/>
    <w:rsid w:val="00472810"/>
    <w:rsid w:val="004730E8"/>
    <w:rsid w:val="00475BCE"/>
    <w:rsid w:val="00477240"/>
    <w:rsid w:val="00480EB4"/>
    <w:rsid w:val="004813C3"/>
    <w:rsid w:val="0048310A"/>
    <w:rsid w:val="004831DC"/>
    <w:rsid w:val="0048399C"/>
    <w:rsid w:val="00483EAB"/>
    <w:rsid w:val="004871B7"/>
    <w:rsid w:val="004873A3"/>
    <w:rsid w:val="004910A7"/>
    <w:rsid w:val="00491B6A"/>
    <w:rsid w:val="00492C1D"/>
    <w:rsid w:val="0049549C"/>
    <w:rsid w:val="004969A6"/>
    <w:rsid w:val="00497D5B"/>
    <w:rsid w:val="004A0738"/>
    <w:rsid w:val="004A270A"/>
    <w:rsid w:val="004A2810"/>
    <w:rsid w:val="004A2D08"/>
    <w:rsid w:val="004A7218"/>
    <w:rsid w:val="004B1ED5"/>
    <w:rsid w:val="004B2E2D"/>
    <w:rsid w:val="004B5812"/>
    <w:rsid w:val="004C2981"/>
    <w:rsid w:val="004C2E86"/>
    <w:rsid w:val="004C2E9F"/>
    <w:rsid w:val="004C475A"/>
    <w:rsid w:val="004C4B51"/>
    <w:rsid w:val="004C4FC3"/>
    <w:rsid w:val="004C6503"/>
    <w:rsid w:val="004C6E19"/>
    <w:rsid w:val="004C789E"/>
    <w:rsid w:val="004C7A70"/>
    <w:rsid w:val="004D0BBF"/>
    <w:rsid w:val="004D13E4"/>
    <w:rsid w:val="004D29E6"/>
    <w:rsid w:val="004D2F8F"/>
    <w:rsid w:val="004D394B"/>
    <w:rsid w:val="004D4C37"/>
    <w:rsid w:val="004D7A24"/>
    <w:rsid w:val="004E3598"/>
    <w:rsid w:val="004E3643"/>
    <w:rsid w:val="004E3717"/>
    <w:rsid w:val="004E5A44"/>
    <w:rsid w:val="004E72E2"/>
    <w:rsid w:val="004E7CA8"/>
    <w:rsid w:val="004F0128"/>
    <w:rsid w:val="004F0687"/>
    <w:rsid w:val="004F4673"/>
    <w:rsid w:val="004F56BE"/>
    <w:rsid w:val="00502418"/>
    <w:rsid w:val="00503F8A"/>
    <w:rsid w:val="005063BA"/>
    <w:rsid w:val="00507B81"/>
    <w:rsid w:val="0051063F"/>
    <w:rsid w:val="005116D2"/>
    <w:rsid w:val="00511E8F"/>
    <w:rsid w:val="0051523E"/>
    <w:rsid w:val="00524F39"/>
    <w:rsid w:val="00525B39"/>
    <w:rsid w:val="00525C21"/>
    <w:rsid w:val="0052764A"/>
    <w:rsid w:val="00532541"/>
    <w:rsid w:val="00533644"/>
    <w:rsid w:val="00540511"/>
    <w:rsid w:val="0054172D"/>
    <w:rsid w:val="0054395A"/>
    <w:rsid w:val="00543A5B"/>
    <w:rsid w:val="005463F1"/>
    <w:rsid w:val="005470B3"/>
    <w:rsid w:val="005473F8"/>
    <w:rsid w:val="00547A67"/>
    <w:rsid w:val="005500FA"/>
    <w:rsid w:val="005527F2"/>
    <w:rsid w:val="005529F2"/>
    <w:rsid w:val="00560A97"/>
    <w:rsid w:val="00561226"/>
    <w:rsid w:val="005622A1"/>
    <w:rsid w:val="0056492E"/>
    <w:rsid w:val="00564B23"/>
    <w:rsid w:val="00565646"/>
    <w:rsid w:val="00567151"/>
    <w:rsid w:val="00567A04"/>
    <w:rsid w:val="005716F8"/>
    <w:rsid w:val="005732B3"/>
    <w:rsid w:val="0057432E"/>
    <w:rsid w:val="00576425"/>
    <w:rsid w:val="0057767E"/>
    <w:rsid w:val="00581F44"/>
    <w:rsid w:val="00583BA7"/>
    <w:rsid w:val="0058438E"/>
    <w:rsid w:val="0058440F"/>
    <w:rsid w:val="00594A08"/>
    <w:rsid w:val="005A3FE1"/>
    <w:rsid w:val="005A487D"/>
    <w:rsid w:val="005A63AC"/>
    <w:rsid w:val="005A735C"/>
    <w:rsid w:val="005A7568"/>
    <w:rsid w:val="005B1A4A"/>
    <w:rsid w:val="005B32A0"/>
    <w:rsid w:val="005B4EA6"/>
    <w:rsid w:val="005C0836"/>
    <w:rsid w:val="005C0AAE"/>
    <w:rsid w:val="005C1979"/>
    <w:rsid w:val="005C3EDF"/>
    <w:rsid w:val="005C71EB"/>
    <w:rsid w:val="005C7F3F"/>
    <w:rsid w:val="005D2CCD"/>
    <w:rsid w:val="005D5A98"/>
    <w:rsid w:val="005D6754"/>
    <w:rsid w:val="005D6998"/>
    <w:rsid w:val="005E10A9"/>
    <w:rsid w:val="005E6B72"/>
    <w:rsid w:val="005E72E7"/>
    <w:rsid w:val="005F05AB"/>
    <w:rsid w:val="005F5960"/>
    <w:rsid w:val="005F615E"/>
    <w:rsid w:val="006007D7"/>
    <w:rsid w:val="0060158E"/>
    <w:rsid w:val="00601D5C"/>
    <w:rsid w:val="006034D9"/>
    <w:rsid w:val="00603A57"/>
    <w:rsid w:val="00605CFA"/>
    <w:rsid w:val="006060AC"/>
    <w:rsid w:val="00607690"/>
    <w:rsid w:val="0061022D"/>
    <w:rsid w:val="00611F04"/>
    <w:rsid w:val="0061284E"/>
    <w:rsid w:val="00614D58"/>
    <w:rsid w:val="00621390"/>
    <w:rsid w:val="00622F92"/>
    <w:rsid w:val="006232DE"/>
    <w:rsid w:val="00623D27"/>
    <w:rsid w:val="00624996"/>
    <w:rsid w:val="006249E8"/>
    <w:rsid w:val="006255C5"/>
    <w:rsid w:val="00626308"/>
    <w:rsid w:val="0062708A"/>
    <w:rsid w:val="00627B80"/>
    <w:rsid w:val="00631D6E"/>
    <w:rsid w:val="00632D49"/>
    <w:rsid w:val="00632D55"/>
    <w:rsid w:val="0063348A"/>
    <w:rsid w:val="00633861"/>
    <w:rsid w:val="00634478"/>
    <w:rsid w:val="00635B47"/>
    <w:rsid w:val="00635FF7"/>
    <w:rsid w:val="006400FC"/>
    <w:rsid w:val="0064044D"/>
    <w:rsid w:val="006405D0"/>
    <w:rsid w:val="00643FC5"/>
    <w:rsid w:val="00643FF6"/>
    <w:rsid w:val="00647723"/>
    <w:rsid w:val="00650EF6"/>
    <w:rsid w:val="00652E24"/>
    <w:rsid w:val="00653A51"/>
    <w:rsid w:val="0065610C"/>
    <w:rsid w:val="00662EDA"/>
    <w:rsid w:val="006635DB"/>
    <w:rsid w:val="0066369E"/>
    <w:rsid w:val="00665FB8"/>
    <w:rsid w:val="0066700D"/>
    <w:rsid w:val="00667FE9"/>
    <w:rsid w:val="00670534"/>
    <w:rsid w:val="0067394A"/>
    <w:rsid w:val="00675CB1"/>
    <w:rsid w:val="00677B67"/>
    <w:rsid w:val="00680542"/>
    <w:rsid w:val="00680691"/>
    <w:rsid w:val="00681FCE"/>
    <w:rsid w:val="006828E7"/>
    <w:rsid w:val="0068469F"/>
    <w:rsid w:val="00684A9C"/>
    <w:rsid w:val="00685EB5"/>
    <w:rsid w:val="00686696"/>
    <w:rsid w:val="00691890"/>
    <w:rsid w:val="006934E6"/>
    <w:rsid w:val="00693827"/>
    <w:rsid w:val="0069402A"/>
    <w:rsid w:val="00694395"/>
    <w:rsid w:val="006949A7"/>
    <w:rsid w:val="006969C7"/>
    <w:rsid w:val="0069728F"/>
    <w:rsid w:val="006A129D"/>
    <w:rsid w:val="006A1A73"/>
    <w:rsid w:val="006A3E06"/>
    <w:rsid w:val="006A48C7"/>
    <w:rsid w:val="006A5B76"/>
    <w:rsid w:val="006A68CC"/>
    <w:rsid w:val="006A69B1"/>
    <w:rsid w:val="006A7272"/>
    <w:rsid w:val="006B03A7"/>
    <w:rsid w:val="006B0578"/>
    <w:rsid w:val="006B0951"/>
    <w:rsid w:val="006B1768"/>
    <w:rsid w:val="006B7F67"/>
    <w:rsid w:val="006C0929"/>
    <w:rsid w:val="006C1469"/>
    <w:rsid w:val="006C4E63"/>
    <w:rsid w:val="006C55B3"/>
    <w:rsid w:val="006C5895"/>
    <w:rsid w:val="006C6194"/>
    <w:rsid w:val="006C62B8"/>
    <w:rsid w:val="006C78AC"/>
    <w:rsid w:val="006D0EED"/>
    <w:rsid w:val="006D1485"/>
    <w:rsid w:val="006D1C8F"/>
    <w:rsid w:val="006D23C2"/>
    <w:rsid w:val="006E1AC6"/>
    <w:rsid w:val="006E3DF1"/>
    <w:rsid w:val="006E3F30"/>
    <w:rsid w:val="006E463E"/>
    <w:rsid w:val="006F08E4"/>
    <w:rsid w:val="006F0AB7"/>
    <w:rsid w:val="006F1A6F"/>
    <w:rsid w:val="006F1A8D"/>
    <w:rsid w:val="006F2C52"/>
    <w:rsid w:val="006F3653"/>
    <w:rsid w:val="006F54E3"/>
    <w:rsid w:val="006F62C9"/>
    <w:rsid w:val="006F71DE"/>
    <w:rsid w:val="006F7738"/>
    <w:rsid w:val="00700AB6"/>
    <w:rsid w:val="00701F52"/>
    <w:rsid w:val="0070293A"/>
    <w:rsid w:val="0070348B"/>
    <w:rsid w:val="0070606F"/>
    <w:rsid w:val="00707120"/>
    <w:rsid w:val="00707960"/>
    <w:rsid w:val="00713784"/>
    <w:rsid w:val="00715D46"/>
    <w:rsid w:val="00721A69"/>
    <w:rsid w:val="00723951"/>
    <w:rsid w:val="00723D8B"/>
    <w:rsid w:val="007249EF"/>
    <w:rsid w:val="00724E0D"/>
    <w:rsid w:val="00725480"/>
    <w:rsid w:val="0072792F"/>
    <w:rsid w:val="007310C8"/>
    <w:rsid w:val="007337B2"/>
    <w:rsid w:val="00735723"/>
    <w:rsid w:val="007357E8"/>
    <w:rsid w:val="00741440"/>
    <w:rsid w:val="007416DD"/>
    <w:rsid w:val="00741D11"/>
    <w:rsid w:val="007422FF"/>
    <w:rsid w:val="00742D71"/>
    <w:rsid w:val="00743833"/>
    <w:rsid w:val="0074464B"/>
    <w:rsid w:val="00744EF7"/>
    <w:rsid w:val="00745113"/>
    <w:rsid w:val="00752406"/>
    <w:rsid w:val="007546A7"/>
    <w:rsid w:val="00754C03"/>
    <w:rsid w:val="00757A31"/>
    <w:rsid w:val="0076159B"/>
    <w:rsid w:val="00762C74"/>
    <w:rsid w:val="00763EF2"/>
    <w:rsid w:val="00764AA6"/>
    <w:rsid w:val="00765F7E"/>
    <w:rsid w:val="00775D17"/>
    <w:rsid w:val="00775F75"/>
    <w:rsid w:val="0077652F"/>
    <w:rsid w:val="0077714D"/>
    <w:rsid w:val="00780F09"/>
    <w:rsid w:val="00785829"/>
    <w:rsid w:val="00785D80"/>
    <w:rsid w:val="00786C14"/>
    <w:rsid w:val="00787E7C"/>
    <w:rsid w:val="007914B7"/>
    <w:rsid w:val="00791B61"/>
    <w:rsid w:val="00793870"/>
    <w:rsid w:val="00793ED5"/>
    <w:rsid w:val="00796F01"/>
    <w:rsid w:val="0079762A"/>
    <w:rsid w:val="007A0E15"/>
    <w:rsid w:val="007A1C12"/>
    <w:rsid w:val="007A3348"/>
    <w:rsid w:val="007A43F4"/>
    <w:rsid w:val="007A452B"/>
    <w:rsid w:val="007A5BFA"/>
    <w:rsid w:val="007A6392"/>
    <w:rsid w:val="007A7170"/>
    <w:rsid w:val="007A7E56"/>
    <w:rsid w:val="007B121A"/>
    <w:rsid w:val="007B1BF9"/>
    <w:rsid w:val="007B2C7D"/>
    <w:rsid w:val="007B3C15"/>
    <w:rsid w:val="007B7DB9"/>
    <w:rsid w:val="007C2234"/>
    <w:rsid w:val="007C547F"/>
    <w:rsid w:val="007C7ADF"/>
    <w:rsid w:val="007D14C1"/>
    <w:rsid w:val="007D1B8F"/>
    <w:rsid w:val="007D30CC"/>
    <w:rsid w:val="007D3699"/>
    <w:rsid w:val="007D4DC6"/>
    <w:rsid w:val="007E011C"/>
    <w:rsid w:val="007E05B9"/>
    <w:rsid w:val="007E1536"/>
    <w:rsid w:val="007E1E31"/>
    <w:rsid w:val="007E59BE"/>
    <w:rsid w:val="007E6231"/>
    <w:rsid w:val="007E6390"/>
    <w:rsid w:val="007E646F"/>
    <w:rsid w:val="007F222C"/>
    <w:rsid w:val="007F33D4"/>
    <w:rsid w:val="007F5C75"/>
    <w:rsid w:val="007F638F"/>
    <w:rsid w:val="008003A1"/>
    <w:rsid w:val="008078E2"/>
    <w:rsid w:val="0081131A"/>
    <w:rsid w:val="0081366F"/>
    <w:rsid w:val="008167F6"/>
    <w:rsid w:val="00820067"/>
    <w:rsid w:val="008239DD"/>
    <w:rsid w:val="00823D6E"/>
    <w:rsid w:val="00824C96"/>
    <w:rsid w:val="00824E49"/>
    <w:rsid w:val="00825209"/>
    <w:rsid w:val="008272E3"/>
    <w:rsid w:val="00827652"/>
    <w:rsid w:val="00827719"/>
    <w:rsid w:val="00827927"/>
    <w:rsid w:val="0083033B"/>
    <w:rsid w:val="00831B2E"/>
    <w:rsid w:val="00832534"/>
    <w:rsid w:val="00833074"/>
    <w:rsid w:val="0083514F"/>
    <w:rsid w:val="008369A9"/>
    <w:rsid w:val="00836F96"/>
    <w:rsid w:val="008403C0"/>
    <w:rsid w:val="00841D21"/>
    <w:rsid w:val="008457B2"/>
    <w:rsid w:val="00847C30"/>
    <w:rsid w:val="008502AC"/>
    <w:rsid w:val="00851658"/>
    <w:rsid w:val="00854F42"/>
    <w:rsid w:val="00861D32"/>
    <w:rsid w:val="00862B27"/>
    <w:rsid w:val="00863C99"/>
    <w:rsid w:val="00863DF9"/>
    <w:rsid w:val="00865D01"/>
    <w:rsid w:val="008660DE"/>
    <w:rsid w:val="00866B6C"/>
    <w:rsid w:val="008702CF"/>
    <w:rsid w:val="0087616C"/>
    <w:rsid w:val="00876A7F"/>
    <w:rsid w:val="00880C97"/>
    <w:rsid w:val="008818F1"/>
    <w:rsid w:val="00882238"/>
    <w:rsid w:val="00882C17"/>
    <w:rsid w:val="008830A8"/>
    <w:rsid w:val="008838FD"/>
    <w:rsid w:val="00883A4D"/>
    <w:rsid w:val="00885F6F"/>
    <w:rsid w:val="00886CC5"/>
    <w:rsid w:val="00890E76"/>
    <w:rsid w:val="00891F6A"/>
    <w:rsid w:val="00892415"/>
    <w:rsid w:val="00895108"/>
    <w:rsid w:val="00895D44"/>
    <w:rsid w:val="00896B0F"/>
    <w:rsid w:val="008970CC"/>
    <w:rsid w:val="0089711E"/>
    <w:rsid w:val="008A03E6"/>
    <w:rsid w:val="008A087D"/>
    <w:rsid w:val="008A0EC5"/>
    <w:rsid w:val="008A16C1"/>
    <w:rsid w:val="008A2864"/>
    <w:rsid w:val="008A468F"/>
    <w:rsid w:val="008A55A0"/>
    <w:rsid w:val="008A7411"/>
    <w:rsid w:val="008B046E"/>
    <w:rsid w:val="008B1884"/>
    <w:rsid w:val="008B20FA"/>
    <w:rsid w:val="008B502B"/>
    <w:rsid w:val="008B7977"/>
    <w:rsid w:val="008C066B"/>
    <w:rsid w:val="008C4072"/>
    <w:rsid w:val="008C46A5"/>
    <w:rsid w:val="008C4DE5"/>
    <w:rsid w:val="008C53C4"/>
    <w:rsid w:val="008C60C3"/>
    <w:rsid w:val="008C6C49"/>
    <w:rsid w:val="008D1D44"/>
    <w:rsid w:val="008D2596"/>
    <w:rsid w:val="008D37C6"/>
    <w:rsid w:val="008D55EC"/>
    <w:rsid w:val="008D5A08"/>
    <w:rsid w:val="008E006F"/>
    <w:rsid w:val="008E139F"/>
    <w:rsid w:val="008E4ACC"/>
    <w:rsid w:val="008E5BBC"/>
    <w:rsid w:val="008F0147"/>
    <w:rsid w:val="008F0EA4"/>
    <w:rsid w:val="008F0EDC"/>
    <w:rsid w:val="008F75B4"/>
    <w:rsid w:val="008F760A"/>
    <w:rsid w:val="009033F7"/>
    <w:rsid w:val="009040A5"/>
    <w:rsid w:val="009051B3"/>
    <w:rsid w:val="009067F3"/>
    <w:rsid w:val="009113AF"/>
    <w:rsid w:val="009146D8"/>
    <w:rsid w:val="00915A13"/>
    <w:rsid w:val="00916546"/>
    <w:rsid w:val="009178B1"/>
    <w:rsid w:val="00917C43"/>
    <w:rsid w:val="00920181"/>
    <w:rsid w:val="009212E7"/>
    <w:rsid w:val="009241D8"/>
    <w:rsid w:val="009245B9"/>
    <w:rsid w:val="00925A5E"/>
    <w:rsid w:val="00925F8E"/>
    <w:rsid w:val="0092681C"/>
    <w:rsid w:val="00926A9C"/>
    <w:rsid w:val="00930D96"/>
    <w:rsid w:val="00930DE1"/>
    <w:rsid w:val="009312F9"/>
    <w:rsid w:val="00931503"/>
    <w:rsid w:val="00932109"/>
    <w:rsid w:val="0093309E"/>
    <w:rsid w:val="00933C68"/>
    <w:rsid w:val="009353F9"/>
    <w:rsid w:val="00936076"/>
    <w:rsid w:val="00940D2C"/>
    <w:rsid w:val="00941C21"/>
    <w:rsid w:val="00947CF2"/>
    <w:rsid w:val="00947FDF"/>
    <w:rsid w:val="009501D7"/>
    <w:rsid w:val="00951888"/>
    <w:rsid w:val="00956CCA"/>
    <w:rsid w:val="00962C4C"/>
    <w:rsid w:val="00964557"/>
    <w:rsid w:val="00965E32"/>
    <w:rsid w:val="00966CE3"/>
    <w:rsid w:val="00966FF1"/>
    <w:rsid w:val="00970000"/>
    <w:rsid w:val="00970ECE"/>
    <w:rsid w:val="00972A8C"/>
    <w:rsid w:val="009737DD"/>
    <w:rsid w:val="00974C6C"/>
    <w:rsid w:val="00976FE4"/>
    <w:rsid w:val="009772CE"/>
    <w:rsid w:val="00980AEC"/>
    <w:rsid w:val="00981959"/>
    <w:rsid w:val="00992676"/>
    <w:rsid w:val="00993229"/>
    <w:rsid w:val="009937CB"/>
    <w:rsid w:val="0099798E"/>
    <w:rsid w:val="009A0588"/>
    <w:rsid w:val="009A215F"/>
    <w:rsid w:val="009A2D7F"/>
    <w:rsid w:val="009A515F"/>
    <w:rsid w:val="009A5838"/>
    <w:rsid w:val="009A5C3D"/>
    <w:rsid w:val="009A611E"/>
    <w:rsid w:val="009A6FC1"/>
    <w:rsid w:val="009A73D4"/>
    <w:rsid w:val="009A7B70"/>
    <w:rsid w:val="009B1551"/>
    <w:rsid w:val="009B40B9"/>
    <w:rsid w:val="009B6707"/>
    <w:rsid w:val="009C2F12"/>
    <w:rsid w:val="009C7ADC"/>
    <w:rsid w:val="009D31E1"/>
    <w:rsid w:val="009D69B2"/>
    <w:rsid w:val="009D715A"/>
    <w:rsid w:val="009D796A"/>
    <w:rsid w:val="009E1A2F"/>
    <w:rsid w:val="009E1B4D"/>
    <w:rsid w:val="009E1FFA"/>
    <w:rsid w:val="009E3538"/>
    <w:rsid w:val="009E6FB4"/>
    <w:rsid w:val="009E766D"/>
    <w:rsid w:val="009E7D55"/>
    <w:rsid w:val="009F0C56"/>
    <w:rsid w:val="009F29F9"/>
    <w:rsid w:val="009F2B93"/>
    <w:rsid w:val="009F4770"/>
    <w:rsid w:val="009F4DAE"/>
    <w:rsid w:val="009F75FB"/>
    <w:rsid w:val="009F7DDC"/>
    <w:rsid w:val="009F7EDB"/>
    <w:rsid w:val="00A00D51"/>
    <w:rsid w:val="00A00E60"/>
    <w:rsid w:val="00A01306"/>
    <w:rsid w:val="00A02437"/>
    <w:rsid w:val="00A0339F"/>
    <w:rsid w:val="00A0466E"/>
    <w:rsid w:val="00A049B7"/>
    <w:rsid w:val="00A05A82"/>
    <w:rsid w:val="00A05CFD"/>
    <w:rsid w:val="00A07306"/>
    <w:rsid w:val="00A125BD"/>
    <w:rsid w:val="00A135BE"/>
    <w:rsid w:val="00A14AAC"/>
    <w:rsid w:val="00A150C4"/>
    <w:rsid w:val="00A15294"/>
    <w:rsid w:val="00A1543A"/>
    <w:rsid w:val="00A1665C"/>
    <w:rsid w:val="00A2396C"/>
    <w:rsid w:val="00A25564"/>
    <w:rsid w:val="00A25B2D"/>
    <w:rsid w:val="00A31587"/>
    <w:rsid w:val="00A33764"/>
    <w:rsid w:val="00A337B1"/>
    <w:rsid w:val="00A33DCD"/>
    <w:rsid w:val="00A36A94"/>
    <w:rsid w:val="00A3727D"/>
    <w:rsid w:val="00A3740F"/>
    <w:rsid w:val="00A40026"/>
    <w:rsid w:val="00A42D19"/>
    <w:rsid w:val="00A435D7"/>
    <w:rsid w:val="00A4417B"/>
    <w:rsid w:val="00A453B7"/>
    <w:rsid w:val="00A455AA"/>
    <w:rsid w:val="00A479CA"/>
    <w:rsid w:val="00A47F7B"/>
    <w:rsid w:val="00A5216F"/>
    <w:rsid w:val="00A5376E"/>
    <w:rsid w:val="00A53FA8"/>
    <w:rsid w:val="00A54A17"/>
    <w:rsid w:val="00A551CE"/>
    <w:rsid w:val="00A55345"/>
    <w:rsid w:val="00A55631"/>
    <w:rsid w:val="00A571FC"/>
    <w:rsid w:val="00A573EA"/>
    <w:rsid w:val="00A64B02"/>
    <w:rsid w:val="00A65218"/>
    <w:rsid w:val="00A6547D"/>
    <w:rsid w:val="00A70408"/>
    <w:rsid w:val="00A716CC"/>
    <w:rsid w:val="00A76E92"/>
    <w:rsid w:val="00A779E2"/>
    <w:rsid w:val="00A80F07"/>
    <w:rsid w:val="00A80F8A"/>
    <w:rsid w:val="00A811C3"/>
    <w:rsid w:val="00A82D44"/>
    <w:rsid w:val="00A830E7"/>
    <w:rsid w:val="00A83D88"/>
    <w:rsid w:val="00A85F09"/>
    <w:rsid w:val="00A86259"/>
    <w:rsid w:val="00A905BD"/>
    <w:rsid w:val="00A91852"/>
    <w:rsid w:val="00A924E7"/>
    <w:rsid w:val="00A95AAA"/>
    <w:rsid w:val="00A96CFF"/>
    <w:rsid w:val="00A974F5"/>
    <w:rsid w:val="00A974F7"/>
    <w:rsid w:val="00AA06A6"/>
    <w:rsid w:val="00AA0A9A"/>
    <w:rsid w:val="00AA2747"/>
    <w:rsid w:val="00AA35C5"/>
    <w:rsid w:val="00AA3E92"/>
    <w:rsid w:val="00AA5C46"/>
    <w:rsid w:val="00AA61A9"/>
    <w:rsid w:val="00AA69A8"/>
    <w:rsid w:val="00AB09DF"/>
    <w:rsid w:val="00AB261C"/>
    <w:rsid w:val="00AB2A2D"/>
    <w:rsid w:val="00AB3608"/>
    <w:rsid w:val="00AB3B6D"/>
    <w:rsid w:val="00AB4417"/>
    <w:rsid w:val="00AB5B9B"/>
    <w:rsid w:val="00AB5FCF"/>
    <w:rsid w:val="00AC1C12"/>
    <w:rsid w:val="00AC3492"/>
    <w:rsid w:val="00AC3DB9"/>
    <w:rsid w:val="00AC4BB0"/>
    <w:rsid w:val="00AC6D6B"/>
    <w:rsid w:val="00AD252F"/>
    <w:rsid w:val="00AD2B1E"/>
    <w:rsid w:val="00AD3FE5"/>
    <w:rsid w:val="00AD491E"/>
    <w:rsid w:val="00AD6808"/>
    <w:rsid w:val="00AE011F"/>
    <w:rsid w:val="00AE1750"/>
    <w:rsid w:val="00AE190C"/>
    <w:rsid w:val="00AE289C"/>
    <w:rsid w:val="00AE2CBF"/>
    <w:rsid w:val="00AE2F95"/>
    <w:rsid w:val="00AE47CE"/>
    <w:rsid w:val="00AE55DB"/>
    <w:rsid w:val="00AE619B"/>
    <w:rsid w:val="00AE7C24"/>
    <w:rsid w:val="00AF0005"/>
    <w:rsid w:val="00AF0371"/>
    <w:rsid w:val="00AF0A27"/>
    <w:rsid w:val="00AF1A55"/>
    <w:rsid w:val="00AF361A"/>
    <w:rsid w:val="00AF3831"/>
    <w:rsid w:val="00AF43FC"/>
    <w:rsid w:val="00AF68FA"/>
    <w:rsid w:val="00B00CAA"/>
    <w:rsid w:val="00B02606"/>
    <w:rsid w:val="00B0261A"/>
    <w:rsid w:val="00B02B13"/>
    <w:rsid w:val="00B05C55"/>
    <w:rsid w:val="00B05F8C"/>
    <w:rsid w:val="00B1199A"/>
    <w:rsid w:val="00B121D0"/>
    <w:rsid w:val="00B12A84"/>
    <w:rsid w:val="00B14875"/>
    <w:rsid w:val="00B14D5F"/>
    <w:rsid w:val="00B20550"/>
    <w:rsid w:val="00B21931"/>
    <w:rsid w:val="00B2268E"/>
    <w:rsid w:val="00B22B6B"/>
    <w:rsid w:val="00B22B9C"/>
    <w:rsid w:val="00B24A05"/>
    <w:rsid w:val="00B25373"/>
    <w:rsid w:val="00B26A19"/>
    <w:rsid w:val="00B27C07"/>
    <w:rsid w:val="00B27DB5"/>
    <w:rsid w:val="00B30BE1"/>
    <w:rsid w:val="00B31062"/>
    <w:rsid w:val="00B3148C"/>
    <w:rsid w:val="00B3269F"/>
    <w:rsid w:val="00B33069"/>
    <w:rsid w:val="00B33A10"/>
    <w:rsid w:val="00B3497D"/>
    <w:rsid w:val="00B35744"/>
    <w:rsid w:val="00B3595A"/>
    <w:rsid w:val="00B4455B"/>
    <w:rsid w:val="00B44C78"/>
    <w:rsid w:val="00B455F8"/>
    <w:rsid w:val="00B460AC"/>
    <w:rsid w:val="00B47EB0"/>
    <w:rsid w:val="00B50856"/>
    <w:rsid w:val="00B508BB"/>
    <w:rsid w:val="00B50C4D"/>
    <w:rsid w:val="00B51003"/>
    <w:rsid w:val="00B52776"/>
    <w:rsid w:val="00B52A11"/>
    <w:rsid w:val="00B54387"/>
    <w:rsid w:val="00B5508A"/>
    <w:rsid w:val="00B55135"/>
    <w:rsid w:val="00B56112"/>
    <w:rsid w:val="00B604A6"/>
    <w:rsid w:val="00B624C2"/>
    <w:rsid w:val="00B635EE"/>
    <w:rsid w:val="00B6457A"/>
    <w:rsid w:val="00B66575"/>
    <w:rsid w:val="00B6661C"/>
    <w:rsid w:val="00B6665B"/>
    <w:rsid w:val="00B7006B"/>
    <w:rsid w:val="00B7362E"/>
    <w:rsid w:val="00B75B25"/>
    <w:rsid w:val="00B75F2E"/>
    <w:rsid w:val="00B801FC"/>
    <w:rsid w:val="00B80A56"/>
    <w:rsid w:val="00B8215C"/>
    <w:rsid w:val="00B84B19"/>
    <w:rsid w:val="00B85F50"/>
    <w:rsid w:val="00B866B3"/>
    <w:rsid w:val="00B86BD4"/>
    <w:rsid w:val="00B91021"/>
    <w:rsid w:val="00B91301"/>
    <w:rsid w:val="00B9152E"/>
    <w:rsid w:val="00B925BF"/>
    <w:rsid w:val="00B948CB"/>
    <w:rsid w:val="00B95867"/>
    <w:rsid w:val="00B97CA6"/>
    <w:rsid w:val="00BA1F3E"/>
    <w:rsid w:val="00BA20BA"/>
    <w:rsid w:val="00BA3051"/>
    <w:rsid w:val="00BA57AC"/>
    <w:rsid w:val="00BA793B"/>
    <w:rsid w:val="00BB23EE"/>
    <w:rsid w:val="00BB3489"/>
    <w:rsid w:val="00BB3FE1"/>
    <w:rsid w:val="00BB4E67"/>
    <w:rsid w:val="00BB5C39"/>
    <w:rsid w:val="00BB7321"/>
    <w:rsid w:val="00BC03C5"/>
    <w:rsid w:val="00BC0493"/>
    <w:rsid w:val="00BC069D"/>
    <w:rsid w:val="00BC4163"/>
    <w:rsid w:val="00BC4911"/>
    <w:rsid w:val="00BC58F5"/>
    <w:rsid w:val="00BC5C51"/>
    <w:rsid w:val="00BC5FF7"/>
    <w:rsid w:val="00BC65A1"/>
    <w:rsid w:val="00BD0B88"/>
    <w:rsid w:val="00BD16C3"/>
    <w:rsid w:val="00BD262B"/>
    <w:rsid w:val="00BD3179"/>
    <w:rsid w:val="00BD50F4"/>
    <w:rsid w:val="00BD571E"/>
    <w:rsid w:val="00BD6BC2"/>
    <w:rsid w:val="00BD741B"/>
    <w:rsid w:val="00BE0D88"/>
    <w:rsid w:val="00BE172A"/>
    <w:rsid w:val="00BE2949"/>
    <w:rsid w:val="00BE4836"/>
    <w:rsid w:val="00BE4DEA"/>
    <w:rsid w:val="00BE54B3"/>
    <w:rsid w:val="00BE7DC7"/>
    <w:rsid w:val="00BF00BC"/>
    <w:rsid w:val="00BF4CC3"/>
    <w:rsid w:val="00BF6588"/>
    <w:rsid w:val="00BF69E3"/>
    <w:rsid w:val="00BF6F14"/>
    <w:rsid w:val="00BF73F6"/>
    <w:rsid w:val="00BF777E"/>
    <w:rsid w:val="00BF79AF"/>
    <w:rsid w:val="00BF7A27"/>
    <w:rsid w:val="00BF7C78"/>
    <w:rsid w:val="00C0077C"/>
    <w:rsid w:val="00C011B9"/>
    <w:rsid w:val="00C01E56"/>
    <w:rsid w:val="00C023BD"/>
    <w:rsid w:val="00C03BC7"/>
    <w:rsid w:val="00C03F02"/>
    <w:rsid w:val="00C11A9B"/>
    <w:rsid w:val="00C1225C"/>
    <w:rsid w:val="00C13349"/>
    <w:rsid w:val="00C13995"/>
    <w:rsid w:val="00C14415"/>
    <w:rsid w:val="00C15B21"/>
    <w:rsid w:val="00C1666A"/>
    <w:rsid w:val="00C21050"/>
    <w:rsid w:val="00C214A1"/>
    <w:rsid w:val="00C21A2D"/>
    <w:rsid w:val="00C21F45"/>
    <w:rsid w:val="00C23437"/>
    <w:rsid w:val="00C251FB"/>
    <w:rsid w:val="00C2520E"/>
    <w:rsid w:val="00C257C1"/>
    <w:rsid w:val="00C321E7"/>
    <w:rsid w:val="00C33879"/>
    <w:rsid w:val="00C35CC7"/>
    <w:rsid w:val="00C35D61"/>
    <w:rsid w:val="00C35FDD"/>
    <w:rsid w:val="00C36B92"/>
    <w:rsid w:val="00C400CA"/>
    <w:rsid w:val="00C44209"/>
    <w:rsid w:val="00C44813"/>
    <w:rsid w:val="00C513D2"/>
    <w:rsid w:val="00C54085"/>
    <w:rsid w:val="00C546BA"/>
    <w:rsid w:val="00C644D5"/>
    <w:rsid w:val="00C651ED"/>
    <w:rsid w:val="00C70B3C"/>
    <w:rsid w:val="00C70CCE"/>
    <w:rsid w:val="00C7525D"/>
    <w:rsid w:val="00C77ACF"/>
    <w:rsid w:val="00C80DDE"/>
    <w:rsid w:val="00C80F05"/>
    <w:rsid w:val="00C819E0"/>
    <w:rsid w:val="00C84675"/>
    <w:rsid w:val="00C868CE"/>
    <w:rsid w:val="00C869CA"/>
    <w:rsid w:val="00C86B6D"/>
    <w:rsid w:val="00C8788A"/>
    <w:rsid w:val="00C9087A"/>
    <w:rsid w:val="00C93A08"/>
    <w:rsid w:val="00C93A3F"/>
    <w:rsid w:val="00C940B5"/>
    <w:rsid w:val="00C96675"/>
    <w:rsid w:val="00C9673B"/>
    <w:rsid w:val="00CA12D8"/>
    <w:rsid w:val="00CA1503"/>
    <w:rsid w:val="00CA20BC"/>
    <w:rsid w:val="00CA421E"/>
    <w:rsid w:val="00CA4BD5"/>
    <w:rsid w:val="00CA5A12"/>
    <w:rsid w:val="00CA686B"/>
    <w:rsid w:val="00CA6CF3"/>
    <w:rsid w:val="00CA7CBF"/>
    <w:rsid w:val="00CB17F3"/>
    <w:rsid w:val="00CB27F8"/>
    <w:rsid w:val="00CB5C14"/>
    <w:rsid w:val="00CC0E59"/>
    <w:rsid w:val="00CC44A6"/>
    <w:rsid w:val="00CC7881"/>
    <w:rsid w:val="00CC7C6F"/>
    <w:rsid w:val="00CD1D00"/>
    <w:rsid w:val="00CD2B2A"/>
    <w:rsid w:val="00CD47CC"/>
    <w:rsid w:val="00CE1EF0"/>
    <w:rsid w:val="00CE46E7"/>
    <w:rsid w:val="00CE5F00"/>
    <w:rsid w:val="00CE732E"/>
    <w:rsid w:val="00CF1508"/>
    <w:rsid w:val="00CF330B"/>
    <w:rsid w:val="00CF4B94"/>
    <w:rsid w:val="00D00E05"/>
    <w:rsid w:val="00D0166D"/>
    <w:rsid w:val="00D03546"/>
    <w:rsid w:val="00D044AA"/>
    <w:rsid w:val="00D0633F"/>
    <w:rsid w:val="00D11636"/>
    <w:rsid w:val="00D12896"/>
    <w:rsid w:val="00D148CA"/>
    <w:rsid w:val="00D16AB5"/>
    <w:rsid w:val="00D212FA"/>
    <w:rsid w:val="00D21BF9"/>
    <w:rsid w:val="00D221BF"/>
    <w:rsid w:val="00D226A8"/>
    <w:rsid w:val="00D231F6"/>
    <w:rsid w:val="00D2464D"/>
    <w:rsid w:val="00D254DA"/>
    <w:rsid w:val="00D25CB0"/>
    <w:rsid w:val="00D2617F"/>
    <w:rsid w:val="00D26B1B"/>
    <w:rsid w:val="00D2736A"/>
    <w:rsid w:val="00D27E05"/>
    <w:rsid w:val="00D30E8E"/>
    <w:rsid w:val="00D3291F"/>
    <w:rsid w:val="00D32FAB"/>
    <w:rsid w:val="00D33659"/>
    <w:rsid w:val="00D33FA4"/>
    <w:rsid w:val="00D3424C"/>
    <w:rsid w:val="00D34E34"/>
    <w:rsid w:val="00D37446"/>
    <w:rsid w:val="00D407C3"/>
    <w:rsid w:val="00D40E95"/>
    <w:rsid w:val="00D4147F"/>
    <w:rsid w:val="00D42574"/>
    <w:rsid w:val="00D42AE1"/>
    <w:rsid w:val="00D43F89"/>
    <w:rsid w:val="00D44CA6"/>
    <w:rsid w:val="00D53948"/>
    <w:rsid w:val="00D609A3"/>
    <w:rsid w:val="00D60E9D"/>
    <w:rsid w:val="00D6438E"/>
    <w:rsid w:val="00D644BE"/>
    <w:rsid w:val="00D64A39"/>
    <w:rsid w:val="00D65093"/>
    <w:rsid w:val="00D67807"/>
    <w:rsid w:val="00D67CF4"/>
    <w:rsid w:val="00D7145E"/>
    <w:rsid w:val="00D71937"/>
    <w:rsid w:val="00D726D5"/>
    <w:rsid w:val="00D73188"/>
    <w:rsid w:val="00D73D2E"/>
    <w:rsid w:val="00D7449D"/>
    <w:rsid w:val="00D75663"/>
    <w:rsid w:val="00D82CAF"/>
    <w:rsid w:val="00D8378F"/>
    <w:rsid w:val="00D8504E"/>
    <w:rsid w:val="00D86984"/>
    <w:rsid w:val="00D873C8"/>
    <w:rsid w:val="00D876BD"/>
    <w:rsid w:val="00D9046E"/>
    <w:rsid w:val="00D915E0"/>
    <w:rsid w:val="00D91842"/>
    <w:rsid w:val="00D9199A"/>
    <w:rsid w:val="00D919FD"/>
    <w:rsid w:val="00D94274"/>
    <w:rsid w:val="00D97031"/>
    <w:rsid w:val="00D97651"/>
    <w:rsid w:val="00D97681"/>
    <w:rsid w:val="00DA5A62"/>
    <w:rsid w:val="00DA7D3B"/>
    <w:rsid w:val="00DB0353"/>
    <w:rsid w:val="00DB450F"/>
    <w:rsid w:val="00DB5DD6"/>
    <w:rsid w:val="00DB6F09"/>
    <w:rsid w:val="00DB7AB4"/>
    <w:rsid w:val="00DC0DA4"/>
    <w:rsid w:val="00DC25EA"/>
    <w:rsid w:val="00DD1B21"/>
    <w:rsid w:val="00DD3696"/>
    <w:rsid w:val="00DD3BC4"/>
    <w:rsid w:val="00DD4A64"/>
    <w:rsid w:val="00DD544E"/>
    <w:rsid w:val="00DD5717"/>
    <w:rsid w:val="00DD6B34"/>
    <w:rsid w:val="00DE0521"/>
    <w:rsid w:val="00DE1351"/>
    <w:rsid w:val="00DE2098"/>
    <w:rsid w:val="00DE33EA"/>
    <w:rsid w:val="00DE43D1"/>
    <w:rsid w:val="00DE5C1A"/>
    <w:rsid w:val="00DE5F0E"/>
    <w:rsid w:val="00DE7113"/>
    <w:rsid w:val="00DF1522"/>
    <w:rsid w:val="00DF30B2"/>
    <w:rsid w:val="00DF5F58"/>
    <w:rsid w:val="00DF602C"/>
    <w:rsid w:val="00DF7524"/>
    <w:rsid w:val="00E01BB1"/>
    <w:rsid w:val="00E05D2A"/>
    <w:rsid w:val="00E06374"/>
    <w:rsid w:val="00E06AD7"/>
    <w:rsid w:val="00E07C52"/>
    <w:rsid w:val="00E07F99"/>
    <w:rsid w:val="00E11DC3"/>
    <w:rsid w:val="00E11EFF"/>
    <w:rsid w:val="00E14BEB"/>
    <w:rsid w:val="00E15079"/>
    <w:rsid w:val="00E15750"/>
    <w:rsid w:val="00E16432"/>
    <w:rsid w:val="00E178D7"/>
    <w:rsid w:val="00E17B1D"/>
    <w:rsid w:val="00E235FB"/>
    <w:rsid w:val="00E241A0"/>
    <w:rsid w:val="00E260F6"/>
    <w:rsid w:val="00E2648D"/>
    <w:rsid w:val="00E27C08"/>
    <w:rsid w:val="00E3187E"/>
    <w:rsid w:val="00E31DBA"/>
    <w:rsid w:val="00E327B0"/>
    <w:rsid w:val="00E33E18"/>
    <w:rsid w:val="00E35BC2"/>
    <w:rsid w:val="00E3748A"/>
    <w:rsid w:val="00E43281"/>
    <w:rsid w:val="00E43E17"/>
    <w:rsid w:val="00E442DB"/>
    <w:rsid w:val="00E44A01"/>
    <w:rsid w:val="00E46CA9"/>
    <w:rsid w:val="00E4773C"/>
    <w:rsid w:val="00E534A9"/>
    <w:rsid w:val="00E53730"/>
    <w:rsid w:val="00E539B3"/>
    <w:rsid w:val="00E56051"/>
    <w:rsid w:val="00E56462"/>
    <w:rsid w:val="00E60829"/>
    <w:rsid w:val="00E612D4"/>
    <w:rsid w:val="00E61F7C"/>
    <w:rsid w:val="00E62556"/>
    <w:rsid w:val="00E63EF4"/>
    <w:rsid w:val="00E647B1"/>
    <w:rsid w:val="00E80A7E"/>
    <w:rsid w:val="00E85460"/>
    <w:rsid w:val="00E85E90"/>
    <w:rsid w:val="00E86ACA"/>
    <w:rsid w:val="00E91455"/>
    <w:rsid w:val="00E92107"/>
    <w:rsid w:val="00E92A99"/>
    <w:rsid w:val="00E92AB5"/>
    <w:rsid w:val="00E94118"/>
    <w:rsid w:val="00E94F75"/>
    <w:rsid w:val="00E9566A"/>
    <w:rsid w:val="00EA218D"/>
    <w:rsid w:val="00EA25A3"/>
    <w:rsid w:val="00EA4275"/>
    <w:rsid w:val="00EB0585"/>
    <w:rsid w:val="00EB6585"/>
    <w:rsid w:val="00EB7435"/>
    <w:rsid w:val="00EB7A92"/>
    <w:rsid w:val="00EC3247"/>
    <w:rsid w:val="00EC4B3C"/>
    <w:rsid w:val="00EC5D0E"/>
    <w:rsid w:val="00EC5E0A"/>
    <w:rsid w:val="00EC650E"/>
    <w:rsid w:val="00ED6756"/>
    <w:rsid w:val="00ED6E7E"/>
    <w:rsid w:val="00EE004E"/>
    <w:rsid w:val="00EE01C2"/>
    <w:rsid w:val="00EE17F6"/>
    <w:rsid w:val="00EE2B6D"/>
    <w:rsid w:val="00EE632F"/>
    <w:rsid w:val="00F00B96"/>
    <w:rsid w:val="00F0184A"/>
    <w:rsid w:val="00F01A9D"/>
    <w:rsid w:val="00F01D24"/>
    <w:rsid w:val="00F023EB"/>
    <w:rsid w:val="00F02798"/>
    <w:rsid w:val="00F03313"/>
    <w:rsid w:val="00F036BA"/>
    <w:rsid w:val="00F03B4E"/>
    <w:rsid w:val="00F0419F"/>
    <w:rsid w:val="00F04550"/>
    <w:rsid w:val="00F073B0"/>
    <w:rsid w:val="00F077A1"/>
    <w:rsid w:val="00F123A0"/>
    <w:rsid w:val="00F12E4A"/>
    <w:rsid w:val="00F13197"/>
    <w:rsid w:val="00F14E59"/>
    <w:rsid w:val="00F16676"/>
    <w:rsid w:val="00F16E3E"/>
    <w:rsid w:val="00F173DC"/>
    <w:rsid w:val="00F178CA"/>
    <w:rsid w:val="00F2464B"/>
    <w:rsid w:val="00F264D7"/>
    <w:rsid w:val="00F27CD9"/>
    <w:rsid w:val="00F3173D"/>
    <w:rsid w:val="00F32009"/>
    <w:rsid w:val="00F33C05"/>
    <w:rsid w:val="00F3726D"/>
    <w:rsid w:val="00F41006"/>
    <w:rsid w:val="00F42C1F"/>
    <w:rsid w:val="00F436C3"/>
    <w:rsid w:val="00F458D0"/>
    <w:rsid w:val="00F47868"/>
    <w:rsid w:val="00F511FE"/>
    <w:rsid w:val="00F533A3"/>
    <w:rsid w:val="00F53464"/>
    <w:rsid w:val="00F54574"/>
    <w:rsid w:val="00F57518"/>
    <w:rsid w:val="00F5777A"/>
    <w:rsid w:val="00F6016E"/>
    <w:rsid w:val="00F6133D"/>
    <w:rsid w:val="00F62C54"/>
    <w:rsid w:val="00F666EF"/>
    <w:rsid w:val="00F70156"/>
    <w:rsid w:val="00F70B1B"/>
    <w:rsid w:val="00F718D8"/>
    <w:rsid w:val="00F719D2"/>
    <w:rsid w:val="00F722BD"/>
    <w:rsid w:val="00F73450"/>
    <w:rsid w:val="00F75BD3"/>
    <w:rsid w:val="00F75DB3"/>
    <w:rsid w:val="00F77461"/>
    <w:rsid w:val="00F820FA"/>
    <w:rsid w:val="00F8272C"/>
    <w:rsid w:val="00F83026"/>
    <w:rsid w:val="00F839C8"/>
    <w:rsid w:val="00F847A9"/>
    <w:rsid w:val="00F85FDA"/>
    <w:rsid w:val="00F92B95"/>
    <w:rsid w:val="00F93A7D"/>
    <w:rsid w:val="00F95256"/>
    <w:rsid w:val="00F95574"/>
    <w:rsid w:val="00FA031A"/>
    <w:rsid w:val="00FA1F5C"/>
    <w:rsid w:val="00FA4738"/>
    <w:rsid w:val="00FA5B7F"/>
    <w:rsid w:val="00FB2AC2"/>
    <w:rsid w:val="00FB2E85"/>
    <w:rsid w:val="00FB4EBE"/>
    <w:rsid w:val="00FB5B1F"/>
    <w:rsid w:val="00FB78C8"/>
    <w:rsid w:val="00FC2CB4"/>
    <w:rsid w:val="00FC4262"/>
    <w:rsid w:val="00FC5077"/>
    <w:rsid w:val="00FC54BB"/>
    <w:rsid w:val="00FC57A7"/>
    <w:rsid w:val="00FD2749"/>
    <w:rsid w:val="00FD3A1B"/>
    <w:rsid w:val="00FD4CFD"/>
    <w:rsid w:val="00FD50D8"/>
    <w:rsid w:val="00FD6EC5"/>
    <w:rsid w:val="00FD7E95"/>
    <w:rsid w:val="00FE381C"/>
    <w:rsid w:val="00FE51EC"/>
    <w:rsid w:val="00FF0136"/>
    <w:rsid w:val="00FF0172"/>
    <w:rsid w:val="00FF04FA"/>
    <w:rsid w:val="00FF1A93"/>
    <w:rsid w:val="00FF232E"/>
    <w:rsid w:val="00FF2531"/>
    <w:rsid w:val="00FF5169"/>
    <w:rsid w:val="00FF7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5789,#d9e6ed"/>
    </o:shapedefaults>
    <o:shapelayout v:ext="edit">
      <o:idmap v:ext="edit" data="2"/>
    </o:shapelayout>
  </w:shapeDefaults>
  <w:decimalSymbol w:val="."/>
  <w:listSeparator w:val=","/>
  <w14:docId w14:val="2A86597D"/>
  <w15:chartTrackingRefBased/>
  <w15:docId w15:val="{FF5331F7-7E96-4DD2-8485-4932A63F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2DE"/>
    <w:rPr>
      <w:rFonts w:ascii="Arial" w:hAnsi="Arial"/>
      <w:sz w:val="18"/>
      <w:szCs w:val="24"/>
      <w:lang w:val="en-GB" w:eastAsia="en-GB"/>
    </w:rPr>
  </w:style>
  <w:style w:type="paragraph" w:styleId="Heading1">
    <w:name w:val="heading 1"/>
    <w:basedOn w:val="ChartTitle"/>
    <w:next w:val="Normal"/>
    <w:qFormat/>
    <w:rsid w:val="00CB17F3"/>
    <w:pPr>
      <w:keepNext/>
      <w:spacing w:after="60"/>
      <w:jc w:val="left"/>
      <w:outlineLvl w:val="0"/>
    </w:pPr>
    <w:rPr>
      <w:bCs/>
      <w:color w:val="005789"/>
      <w:kern w:val="32"/>
      <w:sz w:val="26"/>
      <w:szCs w:val="26"/>
    </w:rPr>
  </w:style>
  <w:style w:type="paragraph" w:styleId="Heading4">
    <w:name w:val="heading 4"/>
    <w:basedOn w:val="Normal"/>
    <w:next w:val="Normal"/>
    <w:link w:val="Heading4Char"/>
    <w:qFormat/>
    <w:rsid w:val="0021499E"/>
    <w:pPr>
      <w:keepNext/>
      <w:spacing w:before="240" w:after="60"/>
      <w:outlineLvl w:val="3"/>
    </w:pPr>
    <w:rPr>
      <w:rFonts w:ascii="Times New Roman" w:eastAsia="MS Mincho" w:hAnsi="Times New Roman"/>
      <w:b/>
      <w:bCs/>
      <w:sz w:val="28"/>
      <w:szCs w:val="28"/>
      <w:lang w:val="fr-FR" w:eastAsia="ja-JP"/>
    </w:rPr>
  </w:style>
  <w:style w:type="paragraph" w:styleId="Heading7">
    <w:name w:val="heading 7"/>
    <w:basedOn w:val="Normal"/>
    <w:next w:val="Normal"/>
    <w:qFormat/>
    <w:rsid w:val="00CC7881"/>
    <w:pPr>
      <w:keepNext/>
      <w:ind w:leftChars="700" w:left="700" w:hangingChars="200" w:hanging="200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A1252"/>
    <w:pPr>
      <w:tabs>
        <w:tab w:val="center" w:pos="4153"/>
        <w:tab w:val="right" w:pos="8306"/>
      </w:tabs>
    </w:pPr>
    <w:rPr>
      <w:rFonts w:ascii="Arial Narrow" w:hAnsi="Arial Narrow"/>
      <w:sz w:val="16"/>
      <w:szCs w:val="16"/>
    </w:rPr>
  </w:style>
  <w:style w:type="paragraph" w:styleId="Footer">
    <w:name w:val="footer"/>
    <w:basedOn w:val="Normal"/>
    <w:rsid w:val="00E178D7"/>
    <w:pPr>
      <w:tabs>
        <w:tab w:val="center" w:pos="4153"/>
        <w:tab w:val="right" w:pos="8306"/>
      </w:tabs>
      <w:spacing w:after="20"/>
    </w:pPr>
    <w:rPr>
      <w:rFonts w:ascii="Arial Narrow" w:hAnsi="Arial Narrow"/>
      <w:sz w:val="16"/>
      <w:szCs w:val="16"/>
    </w:rPr>
  </w:style>
  <w:style w:type="paragraph" w:customStyle="1" w:styleId="topline">
    <w:name w:val="top_line"/>
    <w:basedOn w:val="Normal"/>
    <w:link w:val="toplineChar"/>
    <w:rsid w:val="008A468F"/>
    <w:rPr>
      <w:sz w:val="8"/>
      <w:szCs w:val="8"/>
    </w:rPr>
  </w:style>
  <w:style w:type="paragraph" w:customStyle="1" w:styleId="logoline">
    <w:name w:val="_logo line"/>
    <w:basedOn w:val="Normal"/>
    <w:rsid w:val="00F01A9D"/>
    <w:rPr>
      <w:sz w:val="28"/>
      <w:szCs w:val="28"/>
    </w:rPr>
  </w:style>
  <w:style w:type="paragraph" w:styleId="BalloonText">
    <w:name w:val="Balloon Text"/>
    <w:basedOn w:val="Normal"/>
    <w:semiHidden/>
    <w:rsid w:val="00B121D0"/>
    <w:rPr>
      <w:rFonts w:ascii="Tahoma" w:hAnsi="Tahoma" w:cs="Tahoma"/>
      <w:sz w:val="16"/>
      <w:szCs w:val="16"/>
    </w:rPr>
  </w:style>
  <w:style w:type="paragraph" w:customStyle="1" w:styleId="BannerTitle">
    <w:name w:val="Banner Title"/>
    <w:basedOn w:val="Normal"/>
    <w:rsid w:val="00BD262B"/>
    <w:pPr>
      <w:spacing w:before="160" w:after="40"/>
      <w:ind w:left="680"/>
    </w:pPr>
    <w:rPr>
      <w:rFonts w:ascii="Arial Bold" w:hAnsi="Arial Bold"/>
      <w:b/>
      <w:color w:val="005789"/>
      <w:sz w:val="28"/>
      <w:szCs w:val="26"/>
    </w:rPr>
  </w:style>
  <w:style w:type="paragraph" w:customStyle="1" w:styleId="Date">
    <w:name w:val="_Date"/>
    <w:basedOn w:val="Normal"/>
    <w:rsid w:val="00440FBF"/>
    <w:pPr>
      <w:ind w:left="113"/>
    </w:pPr>
    <w:rPr>
      <w:rFonts w:ascii="Arial Narrow" w:hAnsi="Arial Narrow"/>
      <w:sz w:val="16"/>
      <w:szCs w:val="14"/>
    </w:rPr>
  </w:style>
  <w:style w:type="paragraph" w:customStyle="1" w:styleId="Small">
    <w:name w:val="Small"/>
    <w:basedOn w:val="Normal"/>
    <w:rsid w:val="003363EA"/>
    <w:rPr>
      <w:sz w:val="4"/>
      <w:szCs w:val="4"/>
    </w:rPr>
  </w:style>
  <w:style w:type="paragraph" w:styleId="BodyText">
    <w:name w:val="Body Text"/>
    <w:basedOn w:val="Normal"/>
    <w:link w:val="BodyTextChar"/>
    <w:rsid w:val="000E36B0"/>
    <w:pPr>
      <w:spacing w:before="40" w:after="100"/>
    </w:pPr>
    <w:rPr>
      <w:rFonts w:ascii="Agfa Rotis Semisans" w:hAnsi="Agfa Rotis Semisans" w:cs="Arial"/>
      <w:szCs w:val="18"/>
    </w:rPr>
  </w:style>
  <w:style w:type="paragraph" w:customStyle="1" w:styleId="Bodybulletedtext">
    <w:name w:val="Body bulleted text"/>
    <w:basedOn w:val="BodyText"/>
    <w:rsid w:val="00CB17F3"/>
    <w:pPr>
      <w:numPr>
        <w:numId w:val="2"/>
      </w:numPr>
    </w:pPr>
  </w:style>
  <w:style w:type="character" w:customStyle="1" w:styleId="BodyTextChar">
    <w:name w:val="Body Text Char"/>
    <w:link w:val="BodyText"/>
    <w:rsid w:val="000E36B0"/>
    <w:rPr>
      <w:rFonts w:ascii="Agfa Rotis Semisans" w:hAnsi="Agfa Rotis Semisans" w:cs="Arial"/>
      <w:sz w:val="18"/>
      <w:szCs w:val="18"/>
      <w:lang w:val="en-GB" w:eastAsia="en-GB" w:bidi="ar-SA"/>
    </w:rPr>
  </w:style>
  <w:style w:type="paragraph" w:customStyle="1" w:styleId="Summary">
    <w:name w:val="Summary"/>
    <w:basedOn w:val="BodyText"/>
    <w:rsid w:val="007F638F"/>
    <w:pPr>
      <w:spacing w:before="80" w:after="20"/>
    </w:pPr>
    <w:rPr>
      <w:b/>
    </w:rPr>
  </w:style>
  <w:style w:type="paragraph" w:customStyle="1" w:styleId="Comment">
    <w:name w:val="Comment"/>
    <w:basedOn w:val="Normal"/>
    <w:rsid w:val="000E36B0"/>
    <w:pPr>
      <w:spacing w:before="60" w:after="20"/>
      <w:ind w:right="170"/>
      <w:jc w:val="right"/>
    </w:pPr>
    <w:rPr>
      <w:rFonts w:ascii="Arial Narrow" w:hAnsi="Arial Narrow" w:cs="Arial"/>
      <w:b/>
      <w:color w:val="142564"/>
      <w:spacing w:val="6"/>
      <w:sz w:val="14"/>
      <w:szCs w:val="14"/>
    </w:rPr>
  </w:style>
  <w:style w:type="paragraph" w:customStyle="1" w:styleId="SmallText">
    <w:name w:val="Small Text"/>
    <w:basedOn w:val="Comment"/>
    <w:rsid w:val="000E36B0"/>
    <w:pPr>
      <w:spacing w:before="40" w:after="120"/>
    </w:pPr>
    <w:rPr>
      <w:rFonts w:ascii="Agfa Rotis Semisans" w:hAnsi="Agfa Rotis Semisans"/>
      <w:b w:val="0"/>
      <w:color w:val="auto"/>
    </w:rPr>
  </w:style>
  <w:style w:type="paragraph" w:customStyle="1" w:styleId="TitleBlue">
    <w:name w:val="_Title Blue"/>
    <w:basedOn w:val="Summary"/>
    <w:rsid w:val="00B52A11"/>
    <w:rPr>
      <w:color w:val="005789"/>
      <w:sz w:val="26"/>
      <w:szCs w:val="26"/>
    </w:rPr>
  </w:style>
  <w:style w:type="paragraph" w:customStyle="1" w:styleId="TableText">
    <w:name w:val="_Table Text"/>
    <w:basedOn w:val="BodyText"/>
    <w:rsid w:val="007F638F"/>
    <w:pPr>
      <w:spacing w:after="40"/>
    </w:pPr>
    <w:rPr>
      <w:rFonts w:ascii="Arial Narrow" w:hAnsi="Arial Narrow"/>
      <w:sz w:val="16"/>
      <w:szCs w:val="16"/>
    </w:rPr>
  </w:style>
  <w:style w:type="paragraph" w:customStyle="1" w:styleId="ChartTitle">
    <w:name w:val="_ChartTitle"/>
    <w:basedOn w:val="TableText"/>
    <w:rsid w:val="00E612D4"/>
    <w:pPr>
      <w:spacing w:before="0"/>
      <w:jc w:val="center"/>
    </w:pPr>
    <w:rPr>
      <w:rFonts w:ascii="Agfa Rotis Semisans" w:hAnsi="Agfa Rotis Semisans"/>
      <w:b/>
      <w:color w:val="005BAA"/>
      <w:sz w:val="22"/>
      <w:szCs w:val="22"/>
    </w:rPr>
  </w:style>
  <w:style w:type="table" w:styleId="TableGrid">
    <w:name w:val="Table Grid"/>
    <w:basedOn w:val="TableNormal"/>
    <w:rsid w:val="00AE5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ltle">
    <w:name w:val="_Table Tiltle"/>
    <w:basedOn w:val="TableText"/>
    <w:rsid w:val="00974C6C"/>
    <w:rPr>
      <w:rFonts w:ascii="Arial Narrow Bold" w:hAnsi="Arial Narrow Bold"/>
      <w:b/>
    </w:rPr>
  </w:style>
  <w:style w:type="character" w:styleId="PageNumber">
    <w:name w:val="page number"/>
    <w:rsid w:val="00FA5B7F"/>
    <w:rPr>
      <w:rFonts w:ascii="Arial" w:hAnsi="Arial"/>
      <w:b/>
      <w:color w:val="FFFFFF"/>
      <w:sz w:val="16"/>
      <w:szCs w:val="16"/>
    </w:rPr>
  </w:style>
  <w:style w:type="paragraph" w:customStyle="1" w:styleId="Spacer">
    <w:name w:val="_Spacer"/>
    <w:basedOn w:val="Normal"/>
    <w:rsid w:val="008D55EC"/>
    <w:rPr>
      <w:sz w:val="2"/>
    </w:rPr>
  </w:style>
  <w:style w:type="paragraph" w:customStyle="1" w:styleId="ProductTitle">
    <w:name w:val="Product Title"/>
    <w:basedOn w:val="BannerTitle"/>
    <w:rsid w:val="00EC3247"/>
    <w:pPr>
      <w:spacing w:before="280"/>
    </w:pPr>
  </w:style>
  <w:style w:type="paragraph" w:customStyle="1" w:styleId="middleline">
    <w:name w:val="_middle line"/>
    <w:basedOn w:val="topline"/>
    <w:rsid w:val="00E31DBA"/>
    <w:rPr>
      <w:sz w:val="24"/>
    </w:rPr>
  </w:style>
  <w:style w:type="paragraph" w:customStyle="1" w:styleId="bline">
    <w:name w:val="b line"/>
    <w:basedOn w:val="topline"/>
    <w:rsid w:val="0076159B"/>
    <w:rPr>
      <w:sz w:val="12"/>
      <w:szCs w:val="12"/>
    </w:rPr>
  </w:style>
  <w:style w:type="paragraph" w:customStyle="1" w:styleId="signTop">
    <w:name w:val="_sign Top"/>
    <w:basedOn w:val="topline"/>
    <w:link w:val="signTopChar"/>
    <w:rsid w:val="00F01A9D"/>
    <w:rPr>
      <w:sz w:val="6"/>
      <w:szCs w:val="6"/>
    </w:rPr>
  </w:style>
  <w:style w:type="paragraph" w:customStyle="1" w:styleId="signMid">
    <w:name w:val="_sign Mid"/>
    <w:basedOn w:val="topline"/>
    <w:link w:val="signMidChar"/>
    <w:rsid w:val="00331992"/>
    <w:rPr>
      <w:sz w:val="36"/>
      <w:szCs w:val="36"/>
    </w:rPr>
  </w:style>
  <w:style w:type="paragraph" w:customStyle="1" w:styleId="TopBanner">
    <w:name w:val="_Top Banner"/>
    <w:basedOn w:val="topline"/>
    <w:rsid w:val="00344A9D"/>
    <w:rPr>
      <w:sz w:val="24"/>
      <w:szCs w:val="24"/>
    </w:rPr>
  </w:style>
  <w:style w:type="paragraph" w:customStyle="1" w:styleId="Label">
    <w:name w:val="_Label"/>
    <w:basedOn w:val="Date"/>
    <w:rsid w:val="00BD262B"/>
    <w:pPr>
      <w:spacing w:before="120" w:after="20"/>
      <w:ind w:left="680"/>
    </w:pPr>
    <w:rPr>
      <w:color w:val="E5EEF3"/>
      <w:sz w:val="18"/>
      <w:szCs w:val="18"/>
    </w:rPr>
  </w:style>
  <w:style w:type="paragraph" w:customStyle="1" w:styleId="BannerTitleLevel2">
    <w:name w:val="Banner Title Level 2"/>
    <w:basedOn w:val="BannerTitle"/>
    <w:rsid w:val="003D0F77"/>
    <w:pPr>
      <w:spacing w:before="100" w:after="100"/>
    </w:pPr>
    <w:rPr>
      <w:b w:val="0"/>
      <w:color w:val="E5EEF3"/>
    </w:rPr>
  </w:style>
  <w:style w:type="paragraph" w:customStyle="1" w:styleId="StyleLabelArialNarrowNotBoldRight">
    <w:name w:val="Style _Label + Arial Narrow Not Bold Right"/>
    <w:basedOn w:val="Label"/>
    <w:rsid w:val="00C9673B"/>
    <w:pPr>
      <w:ind w:right="680"/>
      <w:jc w:val="right"/>
    </w:pPr>
    <w:rPr>
      <w:b/>
    </w:rPr>
  </w:style>
  <w:style w:type="paragraph" w:customStyle="1" w:styleId="newdate">
    <w:name w:val="_new date"/>
    <w:basedOn w:val="StyleLabelArialNarrowNotBoldRight"/>
    <w:rsid w:val="00A02437"/>
    <w:pPr>
      <w:ind w:left="227"/>
      <w:jc w:val="left"/>
    </w:pPr>
    <w:rPr>
      <w:b w:val="0"/>
    </w:rPr>
  </w:style>
  <w:style w:type="paragraph" w:customStyle="1" w:styleId="Verticalspace">
    <w:name w:val="_Vertical space"/>
    <w:basedOn w:val="Date"/>
    <w:rsid w:val="007A5BFA"/>
    <w:pPr>
      <w:ind w:left="0"/>
    </w:pPr>
    <w:rPr>
      <w:szCs w:val="16"/>
    </w:rPr>
  </w:style>
  <w:style w:type="paragraph" w:customStyle="1" w:styleId="4p">
    <w:name w:val="_4p"/>
    <w:basedOn w:val="Spacer"/>
    <w:rsid w:val="00A716CC"/>
    <w:rPr>
      <w:sz w:val="8"/>
      <w:szCs w:val="8"/>
    </w:rPr>
  </w:style>
  <w:style w:type="paragraph" w:customStyle="1" w:styleId="insideheaderleft">
    <w:name w:val="_inside_header_left"/>
    <w:basedOn w:val="signTop"/>
    <w:link w:val="insideheaderleftChar"/>
    <w:rsid w:val="007E1536"/>
    <w:pPr>
      <w:spacing w:before="20" w:after="20"/>
      <w:ind w:left="113"/>
    </w:pPr>
    <w:rPr>
      <w:rFonts w:ascii="Arial Narrow" w:hAnsi="Arial Narrow"/>
      <w:sz w:val="16"/>
      <w:szCs w:val="16"/>
    </w:rPr>
  </w:style>
  <w:style w:type="paragraph" w:customStyle="1" w:styleId="insideheaderright">
    <w:name w:val="_inside_header_right"/>
    <w:basedOn w:val="insideheaderleft"/>
    <w:rsid w:val="007E1536"/>
    <w:pPr>
      <w:ind w:left="0" w:right="113"/>
      <w:jc w:val="right"/>
    </w:pPr>
  </w:style>
  <w:style w:type="paragraph" w:customStyle="1" w:styleId="Page">
    <w:name w:val="Page"/>
    <w:basedOn w:val="Normal"/>
    <w:rsid w:val="00B26A19"/>
    <w:pPr>
      <w:tabs>
        <w:tab w:val="center" w:pos="4153"/>
        <w:tab w:val="right" w:pos="8306"/>
      </w:tabs>
      <w:spacing w:after="20"/>
      <w:jc w:val="center"/>
    </w:pPr>
    <w:rPr>
      <w:rFonts w:ascii="Arial Narrow" w:hAnsi="Arial Narrow" w:cs="Arial"/>
      <w:b/>
      <w:sz w:val="14"/>
      <w:szCs w:val="14"/>
    </w:rPr>
  </w:style>
  <w:style w:type="paragraph" w:customStyle="1" w:styleId="HeaderTitle">
    <w:name w:val="_Header Title"/>
    <w:basedOn w:val="insideheaderright"/>
    <w:rsid w:val="00FC2CB4"/>
    <w:rPr>
      <w:rFonts w:ascii="Arial Bold" w:hAnsi="Arial Bold"/>
      <w:b/>
      <w:color w:val="005789"/>
    </w:rPr>
  </w:style>
  <w:style w:type="paragraph" w:customStyle="1" w:styleId="LogoTextPos">
    <w:name w:val="_Logo Text Pos"/>
    <w:basedOn w:val="signMid"/>
    <w:link w:val="LogoTextPosChar"/>
    <w:rsid w:val="00F01A9D"/>
    <w:pPr>
      <w:ind w:left="113"/>
    </w:pPr>
    <w:rPr>
      <w:sz w:val="16"/>
      <w:szCs w:val="16"/>
    </w:rPr>
  </w:style>
  <w:style w:type="character" w:customStyle="1" w:styleId="toplineChar">
    <w:name w:val="top_line Char"/>
    <w:link w:val="topline"/>
    <w:rsid w:val="00A80F07"/>
    <w:rPr>
      <w:rFonts w:ascii="Arial" w:hAnsi="Arial"/>
      <w:sz w:val="8"/>
      <w:szCs w:val="8"/>
      <w:lang w:val="en-GB" w:eastAsia="en-GB" w:bidi="ar-SA"/>
    </w:rPr>
  </w:style>
  <w:style w:type="character" w:customStyle="1" w:styleId="signMidChar">
    <w:name w:val="_sign Mid Char"/>
    <w:link w:val="signMid"/>
    <w:rsid w:val="00331992"/>
    <w:rPr>
      <w:rFonts w:ascii="Arial" w:hAnsi="Arial"/>
      <w:sz w:val="36"/>
      <w:szCs w:val="36"/>
      <w:lang w:val="en-GB" w:eastAsia="en-GB" w:bidi="ar-SA"/>
    </w:rPr>
  </w:style>
  <w:style w:type="character" w:customStyle="1" w:styleId="LogoTextPosChar">
    <w:name w:val="_Logo Text Pos Char"/>
    <w:link w:val="LogoTextPos"/>
    <w:rsid w:val="00F01A9D"/>
    <w:rPr>
      <w:rFonts w:ascii="Arial" w:hAnsi="Arial"/>
      <w:sz w:val="16"/>
      <w:szCs w:val="16"/>
      <w:lang w:val="en-GB" w:eastAsia="en-GB" w:bidi="ar-SA"/>
    </w:rPr>
  </w:style>
  <w:style w:type="paragraph" w:customStyle="1" w:styleId="spacer2pt">
    <w:name w:val="_spacer 2pt"/>
    <w:basedOn w:val="Normal"/>
    <w:rsid w:val="00331992"/>
    <w:rPr>
      <w:sz w:val="8"/>
      <w:szCs w:val="8"/>
    </w:rPr>
  </w:style>
  <w:style w:type="paragraph" w:customStyle="1" w:styleId="Frontheader">
    <w:name w:val="_Front header"/>
    <w:basedOn w:val="insideheaderleft"/>
    <w:link w:val="FrontheaderChar"/>
    <w:rsid w:val="00331992"/>
  </w:style>
  <w:style w:type="character" w:customStyle="1" w:styleId="signTopChar">
    <w:name w:val="_sign Top Char"/>
    <w:link w:val="signTop"/>
    <w:rsid w:val="00F01A9D"/>
    <w:rPr>
      <w:rFonts w:ascii="Arial" w:hAnsi="Arial"/>
      <w:sz w:val="6"/>
      <w:szCs w:val="6"/>
      <w:lang w:val="en-GB" w:eastAsia="en-GB" w:bidi="ar-SA"/>
    </w:rPr>
  </w:style>
  <w:style w:type="character" w:customStyle="1" w:styleId="insideheaderleftChar">
    <w:name w:val="_inside_header_left Char"/>
    <w:link w:val="insideheaderleft"/>
    <w:rsid w:val="00331992"/>
    <w:rPr>
      <w:rFonts w:ascii="Arial Narrow" w:hAnsi="Arial Narrow"/>
      <w:sz w:val="16"/>
      <w:szCs w:val="16"/>
      <w:lang w:val="en-GB" w:eastAsia="en-GB" w:bidi="ar-SA"/>
    </w:rPr>
  </w:style>
  <w:style w:type="character" w:customStyle="1" w:styleId="FrontheaderChar">
    <w:name w:val="_Front header Char"/>
    <w:basedOn w:val="insideheaderleftChar"/>
    <w:link w:val="Frontheader"/>
    <w:rsid w:val="00331992"/>
    <w:rPr>
      <w:rFonts w:ascii="Arial Narrow" w:hAnsi="Arial Narrow"/>
      <w:sz w:val="16"/>
      <w:szCs w:val="16"/>
      <w:lang w:val="en-GB" w:eastAsia="en-GB" w:bidi="ar-SA"/>
    </w:rPr>
  </w:style>
  <w:style w:type="paragraph" w:customStyle="1" w:styleId="StyleLabelCustomColorRGB205221229">
    <w:name w:val="Style _Label + Custom Color(RGB(205221229))"/>
    <w:basedOn w:val="Label"/>
    <w:rsid w:val="00296FCE"/>
    <w:rPr>
      <w:color w:val="FFFFFF"/>
    </w:rPr>
  </w:style>
  <w:style w:type="paragraph" w:customStyle="1" w:styleId="StyleLabelCustomColorRGB2052212291">
    <w:name w:val="Style _Label + Custom Color(RGB(205221229))1"/>
    <w:basedOn w:val="Label"/>
    <w:rsid w:val="00296FCE"/>
    <w:rPr>
      <w:color w:val="FFFFFF"/>
    </w:rPr>
  </w:style>
  <w:style w:type="paragraph" w:styleId="BodyTextIndent2">
    <w:name w:val="Body Text Indent 2"/>
    <w:basedOn w:val="Normal"/>
    <w:rsid w:val="00FF0172"/>
    <w:pPr>
      <w:spacing w:after="180" w:line="480" w:lineRule="auto"/>
      <w:ind w:leftChars="400" w:left="851"/>
    </w:pPr>
  </w:style>
  <w:style w:type="paragraph" w:styleId="BodyTextIndent">
    <w:name w:val="Body Text Indent"/>
    <w:basedOn w:val="Normal"/>
    <w:rsid w:val="00A55345"/>
    <w:pPr>
      <w:spacing w:after="180"/>
      <w:ind w:leftChars="400" w:left="851"/>
    </w:pPr>
  </w:style>
  <w:style w:type="paragraph" w:styleId="BodyTextIndent3">
    <w:name w:val="Body Text Indent 3"/>
    <w:basedOn w:val="Normal"/>
    <w:rsid w:val="00E235FB"/>
    <w:pPr>
      <w:spacing w:after="180"/>
      <w:ind w:leftChars="400" w:left="851"/>
    </w:pPr>
    <w:rPr>
      <w:sz w:val="16"/>
      <w:szCs w:val="16"/>
    </w:rPr>
  </w:style>
  <w:style w:type="paragraph" w:customStyle="1" w:styleId="marge">
    <w:name w:val="marge"/>
    <w:basedOn w:val="Normal"/>
    <w:rsid w:val="00E235FB"/>
    <w:pPr>
      <w:jc w:val="both"/>
    </w:pPr>
    <w:rPr>
      <w:rFonts w:ascii="Times" w:hAnsi="Times"/>
      <w:noProof/>
      <w:sz w:val="20"/>
      <w:szCs w:val="20"/>
      <w:lang w:eastAsia="en-US"/>
    </w:rPr>
  </w:style>
  <w:style w:type="paragraph" w:styleId="BodyText3">
    <w:name w:val="Body Text 3"/>
    <w:basedOn w:val="Normal"/>
    <w:rsid w:val="00791B61"/>
    <w:pPr>
      <w:spacing w:after="120"/>
    </w:pPr>
    <w:rPr>
      <w:sz w:val="16"/>
      <w:szCs w:val="16"/>
    </w:rPr>
  </w:style>
  <w:style w:type="paragraph" w:customStyle="1" w:styleId="Char1CharChar">
    <w:name w:val="Char1 Char Char"/>
    <w:basedOn w:val="Normal"/>
    <w:rsid w:val="00037EE2"/>
    <w:pPr>
      <w:spacing w:after="160" w:line="240" w:lineRule="exact"/>
    </w:pPr>
    <w:rPr>
      <w:rFonts w:ascii="Verdana" w:eastAsia="MS Mincho" w:hAnsi="Verdana" w:cs="Verdana"/>
      <w:sz w:val="20"/>
      <w:szCs w:val="20"/>
      <w:lang w:eastAsia="en-US"/>
    </w:rPr>
  </w:style>
  <w:style w:type="paragraph" w:styleId="FootnoteText">
    <w:name w:val="footnote text"/>
    <w:aliases w:val="FT,Car,ft"/>
    <w:basedOn w:val="Normal"/>
    <w:link w:val="FootnoteTextChar"/>
    <w:rsid w:val="004831DC"/>
    <w:pPr>
      <w:jc w:val="both"/>
    </w:pPr>
    <w:rPr>
      <w:rFonts w:eastAsia="Times New Roman"/>
      <w:sz w:val="20"/>
      <w:szCs w:val="20"/>
      <w:lang w:eastAsia="ja-JP"/>
    </w:rPr>
  </w:style>
  <w:style w:type="character" w:styleId="FootnoteReference">
    <w:name w:val="footnote reference"/>
    <w:semiHidden/>
    <w:rsid w:val="004831DC"/>
    <w:rPr>
      <w:rFonts w:ascii="Verdana" w:hAnsi="Verdana"/>
      <w:sz w:val="24"/>
      <w:szCs w:val="24"/>
      <w:vertAlign w:val="superscript"/>
      <w:lang w:val="en-US" w:eastAsia="en-US" w:bidi="ar-SA"/>
    </w:rPr>
  </w:style>
  <w:style w:type="character" w:styleId="Hyperlink">
    <w:name w:val="Hyperlink"/>
    <w:rsid w:val="004831DC"/>
    <w:rPr>
      <w:rFonts w:ascii="Verdana" w:hAnsi="Verdana"/>
      <w:color w:val="0000FF"/>
      <w:sz w:val="24"/>
      <w:szCs w:val="24"/>
      <w:u w:val="single"/>
      <w:lang w:val="en-US" w:eastAsia="en-US" w:bidi="ar-SA"/>
    </w:rPr>
  </w:style>
  <w:style w:type="paragraph" w:customStyle="1" w:styleId="CarChar1CarCharCarCharCar">
    <w:name w:val="Car Char1 Car Char Car Char Car"/>
    <w:basedOn w:val="Normal"/>
    <w:rsid w:val="004831DC"/>
    <w:pPr>
      <w:numPr>
        <w:numId w:val="16"/>
      </w:numPr>
      <w:tabs>
        <w:tab w:val="clear" w:pos="1080"/>
      </w:tabs>
      <w:spacing w:after="160" w:line="240" w:lineRule="exact"/>
      <w:ind w:left="0" w:firstLine="0"/>
    </w:pPr>
    <w:rPr>
      <w:rFonts w:ascii="Verdana" w:eastAsia="Times New Roman" w:hAnsi="Verdana"/>
      <w:sz w:val="24"/>
      <w:lang w:val="en-US" w:eastAsia="en-US"/>
    </w:rPr>
  </w:style>
  <w:style w:type="paragraph" w:customStyle="1" w:styleId="CharCharCharCharCharCharCharChar1CharCharChar">
    <w:name w:val="Char Char Char Char Char Char Char Char1 Char Char Char"/>
    <w:basedOn w:val="Normal"/>
    <w:rsid w:val="004C475A"/>
    <w:pPr>
      <w:spacing w:after="160" w:line="240" w:lineRule="exact"/>
    </w:pPr>
    <w:rPr>
      <w:rFonts w:ascii="Verdana" w:eastAsia="MS Mincho" w:hAnsi="Verdana" w:cs="Verdana"/>
      <w:sz w:val="20"/>
      <w:szCs w:val="20"/>
      <w:lang w:eastAsia="en-US"/>
    </w:rPr>
  </w:style>
  <w:style w:type="paragraph" w:customStyle="1" w:styleId="Char1CharCharCharChar1CharChar1CharChar">
    <w:name w:val="字元 字元 Char 字元 字元1 Char 字元 字元 Char 字元 字元 Char 字元 字元 Char 字元 字元1 Char 字元 字元 Char 字元 字元1 Char 字元 字元 Char 字元 字元"/>
    <w:basedOn w:val="Normal"/>
    <w:rsid w:val="00DD544E"/>
    <w:pPr>
      <w:spacing w:after="160" w:line="240" w:lineRule="exact"/>
    </w:pPr>
    <w:rPr>
      <w:rFonts w:ascii="Verdana" w:eastAsia="MS Mincho" w:hAnsi="Verdana" w:cs="Verdana"/>
      <w:sz w:val="20"/>
      <w:szCs w:val="20"/>
      <w:lang w:eastAsia="en-US"/>
    </w:rPr>
  </w:style>
  <w:style w:type="paragraph" w:customStyle="1" w:styleId="1">
    <w:name w:val="1"/>
    <w:basedOn w:val="Normal"/>
    <w:rsid w:val="007B1BF9"/>
    <w:pPr>
      <w:spacing w:after="160" w:line="240" w:lineRule="exact"/>
    </w:pPr>
    <w:rPr>
      <w:rFonts w:ascii="Verdana" w:eastAsia="Times New Roman" w:hAnsi="Verdana"/>
      <w:sz w:val="24"/>
      <w:lang w:val="en-US" w:eastAsia="en-US"/>
    </w:rPr>
  </w:style>
  <w:style w:type="paragraph" w:styleId="PlainText">
    <w:name w:val="Plain Text"/>
    <w:basedOn w:val="Normal"/>
    <w:rsid w:val="0069402A"/>
    <w:rPr>
      <w:rFonts w:ascii="Courier New" w:eastAsia="Times New Roman" w:hAnsi="Courier New"/>
      <w:sz w:val="20"/>
      <w:szCs w:val="20"/>
      <w:lang w:val="en-US" w:eastAsia="en-US"/>
    </w:rPr>
  </w:style>
  <w:style w:type="paragraph" w:customStyle="1" w:styleId="CharCharCharCharCharCharCharChar">
    <w:name w:val="Char Char Char Char Char Char Char Char"/>
    <w:basedOn w:val="Normal"/>
    <w:rsid w:val="0069402A"/>
    <w:pPr>
      <w:spacing w:after="160" w:line="240" w:lineRule="exact"/>
    </w:pPr>
    <w:rPr>
      <w:rFonts w:ascii="Verdana" w:eastAsia="MS Mincho" w:hAnsi="Verdana" w:cs="Verdana"/>
      <w:sz w:val="20"/>
      <w:szCs w:val="20"/>
      <w:lang w:eastAsia="en-US"/>
    </w:rPr>
  </w:style>
  <w:style w:type="paragraph" w:customStyle="1" w:styleId="Text">
    <w:name w:val="Text"/>
    <w:basedOn w:val="Normal"/>
    <w:rsid w:val="006D1C8F"/>
    <w:pPr>
      <w:spacing w:before="40" w:after="60"/>
      <w:jc w:val="both"/>
    </w:pPr>
    <w:rPr>
      <w:rFonts w:ascii="Times New Roman" w:eastAsia="Times New Roman" w:hAnsi="Times New Roman"/>
      <w:sz w:val="24"/>
      <w:szCs w:val="20"/>
      <w:lang w:val="en-US" w:eastAsia="en-US"/>
    </w:rPr>
  </w:style>
  <w:style w:type="paragraph" w:customStyle="1" w:styleId="CharCharCharCharCharCharCharCharCharCharChar">
    <w:name w:val="Char Char Char Char Char Char Char Char Char Char Char"/>
    <w:basedOn w:val="Normal"/>
    <w:rsid w:val="00AC3492"/>
    <w:pPr>
      <w:spacing w:after="160" w:line="240" w:lineRule="exact"/>
    </w:pPr>
    <w:rPr>
      <w:rFonts w:ascii="Verdana" w:eastAsia="MS Mincho" w:hAnsi="Verdana" w:cs="Verdana"/>
      <w:sz w:val="20"/>
      <w:szCs w:val="20"/>
      <w:lang w:eastAsia="en-US"/>
    </w:rPr>
  </w:style>
  <w:style w:type="paragraph" w:customStyle="1" w:styleId="TableBlack">
    <w:name w:val="Table Black"/>
    <w:basedOn w:val="Caption"/>
    <w:rsid w:val="00233F6F"/>
    <w:pPr>
      <w:spacing w:before="20" w:after="0"/>
    </w:pPr>
    <w:rPr>
      <w:rFonts w:eastAsia="SimSun"/>
      <w:b w:val="0"/>
      <w:bCs w:val="0"/>
      <w:lang w:val="en-US" w:eastAsia="en-US"/>
    </w:rPr>
  </w:style>
  <w:style w:type="paragraph" w:styleId="Caption">
    <w:name w:val="caption"/>
    <w:basedOn w:val="Normal"/>
    <w:next w:val="Normal"/>
    <w:qFormat/>
    <w:rsid w:val="00233F6F"/>
    <w:pPr>
      <w:spacing w:before="120" w:after="120"/>
    </w:pPr>
    <w:rPr>
      <w:b/>
      <w:bCs/>
      <w:sz w:val="20"/>
      <w:szCs w:val="20"/>
    </w:rPr>
  </w:style>
  <w:style w:type="paragraph" w:styleId="BlockText">
    <w:name w:val="Block Text"/>
    <w:basedOn w:val="Normal"/>
    <w:rsid w:val="007E011C"/>
    <w:pPr>
      <w:spacing w:after="120"/>
      <w:ind w:left="1440" w:right="1440"/>
    </w:pPr>
    <w:rPr>
      <w:rFonts w:ascii="Times New Roman" w:hAnsi="Times New Roman"/>
      <w:sz w:val="20"/>
      <w:szCs w:val="20"/>
      <w:lang w:val="en-US" w:eastAsia="en-US"/>
    </w:rPr>
  </w:style>
  <w:style w:type="paragraph" w:styleId="ListBullet2">
    <w:name w:val="List Bullet 2"/>
    <w:basedOn w:val="Normal"/>
    <w:autoRedefine/>
    <w:rsid w:val="007E011C"/>
    <w:pPr>
      <w:numPr>
        <w:numId w:val="18"/>
      </w:numPr>
    </w:pPr>
    <w:rPr>
      <w:rFonts w:ascii="Times New Roman" w:hAnsi="Times New Roman"/>
      <w:sz w:val="20"/>
      <w:szCs w:val="20"/>
      <w:lang w:val="en-US" w:eastAsia="en-US"/>
    </w:rPr>
  </w:style>
  <w:style w:type="paragraph" w:customStyle="1" w:styleId="Char1CharCharCharChar">
    <w:name w:val="Char1 Char Char Char Char"/>
    <w:basedOn w:val="Normal"/>
    <w:rsid w:val="0002044D"/>
    <w:pPr>
      <w:spacing w:after="160" w:line="240" w:lineRule="exact"/>
    </w:pPr>
    <w:rPr>
      <w:rFonts w:ascii="Verdana" w:eastAsia="MS Mincho" w:hAnsi="Verdana" w:cs="Verdana"/>
      <w:sz w:val="20"/>
      <w:szCs w:val="20"/>
      <w:lang w:eastAsia="en-US"/>
    </w:rPr>
  </w:style>
  <w:style w:type="character" w:styleId="CommentReference">
    <w:name w:val="annotation reference"/>
    <w:uiPriority w:val="99"/>
    <w:semiHidden/>
    <w:unhideWhenUsed/>
    <w:rsid w:val="009113AF"/>
    <w:rPr>
      <w:sz w:val="16"/>
      <w:szCs w:val="16"/>
    </w:rPr>
  </w:style>
  <w:style w:type="paragraph" w:styleId="CommentText">
    <w:name w:val="annotation text"/>
    <w:basedOn w:val="Normal"/>
    <w:link w:val="CommentTextChar"/>
    <w:uiPriority w:val="99"/>
    <w:unhideWhenUsed/>
    <w:rsid w:val="009113AF"/>
    <w:rPr>
      <w:sz w:val="20"/>
      <w:szCs w:val="20"/>
    </w:rPr>
  </w:style>
  <w:style w:type="character" w:customStyle="1" w:styleId="CommentTextChar">
    <w:name w:val="Comment Text Char"/>
    <w:link w:val="CommentText"/>
    <w:uiPriority w:val="99"/>
    <w:rsid w:val="009113AF"/>
    <w:rPr>
      <w:rFonts w:ascii="Arial" w:hAnsi="Arial"/>
      <w:lang w:val="en-GB" w:eastAsia="en-GB" w:bidi="ar-SA"/>
    </w:rPr>
  </w:style>
  <w:style w:type="paragraph" w:styleId="CommentSubject">
    <w:name w:val="annotation subject"/>
    <w:basedOn w:val="CommentText"/>
    <w:next w:val="CommentText"/>
    <w:link w:val="CommentSubjectChar"/>
    <w:uiPriority w:val="99"/>
    <w:semiHidden/>
    <w:unhideWhenUsed/>
    <w:rsid w:val="009113AF"/>
    <w:rPr>
      <w:b/>
      <w:bCs/>
    </w:rPr>
  </w:style>
  <w:style w:type="character" w:customStyle="1" w:styleId="CommentSubjectChar">
    <w:name w:val="Comment Subject Char"/>
    <w:link w:val="CommentSubject"/>
    <w:uiPriority w:val="99"/>
    <w:semiHidden/>
    <w:rsid w:val="009113AF"/>
    <w:rPr>
      <w:rFonts w:ascii="Arial" w:hAnsi="Arial"/>
      <w:b/>
      <w:bCs/>
      <w:lang w:val="en-GB" w:eastAsia="en-GB" w:bidi="ar-SA"/>
    </w:rPr>
  </w:style>
  <w:style w:type="character" w:customStyle="1" w:styleId="headings-normal">
    <w:name w:val="headings-normal"/>
    <w:rsid w:val="00C651ED"/>
    <w:rPr>
      <w:rFonts w:ascii="Arial" w:eastAsia="Arial" w:hAnsi="Arial" w:cs="Arial"/>
      <w:b w:val="0"/>
      <w:i w:val="0"/>
      <w:strike w:val="0"/>
      <w:sz w:val="18"/>
      <w:u w:val="none"/>
    </w:rPr>
  </w:style>
  <w:style w:type="paragraph" w:customStyle="1" w:styleId="cellparagraphstylehalignjustified">
    <w:name w:val="cell_paragraph_style + halign:justified"/>
    <w:basedOn w:val="Normal"/>
    <w:rsid w:val="00D43F89"/>
    <w:pPr>
      <w:jc w:val="both"/>
    </w:pPr>
    <w:rPr>
      <w:rFonts w:ascii="Times New Roman" w:eastAsia="Times New Roman" w:hAnsi="Times New Roman"/>
      <w:sz w:val="20"/>
      <w:szCs w:val="20"/>
      <w:lang w:val="en-US" w:eastAsia="zh-CN"/>
    </w:rPr>
  </w:style>
  <w:style w:type="character" w:customStyle="1" w:styleId="Heading4Char">
    <w:name w:val="Heading 4 Char"/>
    <w:link w:val="Heading4"/>
    <w:rsid w:val="0021499E"/>
    <w:rPr>
      <w:rFonts w:eastAsia="MS Mincho"/>
      <w:b/>
      <w:bCs/>
      <w:sz w:val="28"/>
      <w:szCs w:val="28"/>
      <w:lang w:val="fr-FR" w:eastAsia="ja-JP" w:bidi="ar-SA"/>
    </w:rPr>
  </w:style>
  <w:style w:type="paragraph" w:styleId="NoSpacing">
    <w:name w:val="No Spacing"/>
    <w:uiPriority w:val="1"/>
    <w:qFormat/>
    <w:rsid w:val="009C7ADC"/>
    <w:rPr>
      <w:rFonts w:eastAsia="MS Mincho"/>
      <w:sz w:val="24"/>
      <w:szCs w:val="24"/>
      <w:lang w:val="fr-FR"/>
    </w:rPr>
  </w:style>
  <w:style w:type="paragraph" w:customStyle="1" w:styleId="DefinitionLev2">
    <w:name w:val="Definition Lev 2"/>
    <w:aliases w:val="D2"/>
    <w:basedOn w:val="Normal"/>
    <w:rsid w:val="004B2E2D"/>
    <w:pPr>
      <w:autoSpaceDE w:val="0"/>
      <w:autoSpaceDN w:val="0"/>
      <w:adjustRightInd w:val="0"/>
      <w:spacing w:before="240"/>
      <w:jc w:val="both"/>
    </w:pPr>
    <w:rPr>
      <w:rFonts w:ascii="Times New Roman" w:eastAsia="Times New Roman" w:hAnsi="Times New Roman"/>
      <w:sz w:val="20"/>
      <w:szCs w:val="20"/>
      <w:lang w:eastAsia="en-US"/>
    </w:rPr>
  </w:style>
  <w:style w:type="paragraph" w:styleId="Revision">
    <w:name w:val="Revision"/>
    <w:hidden/>
    <w:uiPriority w:val="99"/>
    <w:semiHidden/>
    <w:rsid w:val="008838FD"/>
    <w:rPr>
      <w:rFonts w:ascii="Arial" w:hAnsi="Arial"/>
      <w:sz w:val="18"/>
      <w:szCs w:val="24"/>
      <w:lang w:val="en-GB" w:eastAsia="en-GB"/>
    </w:rPr>
  </w:style>
  <w:style w:type="paragraph" w:customStyle="1" w:styleId="CharCharChar">
    <w:name w:val="Char Char Char"/>
    <w:basedOn w:val="Normal"/>
    <w:rsid w:val="000D3A23"/>
    <w:pPr>
      <w:tabs>
        <w:tab w:val="num" w:pos="360"/>
      </w:tabs>
      <w:spacing w:after="160" w:line="240" w:lineRule="exact"/>
    </w:pPr>
    <w:rPr>
      <w:rFonts w:ascii="Verdana" w:eastAsia="Times New Roman" w:hAnsi="Verdana"/>
      <w:sz w:val="24"/>
      <w:lang w:val="en-US" w:eastAsia="en-US"/>
    </w:rPr>
  </w:style>
  <w:style w:type="paragraph" w:customStyle="1" w:styleId="Level3">
    <w:name w:val="Level 3"/>
    <w:basedOn w:val="Normal"/>
    <w:rsid w:val="000D3A23"/>
    <w:pPr>
      <w:tabs>
        <w:tab w:val="num" w:pos="1559"/>
      </w:tabs>
      <w:autoSpaceDE w:val="0"/>
      <w:autoSpaceDN w:val="0"/>
      <w:adjustRightInd w:val="0"/>
      <w:ind w:left="1559" w:hanging="567"/>
    </w:pPr>
    <w:rPr>
      <w:rFonts w:ascii="Times New Roman" w:eastAsia="Times New Roman" w:hAnsi="Times New Roman"/>
      <w:sz w:val="24"/>
      <w:lang w:eastAsia="en-US"/>
    </w:rPr>
  </w:style>
  <w:style w:type="paragraph" w:customStyle="1" w:styleId="DefinitionLev1">
    <w:name w:val="Definition Lev 1"/>
    <w:aliases w:val="D1"/>
    <w:basedOn w:val="BodyMainChar"/>
    <w:rsid w:val="000D3A23"/>
    <w:pPr>
      <w:tabs>
        <w:tab w:val="num" w:pos="360"/>
      </w:tabs>
    </w:pPr>
  </w:style>
  <w:style w:type="paragraph" w:customStyle="1" w:styleId="BodyMainChar">
    <w:name w:val="Body Main Char"/>
    <w:aliases w:val="BM Char"/>
    <w:basedOn w:val="Normal"/>
    <w:rsid w:val="000D3A23"/>
    <w:pPr>
      <w:autoSpaceDE w:val="0"/>
      <w:autoSpaceDN w:val="0"/>
      <w:adjustRightInd w:val="0"/>
      <w:spacing w:before="240"/>
      <w:ind w:firstLine="720"/>
      <w:jc w:val="both"/>
    </w:pPr>
    <w:rPr>
      <w:rFonts w:ascii="Times New Roman" w:eastAsia="Times New Roman" w:hAnsi="Times New Roman"/>
      <w:sz w:val="20"/>
      <w:szCs w:val="20"/>
      <w:lang w:eastAsia="en-US"/>
    </w:rPr>
  </w:style>
  <w:style w:type="paragraph" w:customStyle="1" w:styleId="DefinitionLev3">
    <w:name w:val="Definition Lev 3"/>
    <w:aliases w:val="D3"/>
    <w:basedOn w:val="BodyMainChar"/>
    <w:rsid w:val="000D3A23"/>
    <w:pPr>
      <w:numPr>
        <w:ilvl w:val="2"/>
      </w:numPr>
      <w:tabs>
        <w:tab w:val="num" w:pos="2779"/>
      </w:tabs>
      <w:ind w:left="1440" w:firstLine="979"/>
    </w:pPr>
  </w:style>
  <w:style w:type="character" w:styleId="PlaceholderText">
    <w:name w:val="Placeholder Text"/>
    <w:basedOn w:val="DefaultParagraphFont"/>
    <w:uiPriority w:val="99"/>
    <w:semiHidden/>
    <w:rsid w:val="00C819E0"/>
    <w:rPr>
      <w:color w:val="808080"/>
    </w:rPr>
  </w:style>
  <w:style w:type="paragraph" w:styleId="ListParagraph">
    <w:name w:val="List Paragraph"/>
    <w:basedOn w:val="Normal"/>
    <w:uiPriority w:val="34"/>
    <w:qFormat/>
    <w:rsid w:val="00BB3489"/>
    <w:pPr>
      <w:ind w:left="720"/>
      <w:contextualSpacing/>
    </w:pPr>
  </w:style>
  <w:style w:type="paragraph" w:customStyle="1" w:styleId="p5">
    <w:name w:val="p5"/>
    <w:basedOn w:val="Normal"/>
    <w:rsid w:val="00BF69E3"/>
    <w:pPr>
      <w:widowControl w:val="0"/>
      <w:tabs>
        <w:tab w:val="left" w:pos="204"/>
      </w:tabs>
      <w:autoSpaceDE w:val="0"/>
      <w:autoSpaceDN w:val="0"/>
      <w:adjustRightInd w:val="0"/>
    </w:pPr>
    <w:rPr>
      <w:rFonts w:ascii="Times New Roman" w:eastAsia="Times New Roman" w:hAnsi="Times New Roman"/>
      <w:sz w:val="24"/>
      <w:lang w:val="en-US" w:eastAsia="en-US"/>
    </w:rPr>
  </w:style>
  <w:style w:type="paragraph" w:customStyle="1" w:styleId="alpha1">
    <w:name w:val="alpha 1"/>
    <w:basedOn w:val="Normal"/>
    <w:rsid w:val="003E684C"/>
    <w:pPr>
      <w:numPr>
        <w:numId w:val="44"/>
      </w:numPr>
    </w:pPr>
    <w:rPr>
      <w:rFonts w:ascii="Times New Roman" w:eastAsia="Times New Roman" w:hAnsi="Times New Roman"/>
      <w:sz w:val="20"/>
      <w:szCs w:val="20"/>
    </w:rPr>
  </w:style>
  <w:style w:type="character" w:customStyle="1" w:styleId="FootnoteTextChar">
    <w:name w:val="Footnote Text Char"/>
    <w:aliases w:val="FT Char,Car Char,ft Char"/>
    <w:link w:val="FootnoteText"/>
    <w:rsid w:val="003E684C"/>
    <w:rPr>
      <w:rFonts w:ascii="Arial" w:eastAsia="Times New Roman" w:hAnsi="Arial"/>
      <w:lang w:val="en-GB"/>
    </w:rPr>
  </w:style>
  <w:style w:type="paragraph" w:customStyle="1" w:styleId="Def1">
    <w:name w:val="Def1"/>
    <w:aliases w:val="d1"/>
    <w:rsid w:val="003E684C"/>
    <w:pPr>
      <w:numPr>
        <w:numId w:val="48"/>
      </w:numPr>
      <w:spacing w:before="200" w:line="280" w:lineRule="atLeast"/>
      <w:jc w:val="both"/>
    </w:pPr>
    <w:rPr>
      <w:rFonts w:eastAsia="Times New Roman"/>
      <w:lang w:val="en-GB" w:eastAsia="en-US"/>
    </w:rPr>
  </w:style>
  <w:style w:type="paragraph" w:customStyle="1" w:styleId="Def2">
    <w:name w:val="Def2"/>
    <w:aliases w:val="d2"/>
    <w:rsid w:val="003E684C"/>
    <w:pPr>
      <w:numPr>
        <w:ilvl w:val="1"/>
        <w:numId w:val="48"/>
      </w:numPr>
      <w:spacing w:before="200" w:line="280" w:lineRule="atLeast"/>
      <w:jc w:val="both"/>
    </w:pPr>
    <w:rPr>
      <w:rFonts w:eastAsia="Times New Roman"/>
      <w:lang w:val="en-GB" w:eastAsia="en-US"/>
    </w:rPr>
  </w:style>
  <w:style w:type="paragraph" w:customStyle="1" w:styleId="Def3">
    <w:name w:val="Def3"/>
    <w:aliases w:val="d3"/>
    <w:rsid w:val="003E684C"/>
    <w:pPr>
      <w:spacing w:before="200" w:line="280" w:lineRule="atLeast"/>
      <w:jc w:val="both"/>
    </w:pPr>
    <w:rPr>
      <w:rFonts w:eastAsia="Times New Roman"/>
      <w:lang w:val="en-GB" w:eastAsia="en-US"/>
    </w:rPr>
  </w:style>
  <w:style w:type="paragraph" w:customStyle="1" w:styleId="Def4">
    <w:name w:val="Def4"/>
    <w:aliases w:val="d4"/>
    <w:rsid w:val="003E684C"/>
    <w:pPr>
      <w:numPr>
        <w:ilvl w:val="3"/>
        <w:numId w:val="48"/>
      </w:numPr>
      <w:spacing w:before="200" w:line="280" w:lineRule="atLeast"/>
      <w:jc w:val="both"/>
    </w:pPr>
    <w:rPr>
      <w:rFonts w:eastAsia="Times New Roman"/>
      <w:lang w:val="en-GB" w:eastAsia="en-US"/>
    </w:rPr>
  </w:style>
  <w:style w:type="paragraph" w:customStyle="1" w:styleId="Def5">
    <w:name w:val="Def5"/>
    <w:aliases w:val="d5"/>
    <w:rsid w:val="003E684C"/>
    <w:pPr>
      <w:numPr>
        <w:ilvl w:val="4"/>
        <w:numId w:val="48"/>
      </w:numPr>
      <w:spacing w:before="200" w:line="280" w:lineRule="atLeast"/>
      <w:jc w:val="both"/>
    </w:pPr>
    <w:rPr>
      <w:rFonts w:eastAsia="Times New Roman"/>
      <w:lang w:val="en-GB" w:eastAsia="en-US"/>
    </w:rPr>
  </w:style>
  <w:style w:type="paragraph" w:customStyle="1" w:styleId="Def6">
    <w:name w:val="Def6"/>
    <w:aliases w:val="d6"/>
    <w:rsid w:val="003E684C"/>
    <w:pPr>
      <w:numPr>
        <w:ilvl w:val="5"/>
        <w:numId w:val="48"/>
      </w:numPr>
      <w:spacing w:before="240" w:line="260" w:lineRule="atLeast"/>
      <w:jc w:val="both"/>
    </w:pPr>
    <w:rPr>
      <w:rFonts w:eastAsia="Times New Roman"/>
      <w:lang w:val="en-GB" w:eastAsia="en-US"/>
    </w:rPr>
  </w:style>
  <w:style w:type="paragraph" w:customStyle="1" w:styleId="Def7">
    <w:name w:val="Def7"/>
    <w:aliases w:val="d7"/>
    <w:basedOn w:val="Normal"/>
    <w:rsid w:val="003E684C"/>
    <w:pPr>
      <w:numPr>
        <w:ilvl w:val="6"/>
        <w:numId w:val="48"/>
      </w:numPr>
      <w:spacing w:before="200" w:line="280" w:lineRule="atLeast"/>
      <w:jc w:val="both"/>
    </w:pPr>
    <w:rPr>
      <w:rFonts w:ascii="Times New Roman" w:eastAsia="Times New Roman" w:hAnsi="Times New Roman"/>
      <w:sz w:val="20"/>
      <w:szCs w:val="22"/>
      <w:lang w:eastAsia="en-US"/>
    </w:rPr>
  </w:style>
  <w:style w:type="paragraph" w:customStyle="1" w:styleId="Def8">
    <w:name w:val="Def8"/>
    <w:aliases w:val="d8"/>
    <w:basedOn w:val="Normal"/>
    <w:rsid w:val="003E684C"/>
    <w:pPr>
      <w:numPr>
        <w:ilvl w:val="7"/>
        <w:numId w:val="48"/>
      </w:numPr>
      <w:spacing w:before="200" w:line="280" w:lineRule="atLeast"/>
      <w:jc w:val="both"/>
    </w:pPr>
    <w:rPr>
      <w:rFonts w:ascii="Times New Roman" w:eastAsia="Times New Roman" w:hAnsi="Times New Roman"/>
      <w:sz w:val="20"/>
      <w:szCs w:val="22"/>
      <w:lang w:eastAsia="en-US"/>
    </w:rPr>
  </w:style>
  <w:style w:type="paragraph" w:customStyle="1" w:styleId="Def9">
    <w:name w:val="Def9"/>
    <w:aliases w:val="d9"/>
    <w:basedOn w:val="Normal"/>
    <w:rsid w:val="003E684C"/>
    <w:pPr>
      <w:numPr>
        <w:ilvl w:val="8"/>
        <w:numId w:val="48"/>
      </w:numPr>
      <w:spacing w:before="200" w:line="280" w:lineRule="atLeast"/>
      <w:jc w:val="both"/>
    </w:pPr>
    <w:rPr>
      <w:rFonts w:ascii="Times New Roman" w:eastAsia="Times New Roman" w:hAnsi="Times New Roman"/>
      <w:sz w:val="20"/>
      <w:szCs w:val="22"/>
      <w:lang w:eastAsia="en-US"/>
    </w:rPr>
  </w:style>
  <w:style w:type="paragraph" w:customStyle="1" w:styleId="Defhead">
    <w:name w:val="Def head"/>
    <w:aliases w:val="dh"/>
    <w:rsid w:val="003E684C"/>
    <w:pPr>
      <w:numPr>
        <w:numId w:val="50"/>
      </w:numPr>
      <w:spacing w:before="120" w:line="240" w:lineRule="atLeast"/>
      <w:jc w:val="both"/>
    </w:pPr>
    <w:rPr>
      <w:rFonts w:ascii="Arial" w:eastAsia="Times New Roman" w:hAnsi="Arial"/>
      <w:lang w:val="en-GB" w:eastAsia="en-US"/>
    </w:rPr>
  </w:style>
  <w:style w:type="paragraph" w:customStyle="1" w:styleId="Defpara1">
    <w:name w:val="Def para1"/>
    <w:aliases w:val="dp1"/>
    <w:rsid w:val="003E684C"/>
    <w:pPr>
      <w:numPr>
        <w:ilvl w:val="1"/>
        <w:numId w:val="50"/>
      </w:numPr>
      <w:spacing w:before="120" w:line="240" w:lineRule="atLeast"/>
      <w:jc w:val="both"/>
    </w:pPr>
    <w:rPr>
      <w:rFonts w:ascii="Arial" w:eastAsia="Times New Roman" w:hAnsi="Arial"/>
      <w:lang w:val="en-GB" w:eastAsia="en-US"/>
    </w:rPr>
  </w:style>
  <w:style w:type="paragraph" w:customStyle="1" w:styleId="Defpara2">
    <w:name w:val="Def para2"/>
    <w:aliases w:val="dp2"/>
    <w:rsid w:val="003E684C"/>
    <w:pPr>
      <w:numPr>
        <w:ilvl w:val="2"/>
        <w:numId w:val="50"/>
      </w:numPr>
      <w:spacing w:before="120" w:line="240" w:lineRule="atLeast"/>
      <w:jc w:val="both"/>
    </w:pPr>
    <w:rPr>
      <w:rFonts w:ascii="Arial" w:eastAsia="Times New Roman" w:hAnsi="Arial"/>
      <w:lang w:val="en-GB" w:eastAsia="en-US"/>
    </w:rPr>
  </w:style>
  <w:style w:type="paragraph" w:customStyle="1" w:styleId="Defpara3">
    <w:name w:val="Def para3"/>
    <w:aliases w:val="dp3"/>
    <w:rsid w:val="003E684C"/>
    <w:pPr>
      <w:numPr>
        <w:ilvl w:val="3"/>
        <w:numId w:val="50"/>
      </w:numPr>
      <w:spacing w:before="120" w:line="240" w:lineRule="atLeast"/>
      <w:jc w:val="both"/>
    </w:pPr>
    <w:rPr>
      <w:rFonts w:ascii="Arial" w:eastAsia="Times New Roman" w:hAnsi="Arial"/>
      <w:lang w:val="en-GB" w:eastAsia="en-US"/>
    </w:rPr>
  </w:style>
  <w:style w:type="paragraph" w:customStyle="1" w:styleId="Defpara4">
    <w:name w:val="Def para4"/>
    <w:aliases w:val="def para4,dp4"/>
    <w:rsid w:val="003E684C"/>
    <w:pPr>
      <w:numPr>
        <w:ilvl w:val="4"/>
        <w:numId w:val="50"/>
      </w:numPr>
      <w:spacing w:before="120" w:line="240" w:lineRule="atLeast"/>
      <w:jc w:val="both"/>
    </w:pPr>
    <w:rPr>
      <w:rFonts w:ascii="Arial" w:eastAsia="Times New Roman" w:hAnsi="Arial"/>
      <w:lang w:val="en-GB" w:eastAsia="en-US"/>
    </w:rPr>
  </w:style>
  <w:style w:type="paragraph" w:customStyle="1" w:styleId="Defpara5">
    <w:name w:val="Def para5"/>
    <w:aliases w:val="def para5,dp5"/>
    <w:rsid w:val="003E684C"/>
    <w:pPr>
      <w:numPr>
        <w:ilvl w:val="5"/>
        <w:numId w:val="50"/>
      </w:numPr>
      <w:spacing w:before="120" w:line="240" w:lineRule="atLeast"/>
      <w:jc w:val="both"/>
    </w:pPr>
    <w:rPr>
      <w:rFonts w:ascii="Arial" w:eastAsia="Times New Roman" w:hAnsi="Arial"/>
      <w:lang w:val="en-GB" w:eastAsia="en-US"/>
    </w:rPr>
  </w:style>
  <w:style w:type="paragraph" w:customStyle="1" w:styleId="Defpara6">
    <w:name w:val="Def para6"/>
    <w:aliases w:val="def para6,dp6"/>
    <w:rsid w:val="003E684C"/>
    <w:pPr>
      <w:numPr>
        <w:ilvl w:val="6"/>
        <w:numId w:val="50"/>
      </w:numPr>
      <w:spacing w:before="120" w:line="240" w:lineRule="atLeast"/>
      <w:jc w:val="both"/>
    </w:pPr>
    <w:rPr>
      <w:rFonts w:ascii="Arial" w:eastAsia="Times New Roman" w:hAnsi="Arial"/>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07077">
      <w:bodyDiv w:val="1"/>
      <w:marLeft w:val="0"/>
      <w:marRight w:val="0"/>
      <w:marTop w:val="0"/>
      <w:marBottom w:val="0"/>
      <w:divBdr>
        <w:top w:val="none" w:sz="0" w:space="0" w:color="auto"/>
        <w:left w:val="none" w:sz="0" w:space="0" w:color="auto"/>
        <w:bottom w:val="none" w:sz="0" w:space="0" w:color="auto"/>
        <w:right w:val="none" w:sz="0" w:space="0" w:color="auto"/>
      </w:divBdr>
    </w:div>
    <w:div w:id="774786830">
      <w:bodyDiv w:val="1"/>
      <w:marLeft w:val="0"/>
      <w:marRight w:val="0"/>
      <w:marTop w:val="0"/>
      <w:marBottom w:val="0"/>
      <w:divBdr>
        <w:top w:val="none" w:sz="0" w:space="0" w:color="auto"/>
        <w:left w:val="none" w:sz="0" w:space="0" w:color="auto"/>
        <w:bottom w:val="none" w:sz="0" w:space="0" w:color="auto"/>
        <w:right w:val="none" w:sz="0" w:space="0" w:color="auto"/>
      </w:divBdr>
    </w:div>
    <w:div w:id="135321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F3368-1113-43E9-AA48-49CD19A35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6669</Words>
  <Characters>36083</Characters>
  <Application>Microsoft Office Word</Application>
  <DocSecurity>0</DocSecurity>
  <PresentationFormat>[Compatibility Mode]</PresentationFormat>
  <Lines>300</Lines>
  <Paragraphs>85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BNP bonus enhanced index swap - counterparty TS 20140908 (00181082).DOC</vt:lpstr>
      <vt:lpstr>BNP bonus enhanced index swap - counterparty TS 20140908 (00181082).DOC</vt:lpstr>
    </vt:vector>
  </TitlesOfParts>
  <Company>BNP Paribas</Company>
  <LinksUpToDate>false</LinksUpToDate>
  <CharactersWithSpaces>42667</CharactersWithSpaces>
  <SharedDoc>false</SharedDoc>
  <HLinks>
    <vt:vector size="6" baseType="variant">
      <vt:variant>
        <vt:i4>5242906</vt:i4>
      </vt:variant>
      <vt:variant>
        <vt:i4>24</vt:i4>
      </vt:variant>
      <vt:variant>
        <vt:i4>0</vt:i4>
      </vt:variant>
      <vt:variant>
        <vt:i4>5</vt:i4>
      </vt:variant>
      <vt:variant>
        <vt:lpwstr>https://globalmarkets.bnpparibas.com/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BNP bonus enhanced index swap - counterparty TS 20140908 (00181082).DOC</dc:title>
  <dc:subject/>
  <dc:creator>demellweekd</dc:creator>
  <cp:keywords>Classification=Confidential</cp:keywords>
  <dc:description/>
  <cp:lastModifiedBy>Ryan S KIM</cp:lastModifiedBy>
  <cp:revision>3</cp:revision>
  <cp:lastPrinted>2021-08-30T12:17:00Z</cp:lastPrinted>
  <dcterms:created xsi:type="dcterms:W3CDTF">2024-01-04T10:51:00Z</dcterms:created>
  <dcterms:modified xsi:type="dcterms:W3CDTF">2024-01-04T10:59:00Z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GEAAO+/T9t20xwnfeD6+zh9/VCvsp80kCSf4m/KlulzHiZFHSoEIU0sJqKdS2n+7mel1T37mAfsC38Fl_x000d_
VhQtkAze4pcpo+qTPN84fdz08W6LweHC9UPBdPAIEx/5KnMP9fJWaCWM7OSGzkGb0JEZW1SiNlgw_x000d_
XkeIJIFIOkxL4C3RFxeQ0XKGyb8tEPQWeEMbE4zEQerqHlK41KFkPYCvtBDKMC3+UlizRonhmaAx_x000d_
5GjWk8ppCw0aFg/G7</vt:lpwstr>
  </property>
  <property fmtid="{D5CDD505-2E9C-101B-9397-08002B2CF9AE}" pid="3" name="MAIL_MSG_ID2">
    <vt:lpwstr>l4quDNSZC6T</vt:lpwstr>
  </property>
  <property fmtid="{D5CDD505-2E9C-101B-9397-08002B2CF9AE}" pid="4" name="RESPONSE_SENDER_NAME">
    <vt:lpwstr>gAAAdya76B99d4hLGUR1rQ+8TxTv0GGEPdix</vt:lpwstr>
  </property>
  <property fmtid="{D5CDD505-2E9C-101B-9397-08002B2CF9AE}" pid="5" name="EMAIL_OWNER_ADDRESS">
    <vt:lpwstr>ABAAVOAfoSrQoyzhP/mQaZmLSilsx7Tb5JkR4AxpZYA0lhPwOPHj2f3OIv8PT/oGPSje</vt:lpwstr>
  </property>
  <property fmtid="{D5CDD505-2E9C-101B-9397-08002B2CF9AE}" pid="6" name="TitusGUID">
    <vt:lpwstr>87ed0278-0e99-46de-ad47-a4e1969efbe6</vt:lpwstr>
  </property>
  <property fmtid="{D5CDD505-2E9C-101B-9397-08002B2CF9AE}" pid="7" name="db.comClassification">
    <vt:lpwstr>Public</vt:lpwstr>
  </property>
  <property fmtid="{D5CDD505-2E9C-101B-9397-08002B2CF9AE}" pid="8" name="NSCPROP_SA">
    <vt:lpwstr>C:\Users\Administrator\Desktop\Works in progress\210607 자체헤지 TRS (BNP)\Samsung Sec - GRM - Sample TS - clean (002).docx</vt:lpwstr>
  </property>
  <property fmtid="{D5CDD505-2E9C-101B-9397-08002B2CF9AE}" pid="9" name="Classification">
    <vt:lpwstr>Confidential</vt:lpwstr>
  </property>
  <property fmtid="{D5CDD505-2E9C-101B-9397-08002B2CF9AE}" pid="10" name="VISUALMARKING">
    <vt:lpwstr>None</vt:lpwstr>
  </property>
  <property fmtid="{D5CDD505-2E9C-101B-9397-08002B2CF9AE}" pid="11" name="MSIP_Label_48ed5431-0ab7-4c1b-98f4-d4e50f674d02_Enabled">
    <vt:lpwstr>true</vt:lpwstr>
  </property>
  <property fmtid="{D5CDD505-2E9C-101B-9397-08002B2CF9AE}" pid="12" name="MSIP_Label_48ed5431-0ab7-4c1b-98f4-d4e50f674d02_SetDate">
    <vt:lpwstr>2024-01-04T10:58:06Z</vt:lpwstr>
  </property>
  <property fmtid="{D5CDD505-2E9C-101B-9397-08002B2CF9AE}" pid="13" name="MSIP_Label_48ed5431-0ab7-4c1b-98f4-d4e50f674d02_Method">
    <vt:lpwstr>Privileged</vt:lpwstr>
  </property>
  <property fmtid="{D5CDD505-2E9C-101B-9397-08002B2CF9AE}" pid="14" name="MSIP_Label_48ed5431-0ab7-4c1b-98f4-d4e50f674d02_Name">
    <vt:lpwstr>48ed5431-0ab7-4c1b-98f4-d4e50f674d02</vt:lpwstr>
  </property>
  <property fmtid="{D5CDD505-2E9C-101B-9397-08002B2CF9AE}" pid="15" name="MSIP_Label_48ed5431-0ab7-4c1b-98f4-d4e50f674d02_SiteId">
    <vt:lpwstr>614f9c25-bffa-42c7-86d8-964101f55fa2</vt:lpwstr>
  </property>
  <property fmtid="{D5CDD505-2E9C-101B-9397-08002B2CF9AE}" pid="16" name="MSIP_Label_48ed5431-0ab7-4c1b-98f4-d4e50f674d02_ActionId">
    <vt:lpwstr>6afa8784-474a-4b79-be23-edccb5697e7d</vt:lpwstr>
  </property>
  <property fmtid="{D5CDD505-2E9C-101B-9397-08002B2CF9AE}" pid="17" name="MSIP_Label_48ed5431-0ab7-4c1b-98f4-d4e50f674d02_ContentBits">
    <vt:lpwstr>0</vt:lpwstr>
  </property>
</Properties>
</file>