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696" w:rsidRPr="00CC1696" w:rsidRDefault="00CC1696" w:rsidP="00CC1696">
      <w:pPr>
        <w:shd w:val="clear" w:color="auto" w:fill="FFFFFF"/>
        <w:spacing w:after="336" w:line="240" w:lineRule="auto"/>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Inventories are assets:</w:t>
      </w:r>
    </w:p>
    <w:p w:rsidR="00CC1696" w:rsidRPr="00CC1696" w:rsidRDefault="00CC1696" w:rsidP="00CC1696">
      <w:pPr>
        <w:numPr>
          <w:ilvl w:val="0"/>
          <w:numId w:val="1"/>
        </w:numPr>
        <w:shd w:val="clear" w:color="auto" w:fill="FFFFFF"/>
        <w:spacing w:after="0" w:line="240" w:lineRule="auto"/>
        <w:ind w:left="0"/>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held for sale in the ordinary course of business;</w:t>
      </w:r>
    </w:p>
    <w:p w:rsidR="00CC1696" w:rsidRPr="00CC1696" w:rsidRDefault="00CC1696" w:rsidP="00CC1696">
      <w:pPr>
        <w:numPr>
          <w:ilvl w:val="0"/>
          <w:numId w:val="1"/>
        </w:numPr>
        <w:shd w:val="clear" w:color="auto" w:fill="FFFFFF"/>
        <w:spacing w:after="0" w:line="240" w:lineRule="auto"/>
        <w:ind w:left="0"/>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in the process of production for such sale; or</w:t>
      </w:r>
    </w:p>
    <w:p w:rsidR="00CC1696" w:rsidRPr="00CC1696" w:rsidRDefault="00CC1696" w:rsidP="00CC1696">
      <w:pPr>
        <w:numPr>
          <w:ilvl w:val="0"/>
          <w:numId w:val="1"/>
        </w:numPr>
        <w:shd w:val="clear" w:color="auto" w:fill="FFFFFF"/>
        <w:spacing w:after="0" w:line="240" w:lineRule="auto"/>
        <w:ind w:left="0"/>
        <w:rPr>
          <w:rFonts w:ascii="Arial" w:eastAsia="Times New Roman" w:hAnsi="Arial" w:cs="Arial"/>
          <w:color w:val="353434"/>
          <w:sz w:val="27"/>
          <w:szCs w:val="27"/>
          <w:lang w:eastAsia="en-ZW"/>
        </w:rPr>
      </w:pPr>
      <w:proofErr w:type="gramStart"/>
      <w:r w:rsidRPr="00CC1696">
        <w:rPr>
          <w:rFonts w:ascii="Arial" w:eastAsia="Times New Roman" w:hAnsi="Arial" w:cs="Arial"/>
          <w:color w:val="353434"/>
          <w:sz w:val="27"/>
          <w:szCs w:val="27"/>
          <w:lang w:eastAsia="en-ZW"/>
        </w:rPr>
        <w:t>in</w:t>
      </w:r>
      <w:proofErr w:type="gramEnd"/>
      <w:r w:rsidRPr="00CC1696">
        <w:rPr>
          <w:rFonts w:ascii="Arial" w:eastAsia="Times New Roman" w:hAnsi="Arial" w:cs="Arial"/>
          <w:color w:val="353434"/>
          <w:sz w:val="27"/>
          <w:szCs w:val="27"/>
          <w:lang w:eastAsia="en-ZW"/>
        </w:rPr>
        <w:t xml:space="preserve"> the form of materials or supplies to be consumed in the production process or in the rendering of services.</w:t>
      </w:r>
    </w:p>
    <w:p w:rsidR="00CC1696" w:rsidRPr="00CC1696" w:rsidRDefault="00CC1696" w:rsidP="00CC1696">
      <w:pPr>
        <w:shd w:val="clear" w:color="auto" w:fill="FFFFFF"/>
        <w:spacing w:after="0" w:line="240" w:lineRule="auto"/>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Inventory can be a significant figure for some businesses, e.g. manufacturing companies.</w:t>
      </w:r>
    </w:p>
    <w:p w:rsidR="00CC1696" w:rsidRPr="00CC1696" w:rsidRDefault="00CC1696" w:rsidP="00CC1696">
      <w:pPr>
        <w:shd w:val="clear" w:color="auto" w:fill="FFECD0"/>
        <w:spacing w:after="100" w:line="240" w:lineRule="auto"/>
        <w:textAlignment w:val="center"/>
        <w:rPr>
          <w:rFonts w:ascii="Times New Roman" w:eastAsia="Times New Roman" w:hAnsi="Times New Roman" w:cs="Times New Roman"/>
          <w:color w:val="555555"/>
          <w:sz w:val="24"/>
          <w:szCs w:val="24"/>
          <w:lang w:eastAsia="en-ZW"/>
        </w:rPr>
      </w:pPr>
      <w:r w:rsidRPr="00CC1696">
        <w:rPr>
          <w:rFonts w:ascii="Times New Roman" w:eastAsia="Times New Roman" w:hAnsi="Times New Roman" w:cs="Times New Roman"/>
          <w:color w:val="555555"/>
          <w:sz w:val="24"/>
          <w:szCs w:val="24"/>
          <w:lang w:eastAsia="en-ZW"/>
        </w:rPr>
        <w:t xml:space="preserve">‏ </w:t>
      </w:r>
    </w:p>
    <w:p w:rsidR="00CC1696" w:rsidRPr="00CC1696" w:rsidRDefault="00CC1696" w:rsidP="00CC1696">
      <w:pPr>
        <w:shd w:val="clear" w:color="auto" w:fill="FFFFFF"/>
        <w:spacing w:after="240" w:line="240" w:lineRule="auto"/>
        <w:outlineLvl w:val="3"/>
        <w:rPr>
          <w:rFonts w:ascii="Arial" w:eastAsia="Times New Roman" w:hAnsi="Arial" w:cs="Arial"/>
          <w:color w:val="353434"/>
          <w:sz w:val="24"/>
          <w:szCs w:val="24"/>
          <w:lang w:eastAsia="en-ZW"/>
        </w:rPr>
      </w:pPr>
      <w:r w:rsidRPr="00CC1696">
        <w:rPr>
          <w:rFonts w:ascii="Arial" w:eastAsia="Times New Roman" w:hAnsi="Arial" w:cs="Arial"/>
          <w:color w:val="353434"/>
          <w:sz w:val="24"/>
          <w:szCs w:val="24"/>
          <w:lang w:eastAsia="en-ZW"/>
        </w:rPr>
        <w:t>It affects the financial statement in two ways:</w:t>
      </w:r>
    </w:p>
    <w:p w:rsidR="00CC1696" w:rsidRPr="00CC1696" w:rsidRDefault="00CC1696" w:rsidP="00CC1696">
      <w:pPr>
        <w:numPr>
          <w:ilvl w:val="0"/>
          <w:numId w:val="2"/>
        </w:numPr>
        <w:shd w:val="clear" w:color="auto" w:fill="FFFFFF"/>
        <w:spacing w:after="0" w:line="240" w:lineRule="auto"/>
        <w:ind w:left="0"/>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Statement of financial position: it is included as a current asset</w:t>
      </w:r>
    </w:p>
    <w:p w:rsidR="00CC1696" w:rsidRPr="00CC1696" w:rsidRDefault="00CC1696" w:rsidP="00CC1696">
      <w:pPr>
        <w:numPr>
          <w:ilvl w:val="0"/>
          <w:numId w:val="2"/>
        </w:numPr>
        <w:shd w:val="clear" w:color="auto" w:fill="FFFFFF"/>
        <w:spacing w:after="336" w:line="240" w:lineRule="auto"/>
        <w:ind w:left="0"/>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Statement of profit or loss: </w:t>
      </w:r>
    </w:p>
    <w:p w:rsidR="00CC1696" w:rsidRPr="00CC1696" w:rsidRDefault="00CC1696" w:rsidP="00CC1696">
      <w:pPr>
        <w:shd w:val="clear" w:color="auto" w:fill="FFFFFF"/>
        <w:spacing w:after="336" w:line="240" w:lineRule="auto"/>
        <w:rPr>
          <w:rFonts w:ascii="Arial" w:eastAsia="Times New Roman" w:hAnsi="Arial" w:cs="Arial"/>
          <w:color w:val="353434"/>
          <w:sz w:val="27"/>
          <w:szCs w:val="27"/>
          <w:lang w:eastAsia="en-ZW"/>
        </w:rPr>
      </w:pPr>
      <w:proofErr w:type="gramStart"/>
      <w:r w:rsidRPr="00CC1696">
        <w:rPr>
          <w:rFonts w:ascii="Arial" w:eastAsia="Times New Roman" w:hAnsi="Arial" w:cs="Arial"/>
          <w:color w:val="353434"/>
          <w:sz w:val="27"/>
          <w:szCs w:val="27"/>
          <w:lang w:eastAsia="en-ZW"/>
        </w:rPr>
        <w:t>opening</w:t>
      </w:r>
      <w:proofErr w:type="gramEnd"/>
      <w:r w:rsidRPr="00CC1696">
        <w:rPr>
          <w:rFonts w:ascii="Arial" w:eastAsia="Times New Roman" w:hAnsi="Arial" w:cs="Arial"/>
          <w:color w:val="353434"/>
          <w:sz w:val="27"/>
          <w:szCs w:val="27"/>
          <w:lang w:eastAsia="en-ZW"/>
        </w:rPr>
        <w:t xml:space="preserve"> and closing inventory have a direct impact on cost of sales and therefore profits. </w:t>
      </w:r>
    </w:p>
    <w:p w:rsidR="00CC1696" w:rsidRPr="00CC1696" w:rsidRDefault="00CC1696" w:rsidP="00CC1696">
      <w:pPr>
        <w:shd w:val="clear" w:color="auto" w:fill="FFFFFF"/>
        <w:spacing w:after="0" w:line="240" w:lineRule="auto"/>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(The cost of goods sold is calculated as: Opening inventory + Purchases – Closing inventory).</w:t>
      </w:r>
    </w:p>
    <w:p w:rsidR="00CC1696" w:rsidRPr="00CC1696" w:rsidRDefault="00CC1696" w:rsidP="00CC1696">
      <w:pPr>
        <w:shd w:val="clear" w:color="auto" w:fill="FFFFFF"/>
        <w:spacing w:after="240" w:line="240" w:lineRule="auto"/>
        <w:outlineLvl w:val="3"/>
        <w:rPr>
          <w:rFonts w:ascii="Arial" w:eastAsia="Times New Roman" w:hAnsi="Arial" w:cs="Arial"/>
          <w:color w:val="353434"/>
          <w:sz w:val="24"/>
          <w:szCs w:val="24"/>
          <w:lang w:eastAsia="en-ZW"/>
        </w:rPr>
      </w:pPr>
      <w:r w:rsidRPr="00CC1696">
        <w:rPr>
          <w:rFonts w:ascii="Arial" w:eastAsia="Times New Roman" w:hAnsi="Arial" w:cs="Arial"/>
          <w:color w:val="353434"/>
          <w:sz w:val="24"/>
          <w:szCs w:val="24"/>
          <w:lang w:eastAsia="en-ZW"/>
        </w:rPr>
        <w:t>All businesses must therefore ensure that their financial statements account for inventory accurately in terms of:</w:t>
      </w:r>
    </w:p>
    <w:p w:rsidR="00CC1696" w:rsidRPr="00CC1696" w:rsidRDefault="00CC1696" w:rsidP="00CC1696">
      <w:pPr>
        <w:numPr>
          <w:ilvl w:val="0"/>
          <w:numId w:val="3"/>
        </w:numPr>
        <w:shd w:val="clear" w:color="auto" w:fill="FFFFFF"/>
        <w:spacing w:after="0" w:line="240" w:lineRule="auto"/>
        <w:ind w:left="0"/>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the accounting adjustment</w:t>
      </w:r>
    </w:p>
    <w:p w:rsidR="00CC1696" w:rsidRPr="00CC1696" w:rsidRDefault="00CC1696" w:rsidP="00CC1696">
      <w:pPr>
        <w:numPr>
          <w:ilvl w:val="0"/>
          <w:numId w:val="3"/>
        </w:numPr>
        <w:shd w:val="clear" w:color="auto" w:fill="FFFFFF"/>
        <w:spacing w:after="0" w:line="240" w:lineRule="auto"/>
        <w:ind w:left="0"/>
        <w:rPr>
          <w:rFonts w:ascii="Arial" w:eastAsia="Times New Roman" w:hAnsi="Arial" w:cs="Arial"/>
          <w:color w:val="353434"/>
          <w:sz w:val="27"/>
          <w:szCs w:val="27"/>
          <w:lang w:eastAsia="en-ZW"/>
        </w:rPr>
      </w:pPr>
      <w:r w:rsidRPr="00CC1696">
        <w:rPr>
          <w:rFonts w:ascii="Arial" w:eastAsia="Times New Roman" w:hAnsi="Arial" w:cs="Arial"/>
          <w:color w:val="353434"/>
          <w:sz w:val="27"/>
          <w:szCs w:val="27"/>
          <w:lang w:eastAsia="en-ZW"/>
        </w:rPr>
        <w:t>its valuation</w:t>
      </w:r>
    </w:p>
    <w:p w:rsidR="00C150FA" w:rsidRDefault="00E27AF5"/>
    <w:p w:rsidR="00CC1696" w:rsidRDefault="00CC1696" w:rsidP="00CC1696">
      <w:pPr>
        <w:pStyle w:val="Heading3"/>
        <w:shd w:val="clear" w:color="auto" w:fill="FFFFFF"/>
        <w:spacing w:before="0" w:after="240"/>
        <w:rPr>
          <w:rFonts w:ascii="Arial" w:hAnsi="Arial" w:cs="Arial"/>
          <w:color w:val="353434"/>
        </w:rPr>
      </w:pPr>
      <w:r>
        <w:rPr>
          <w:rFonts w:ascii="Arial" w:hAnsi="Arial" w:cs="Arial"/>
          <w:b/>
          <w:bCs/>
          <w:color w:val="353434"/>
        </w:rPr>
        <w:t>Opening Inventories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These are the goods held by the business at the beginning of the year. </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However, such goods will normally have been sold during the year. </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They are no longer an asset of the entity but will form part of the costs that should be matched against sales revenue when determining profit.</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Therefore, opening inventories brought forward in the inventory account are transferred to the trading account. </w:t>
      </w:r>
    </w:p>
    <w:p w:rsidR="00CC1696" w:rsidRP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The accounting entry is</w:t>
      </w:r>
      <w:proofErr w:type="gramStart"/>
      <w:r>
        <w:rPr>
          <w:rFonts w:ascii="Arial" w:hAnsi="Arial" w:cs="Arial"/>
          <w:color w:val="353434"/>
          <w:sz w:val="27"/>
          <w:szCs w:val="27"/>
        </w:rPr>
        <w:t>:</w:t>
      </w:r>
      <w:proofErr w:type="gramEnd"/>
      <w:r>
        <w:rPr>
          <w:rFonts w:ascii="Arial" w:hAnsi="Arial" w:cs="Arial"/>
          <w:color w:val="353434"/>
          <w:sz w:val="27"/>
          <w:szCs w:val="27"/>
        </w:rPr>
        <w:br/>
      </w:r>
      <w:r>
        <w:rPr>
          <w:rFonts w:ascii="Arial" w:hAnsi="Arial" w:cs="Arial"/>
          <w:b/>
          <w:bCs/>
          <w:color w:val="353434"/>
          <w:sz w:val="27"/>
          <w:szCs w:val="27"/>
        </w:rPr>
        <w:br/>
        <w:t>Dr Cost of s</w:t>
      </w:r>
      <w:r>
        <w:rPr>
          <w:rFonts w:ascii="Arial" w:hAnsi="Arial" w:cs="Arial"/>
          <w:b/>
          <w:bCs/>
          <w:color w:val="353434"/>
          <w:sz w:val="27"/>
          <w:szCs w:val="27"/>
        </w:rPr>
        <w:t>ales (I/S)</w:t>
      </w:r>
      <w:r>
        <w:rPr>
          <w:rFonts w:ascii="Arial" w:hAnsi="Arial" w:cs="Arial"/>
          <w:b/>
          <w:bCs/>
          <w:color w:val="353434"/>
          <w:sz w:val="27"/>
          <w:szCs w:val="27"/>
        </w:rPr>
        <w:br/>
        <w:t xml:space="preserve">Cr Inventories </w:t>
      </w:r>
    </w:p>
    <w:p w:rsidR="00CC1696" w:rsidRDefault="00CC1696" w:rsidP="00CC1696">
      <w:pPr>
        <w:shd w:val="clear" w:color="auto" w:fill="4E8336"/>
        <w:rPr>
          <w:color w:val="FFFFFF"/>
        </w:rPr>
      </w:pPr>
    </w:p>
    <w:p w:rsidR="00CC1696" w:rsidRDefault="00CC1696" w:rsidP="00CC1696">
      <w:pPr>
        <w:pStyle w:val="Heading4"/>
        <w:shd w:val="clear" w:color="auto" w:fill="FFFFFF"/>
        <w:spacing w:before="0" w:beforeAutospacing="0" w:after="240" w:afterAutospacing="0"/>
        <w:rPr>
          <w:rFonts w:ascii="Arial" w:hAnsi="Arial" w:cs="Arial"/>
          <w:b w:val="0"/>
          <w:bCs w:val="0"/>
          <w:color w:val="353434"/>
        </w:rPr>
      </w:pPr>
      <w:r>
        <w:rPr>
          <w:rFonts w:ascii="Arial" w:hAnsi="Arial" w:cs="Arial"/>
          <w:b w:val="0"/>
          <w:bCs w:val="0"/>
          <w:color w:val="353434"/>
        </w:rPr>
        <w:t>Closing Inventories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lastRenderedPageBreak/>
        <w:t>Goods might be unsold at the end of an accounting period and so still be held in inventory. </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 value of closing inventories is accounted for in the nominal ledger by debiting an inventory account and crediting the trading account at the end of an accounting period. </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Inventory will therefore have a debit balance at the end of a period, and this balance will be shown in the statement of financial position as a current asset.</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The accounting entry is</w:t>
      </w:r>
      <w:proofErr w:type="gramStart"/>
      <w:r>
        <w:rPr>
          <w:rFonts w:ascii="Arial" w:hAnsi="Arial" w:cs="Arial"/>
          <w:color w:val="353434"/>
          <w:sz w:val="27"/>
          <w:szCs w:val="27"/>
        </w:rPr>
        <w:t>:</w:t>
      </w:r>
      <w:proofErr w:type="gramEnd"/>
      <w:r>
        <w:rPr>
          <w:rFonts w:ascii="Arial" w:hAnsi="Arial" w:cs="Arial"/>
          <w:color w:val="353434"/>
          <w:sz w:val="27"/>
          <w:szCs w:val="27"/>
        </w:rPr>
        <w:br/>
      </w:r>
      <w:r>
        <w:rPr>
          <w:rFonts w:ascii="Arial" w:hAnsi="Arial" w:cs="Arial"/>
          <w:b/>
          <w:bCs/>
          <w:color w:val="353434"/>
          <w:sz w:val="27"/>
          <w:szCs w:val="27"/>
        </w:rPr>
        <w:br/>
        <w:t>Dr Inventories (SOFP)</w:t>
      </w:r>
      <w:r>
        <w:rPr>
          <w:rFonts w:ascii="Arial" w:hAnsi="Arial" w:cs="Arial"/>
          <w:b/>
          <w:bCs/>
          <w:color w:val="353434"/>
          <w:sz w:val="27"/>
          <w:szCs w:val="27"/>
        </w:rPr>
        <w:br/>
        <w:t>Cr Cost of sales (I/S)</w:t>
      </w:r>
    </w:p>
    <w:p w:rsidR="00CC1696" w:rsidRDefault="00CC1696"/>
    <w:p w:rsidR="00CC1696" w:rsidRDefault="00CC1696" w:rsidP="00CC1696">
      <w:pPr>
        <w:pStyle w:val="Heading3"/>
        <w:shd w:val="clear" w:color="auto" w:fill="FFFFFF"/>
        <w:spacing w:before="0" w:after="240"/>
        <w:rPr>
          <w:rFonts w:ascii="Arial" w:hAnsi="Arial" w:cs="Arial"/>
          <w:color w:val="353434"/>
        </w:rPr>
      </w:pPr>
      <w:r>
        <w:rPr>
          <w:rFonts w:ascii="Arial" w:hAnsi="Arial" w:cs="Arial"/>
          <w:b/>
          <w:bCs/>
          <w:color w:val="353434"/>
        </w:rPr>
        <w:t>The alternative methods of valuing inventory</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 inventories figure is made up of two elements</w:t>
      </w:r>
    </w:p>
    <w:p w:rsidR="00CC1696" w:rsidRDefault="00CC1696" w:rsidP="00CC1696">
      <w:pPr>
        <w:pStyle w:val="NormalWeb"/>
        <w:numPr>
          <w:ilvl w:val="0"/>
          <w:numId w:val="4"/>
        </w:numPr>
        <w:shd w:val="clear" w:color="auto" w:fill="FFFFFF"/>
        <w:spacing w:before="0" w:beforeAutospacing="0" w:after="336" w:afterAutospacing="0"/>
        <w:ind w:left="0"/>
        <w:rPr>
          <w:rFonts w:ascii="Arial" w:hAnsi="Arial" w:cs="Arial"/>
          <w:color w:val="353434"/>
          <w:sz w:val="27"/>
          <w:szCs w:val="27"/>
        </w:rPr>
      </w:pPr>
      <w:r>
        <w:rPr>
          <w:rFonts w:ascii="Arial" w:hAnsi="Arial" w:cs="Arial"/>
          <w:color w:val="353434"/>
          <w:sz w:val="27"/>
          <w:szCs w:val="27"/>
        </w:rPr>
        <w:t>Quantity</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 xml:space="preserve">The quantity of inventories held at the </w:t>
      </w:r>
      <w:proofErr w:type="spellStart"/>
      <w:r>
        <w:rPr>
          <w:rFonts w:ascii="Arial" w:hAnsi="Arial" w:cs="Arial"/>
          <w:color w:val="353434"/>
          <w:sz w:val="27"/>
          <w:szCs w:val="27"/>
        </w:rPr>
        <w:t>year end</w:t>
      </w:r>
      <w:proofErr w:type="spellEnd"/>
      <w:r>
        <w:rPr>
          <w:rFonts w:ascii="Arial" w:hAnsi="Arial" w:cs="Arial"/>
          <w:color w:val="353434"/>
          <w:sz w:val="27"/>
          <w:szCs w:val="27"/>
        </w:rPr>
        <w:t xml:space="preserve"> is established by means of a physical count of inventory in an annual counting exercise, or by a 'continuous' inventory count.</w:t>
      </w:r>
    </w:p>
    <w:p w:rsidR="00CC1696" w:rsidRDefault="00CC1696" w:rsidP="00CC1696">
      <w:pPr>
        <w:pStyle w:val="NormalWeb"/>
        <w:numPr>
          <w:ilvl w:val="0"/>
          <w:numId w:val="4"/>
        </w:numPr>
        <w:shd w:val="clear" w:color="auto" w:fill="FFFFFF"/>
        <w:spacing w:before="0" w:beforeAutospacing="0" w:after="336" w:afterAutospacing="0"/>
        <w:ind w:left="0"/>
        <w:rPr>
          <w:rFonts w:ascii="Arial" w:hAnsi="Arial" w:cs="Arial"/>
          <w:color w:val="353434"/>
          <w:sz w:val="27"/>
          <w:szCs w:val="27"/>
        </w:rPr>
      </w:pPr>
      <w:r>
        <w:rPr>
          <w:rFonts w:ascii="Arial" w:hAnsi="Arial" w:cs="Arial"/>
          <w:color w:val="353434"/>
          <w:sz w:val="27"/>
          <w:szCs w:val="27"/>
        </w:rPr>
        <w:t>Valuation</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The basic rule as per IAS 2 “Inventories” states that: </w:t>
      </w:r>
      <w:r>
        <w:rPr>
          <w:rFonts w:ascii="Arial" w:hAnsi="Arial" w:cs="Arial"/>
          <w:color w:val="353434"/>
          <w:sz w:val="27"/>
          <w:szCs w:val="27"/>
        </w:rPr>
        <w:br/>
      </w:r>
      <w:r>
        <w:rPr>
          <w:rFonts w:ascii="Arial" w:hAnsi="Arial" w:cs="Arial"/>
          <w:b/>
          <w:bCs/>
          <w:color w:val="353434"/>
          <w:sz w:val="27"/>
          <w:szCs w:val="27"/>
        </w:rPr>
        <w:br/>
        <w:t>Inventories should be measured at the lower of cost and net realisable value</w:t>
      </w:r>
      <w:r>
        <w:rPr>
          <w:rFonts w:ascii="Arial" w:hAnsi="Arial" w:cs="Arial"/>
          <w:b/>
          <w:bCs/>
          <w:color w:val="353434"/>
          <w:sz w:val="27"/>
          <w:szCs w:val="27"/>
        </w:rPr>
        <w:br/>
      </w:r>
      <w:r>
        <w:rPr>
          <w:rFonts w:ascii="Arial" w:hAnsi="Arial" w:cs="Arial"/>
          <w:color w:val="353434"/>
          <w:sz w:val="27"/>
          <w:szCs w:val="27"/>
        </w:rPr>
        <w:br/>
      </w:r>
      <w:proofErr w:type="gramStart"/>
      <w:r>
        <w:rPr>
          <w:rFonts w:ascii="Arial" w:hAnsi="Arial" w:cs="Arial"/>
          <w:color w:val="353434"/>
          <w:sz w:val="27"/>
          <w:szCs w:val="27"/>
        </w:rPr>
        <w:t>The</w:t>
      </w:r>
      <w:proofErr w:type="gramEnd"/>
      <w:r>
        <w:rPr>
          <w:rFonts w:ascii="Arial" w:hAnsi="Arial" w:cs="Arial"/>
          <w:color w:val="353434"/>
          <w:sz w:val="27"/>
          <w:szCs w:val="27"/>
        </w:rPr>
        <w:t xml:space="preserve"> value of inventories is calculated at the lower of cost and net realisable value for each separate item or group of items. </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Here, the prudence concept is being applied in presenting financial information.</w:t>
      </w:r>
    </w:p>
    <w:p w:rsidR="00CC1696" w:rsidRDefault="00CC1696" w:rsidP="00CC1696">
      <w:pPr>
        <w:pStyle w:val="Heading4"/>
        <w:shd w:val="clear" w:color="auto" w:fill="FFFFFF"/>
        <w:spacing w:before="0" w:beforeAutospacing="0" w:after="240" w:afterAutospacing="0"/>
        <w:rPr>
          <w:rFonts w:ascii="Arial" w:hAnsi="Arial" w:cs="Arial"/>
          <w:b w:val="0"/>
          <w:bCs w:val="0"/>
          <w:color w:val="353434"/>
        </w:rPr>
      </w:pPr>
      <w:r>
        <w:rPr>
          <w:rFonts w:ascii="Arial" w:hAnsi="Arial" w:cs="Arial"/>
          <w:b w:val="0"/>
          <w:bCs w:val="0"/>
          <w:color w:val="353434"/>
        </w:rPr>
        <w:t>Other methods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There are other methods which, in theory, might be used for the valuation of inventory</w:t>
      </w:r>
    </w:p>
    <w:p w:rsidR="00CC1696" w:rsidRDefault="00CC1696" w:rsidP="00CC1696">
      <w:pPr>
        <w:pStyle w:val="NormalWeb"/>
        <w:numPr>
          <w:ilvl w:val="0"/>
          <w:numId w:val="5"/>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Inventories might be valued at their expected selling price.</w:t>
      </w:r>
    </w:p>
    <w:p w:rsidR="00CC1696" w:rsidRDefault="00CC1696" w:rsidP="00CC1696">
      <w:pPr>
        <w:pStyle w:val="NormalWeb"/>
        <w:numPr>
          <w:ilvl w:val="0"/>
          <w:numId w:val="5"/>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lastRenderedPageBreak/>
        <w:t>Inventories might be valued at their expected selling price, less any costs still to be incurred in getting them ready for sale and then selling them. This amount is referred to as the net realisable value (NRV) of the inventories.</w:t>
      </w:r>
    </w:p>
    <w:p w:rsidR="00CC1696" w:rsidRDefault="00CC1696" w:rsidP="00CC1696">
      <w:pPr>
        <w:pStyle w:val="NormalWeb"/>
        <w:numPr>
          <w:ilvl w:val="0"/>
          <w:numId w:val="5"/>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Inventories might be valued at their historical cost (</w:t>
      </w:r>
      <w:proofErr w:type="spellStart"/>
      <w:r>
        <w:rPr>
          <w:rFonts w:ascii="Arial" w:hAnsi="Arial" w:cs="Arial"/>
          <w:color w:val="353434"/>
          <w:sz w:val="27"/>
          <w:szCs w:val="27"/>
        </w:rPr>
        <w:t>ie</w:t>
      </w:r>
      <w:proofErr w:type="spellEnd"/>
      <w:r>
        <w:rPr>
          <w:rFonts w:ascii="Arial" w:hAnsi="Arial" w:cs="Arial"/>
          <w:color w:val="353434"/>
          <w:sz w:val="27"/>
          <w:szCs w:val="27"/>
        </w:rPr>
        <w:t xml:space="preserve"> the cost at which they were originally bought).</w:t>
      </w:r>
    </w:p>
    <w:p w:rsidR="00CC1696" w:rsidRDefault="00CC1696" w:rsidP="00CC1696">
      <w:pPr>
        <w:pStyle w:val="NormalWeb"/>
        <w:numPr>
          <w:ilvl w:val="0"/>
          <w:numId w:val="5"/>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Inventories might be valued at the amount it would cost to replace them. This amount is referred to as the current replacement cost of inventories</w:t>
      </w:r>
    </w:p>
    <w:p w:rsidR="00CC1696" w:rsidRDefault="00CC1696"/>
    <w:p w:rsidR="00CC1696" w:rsidRDefault="00CC1696" w:rsidP="00CC1696">
      <w:pPr>
        <w:pStyle w:val="Heading3"/>
        <w:shd w:val="clear" w:color="auto" w:fill="FFFFFF"/>
        <w:spacing w:before="0" w:after="180"/>
        <w:rPr>
          <w:rFonts w:ascii="Arial" w:hAnsi="Arial" w:cs="Arial"/>
          <w:color w:val="353434"/>
        </w:rPr>
      </w:pPr>
      <w:r>
        <w:rPr>
          <w:rFonts w:ascii="Arial" w:hAnsi="Arial" w:cs="Arial"/>
          <w:b/>
          <w:bCs/>
          <w:color w:val="353434"/>
        </w:rPr>
        <w:t>IAS 2</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IAS 2 lays out the required accounting treatment for inventories under the historical cost system.</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 major area of contention is the cost value of inventory to be recorded.</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This is recognised as an asset of the enterprise until the related revenues are recognised (i.e. the item is sold) at which point the inventory is recognised as an expense (i.e. cost of sales).</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Part or all of the cost of inventories may also be expensed if a write-down to net realisable value is necessary.</w:t>
      </w:r>
    </w:p>
    <w:p w:rsidR="00CC1696" w:rsidRDefault="00CC1696" w:rsidP="00CC1696">
      <w:pPr>
        <w:pStyle w:val="Heading3"/>
        <w:shd w:val="clear" w:color="auto" w:fill="FFFFFF"/>
        <w:spacing w:before="0" w:after="240"/>
        <w:rPr>
          <w:rFonts w:ascii="Arial" w:hAnsi="Arial" w:cs="Arial"/>
          <w:color w:val="353434"/>
        </w:rPr>
      </w:pPr>
      <w:r>
        <w:rPr>
          <w:rFonts w:ascii="Arial" w:hAnsi="Arial" w:cs="Arial"/>
          <w:b/>
          <w:bCs/>
          <w:color w:val="353434"/>
        </w:rPr>
        <w:t>Cost</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 cost of inventories will consist of all the following costs</w:t>
      </w:r>
    </w:p>
    <w:p w:rsidR="00CC1696" w:rsidRDefault="00CC1696" w:rsidP="00CC1696">
      <w:pPr>
        <w:pStyle w:val="NormalWeb"/>
        <w:numPr>
          <w:ilvl w:val="0"/>
          <w:numId w:val="6"/>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Purchase</w:t>
      </w:r>
    </w:p>
    <w:p w:rsidR="00CC1696" w:rsidRDefault="00CC1696" w:rsidP="00CC1696">
      <w:pPr>
        <w:pStyle w:val="NormalWeb"/>
        <w:numPr>
          <w:ilvl w:val="0"/>
          <w:numId w:val="6"/>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Costs of conversion</w:t>
      </w:r>
    </w:p>
    <w:p w:rsidR="00CC1696" w:rsidRDefault="00CC1696" w:rsidP="00CC1696">
      <w:pPr>
        <w:pStyle w:val="NormalWeb"/>
        <w:numPr>
          <w:ilvl w:val="0"/>
          <w:numId w:val="6"/>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Other costs incurred in bringing the inventories to their present location and condition, e.g. carriage inwards</w:t>
      </w:r>
    </w:p>
    <w:p w:rsidR="00CC1696" w:rsidRDefault="00CC1696" w:rsidP="00CC1696">
      <w:pPr>
        <w:pStyle w:val="Heading4"/>
        <w:shd w:val="clear" w:color="auto" w:fill="FFFFFF"/>
        <w:spacing w:before="0" w:beforeAutospacing="0" w:after="240" w:afterAutospacing="0"/>
        <w:rPr>
          <w:rFonts w:ascii="Arial" w:hAnsi="Arial" w:cs="Arial"/>
          <w:b w:val="0"/>
          <w:bCs w:val="0"/>
          <w:color w:val="353434"/>
        </w:rPr>
      </w:pPr>
      <w:r>
        <w:rPr>
          <w:rFonts w:ascii="Arial" w:hAnsi="Arial" w:cs="Arial"/>
          <w:b w:val="0"/>
          <w:bCs w:val="0"/>
          <w:color w:val="353434"/>
        </w:rPr>
        <w:t>Costs of purchase</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IAS 2 lists the following as comprising the costs of purchase of inventories</w:t>
      </w:r>
    </w:p>
    <w:p w:rsidR="00CC1696" w:rsidRDefault="00CC1696" w:rsidP="00CC1696">
      <w:pPr>
        <w:pStyle w:val="NormalWeb"/>
        <w:numPr>
          <w:ilvl w:val="0"/>
          <w:numId w:val="7"/>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Purchase price; plus</w:t>
      </w:r>
    </w:p>
    <w:p w:rsidR="00CC1696" w:rsidRDefault="00CC1696" w:rsidP="00CC1696">
      <w:pPr>
        <w:pStyle w:val="NormalWeb"/>
        <w:numPr>
          <w:ilvl w:val="0"/>
          <w:numId w:val="7"/>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Import duties and other taxes; plus</w:t>
      </w:r>
    </w:p>
    <w:p w:rsidR="00CC1696" w:rsidRDefault="00CC1696" w:rsidP="00CC1696">
      <w:pPr>
        <w:pStyle w:val="NormalWeb"/>
        <w:numPr>
          <w:ilvl w:val="0"/>
          <w:numId w:val="7"/>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Transport, handling and any other cost directly attributable to the acquisition of finished goods, services and materials; less</w:t>
      </w:r>
    </w:p>
    <w:p w:rsidR="00CC1696" w:rsidRDefault="00CC1696" w:rsidP="00CC1696">
      <w:pPr>
        <w:pStyle w:val="NormalWeb"/>
        <w:numPr>
          <w:ilvl w:val="0"/>
          <w:numId w:val="7"/>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Trade discounts, rebates and other similar amounts</w:t>
      </w:r>
    </w:p>
    <w:p w:rsidR="00CC1696" w:rsidRDefault="00CC1696" w:rsidP="00CC1696">
      <w:pPr>
        <w:pStyle w:val="Heading4"/>
        <w:shd w:val="clear" w:color="auto" w:fill="FFFFFF"/>
        <w:spacing w:before="0" w:beforeAutospacing="0" w:after="240" w:afterAutospacing="0"/>
        <w:rPr>
          <w:rFonts w:ascii="Arial" w:hAnsi="Arial" w:cs="Arial"/>
          <w:b w:val="0"/>
          <w:bCs w:val="0"/>
          <w:color w:val="353434"/>
        </w:rPr>
      </w:pPr>
      <w:r>
        <w:rPr>
          <w:rFonts w:ascii="Arial" w:hAnsi="Arial" w:cs="Arial"/>
          <w:b w:val="0"/>
          <w:bCs w:val="0"/>
          <w:color w:val="353434"/>
        </w:rPr>
        <w:t>Costs of conversion</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Costs of conversion of inventories consist of two main parts</w:t>
      </w:r>
    </w:p>
    <w:p w:rsidR="00CC1696" w:rsidRDefault="00CC1696" w:rsidP="00CC1696">
      <w:pPr>
        <w:pStyle w:val="NormalWeb"/>
        <w:numPr>
          <w:ilvl w:val="0"/>
          <w:numId w:val="8"/>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t>Costs directly related to the units of production, e.g. direct materials, direct labour</w:t>
      </w:r>
    </w:p>
    <w:p w:rsidR="00CC1696" w:rsidRDefault="00CC1696" w:rsidP="00CC1696">
      <w:pPr>
        <w:pStyle w:val="NormalWeb"/>
        <w:numPr>
          <w:ilvl w:val="0"/>
          <w:numId w:val="8"/>
        </w:numPr>
        <w:shd w:val="clear" w:color="auto" w:fill="FFFFFF"/>
        <w:spacing w:before="0" w:beforeAutospacing="0" w:after="0" w:afterAutospacing="0"/>
        <w:ind w:left="0"/>
        <w:rPr>
          <w:rFonts w:ascii="Arial" w:hAnsi="Arial" w:cs="Arial"/>
          <w:color w:val="353434"/>
          <w:sz w:val="27"/>
          <w:szCs w:val="27"/>
        </w:rPr>
      </w:pPr>
      <w:r>
        <w:rPr>
          <w:rFonts w:ascii="Arial" w:hAnsi="Arial" w:cs="Arial"/>
          <w:color w:val="353434"/>
          <w:sz w:val="27"/>
          <w:szCs w:val="27"/>
        </w:rPr>
        <w:lastRenderedPageBreak/>
        <w:t>Fixed and variable production overheads that are incurred in converting materials into finished goods, allocated on a systematic basis.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Fixed production overheads are those indirect costs of production that remain relatively constant regardless of the volume of production, e.g. the cost of factory management and administration.</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Variable production overheads are those indirect costs of production that vary directly, or nearly directly, with the volume of production, e.g. indirect materials and labour. (IAS 2)</w:t>
      </w:r>
    </w:p>
    <w:p w:rsidR="00CC1696" w:rsidRDefault="00CC1696" w:rsidP="00CC1696">
      <w:pPr>
        <w:shd w:val="clear" w:color="auto" w:fill="FFFFFF"/>
        <w:rPr>
          <w:rFonts w:ascii="Arial" w:hAnsi="Arial" w:cs="Arial"/>
          <w:color w:val="353434"/>
          <w:sz w:val="27"/>
          <w:szCs w:val="27"/>
        </w:rPr>
      </w:pPr>
      <w:r>
        <w:rPr>
          <w:rFonts w:ascii="Arial" w:hAnsi="Arial" w:cs="Arial"/>
          <w:noProof/>
          <w:color w:val="353434"/>
          <w:sz w:val="27"/>
          <w:szCs w:val="27"/>
          <w:lang w:eastAsia="en-ZW"/>
        </w:rPr>
        <mc:AlternateContent>
          <mc:Choice Requires="wps">
            <w:drawing>
              <wp:inline distT="0" distB="0" distL="0" distR="0">
                <wp:extent cx="1257300" cy="1257300"/>
                <wp:effectExtent l="0" t="0" r="0" b="0"/>
                <wp:docPr id="1" name="Rectangle 1" descr="https://www.acowtancy.com/media/image/f9006a976-3ff2-c2fd-f701-601535528b2a%5Brs%3A132%7C%7Cf%5D?cts=1554117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73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4AE89" id="Rectangle 1" o:spid="_x0000_s1026" alt="https://www.acowtancy.com/media/image/f9006a976-3ff2-c2fd-f701-601535528b2a%5Brs%3A132%7C%7Cf%5D?cts=1554117005" style="width:99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" filled="f" stroked="f">
                <o:lock v:ext="edit" aspectratio="t"/>
                <w10:anchorlock/>
              </v:rect>
            </w:pict>
          </mc:Fallback>
        </mc:AlternateContent>
      </w:r>
    </w:p>
    <w:p w:rsidR="00CC1696" w:rsidRDefault="00CC1696" w:rsidP="00CC1696">
      <w:pPr>
        <w:pStyle w:val="Heading3"/>
        <w:shd w:val="clear" w:color="auto" w:fill="FFFFFF"/>
        <w:spacing w:before="0" w:after="240"/>
        <w:rPr>
          <w:rFonts w:ascii="Arial" w:hAnsi="Arial" w:cs="Arial"/>
          <w:color w:val="353434"/>
          <w:sz w:val="27"/>
          <w:szCs w:val="27"/>
        </w:rPr>
      </w:pPr>
      <w:r>
        <w:rPr>
          <w:rFonts w:ascii="Arial" w:hAnsi="Arial" w:cs="Arial"/>
          <w:b/>
          <w:bCs/>
          <w:color w:val="353434"/>
        </w:rPr>
        <w:t>Net Realisable Value</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The net realisable value of an item is essentially its net selling proceeds after all costs have been deducted.</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It is calculated as:</w:t>
      </w:r>
    </w:p>
    <w:tbl>
      <w:tblPr>
        <w:tblW w:w="14025" w:type="dxa"/>
        <w:tblBorders>
          <w:top w:val="single" w:sz="6" w:space="0" w:color="FAE6DC"/>
          <w:left w:val="single" w:sz="6" w:space="0" w:color="FAE6DC"/>
          <w:bottom w:val="single" w:sz="6" w:space="0" w:color="FAE6DC"/>
          <w:right w:val="single" w:sz="6" w:space="0" w:color="FAE6DC"/>
        </w:tblBorders>
        <w:tblCellMar>
          <w:top w:w="15" w:type="dxa"/>
          <w:left w:w="15" w:type="dxa"/>
          <w:bottom w:w="15" w:type="dxa"/>
          <w:right w:w="15" w:type="dxa"/>
        </w:tblCellMar>
        <w:tblLook w:val="04A0" w:firstRow="1" w:lastRow="0" w:firstColumn="1" w:lastColumn="0" w:noHBand="0" w:noVBand="1"/>
      </w:tblPr>
      <w:tblGrid>
        <w:gridCol w:w="12861"/>
        <w:gridCol w:w="1164"/>
      </w:tblGrid>
      <w:tr w:rsidR="00CC1696" w:rsidTr="00CC1696">
        <w:tc>
          <w:tcPr>
            <w:tcW w:w="0" w:type="auto"/>
            <w:tcBorders>
              <w:top w:val="single" w:sz="6" w:space="0" w:color="FAE6DC"/>
              <w:left w:val="single" w:sz="6" w:space="0" w:color="FAE6DC"/>
            </w:tcBorders>
            <w:shd w:val="clear" w:color="auto" w:fill="FFFFFF"/>
            <w:hideMark/>
          </w:tcPr>
          <w:p w:rsidR="00CC1696" w:rsidRDefault="00CC1696">
            <w:pPr>
              <w:rPr>
                <w:rFonts w:ascii="Arial" w:hAnsi="Arial" w:cs="Arial"/>
                <w:color w:val="353434"/>
                <w:sz w:val="27"/>
                <w:szCs w:val="27"/>
              </w:rPr>
            </w:pPr>
          </w:p>
        </w:tc>
        <w:tc>
          <w:tcPr>
            <w:tcW w:w="0" w:type="auto"/>
            <w:tcBorders>
              <w:top w:val="single" w:sz="6" w:space="0" w:color="FAE6DC"/>
              <w:left w:val="single" w:sz="6" w:space="0" w:color="FAE6DC"/>
            </w:tcBorders>
            <w:shd w:val="clear" w:color="auto" w:fill="FFFFFF"/>
            <w:hideMark/>
          </w:tcPr>
          <w:p w:rsidR="00CC1696" w:rsidRDefault="00CC1696">
            <w:r>
              <w:rPr>
                <w:b/>
                <w:bCs/>
              </w:rPr>
              <w:t>$</w:t>
            </w:r>
          </w:p>
        </w:tc>
      </w:tr>
      <w:tr w:rsidR="00CC1696" w:rsidTr="00CC1696">
        <w:tc>
          <w:tcPr>
            <w:tcW w:w="0" w:type="auto"/>
            <w:tcBorders>
              <w:top w:val="single" w:sz="6" w:space="0" w:color="FAE6DC"/>
              <w:left w:val="single" w:sz="6" w:space="0" w:color="FAE6DC"/>
            </w:tcBorders>
            <w:shd w:val="clear" w:color="auto" w:fill="FFF6E9"/>
            <w:hideMark/>
          </w:tcPr>
          <w:p w:rsidR="00CC1696" w:rsidRDefault="00CC1696">
            <w:r>
              <w:t>estimated selling price</w:t>
            </w:r>
          </w:p>
        </w:tc>
        <w:tc>
          <w:tcPr>
            <w:tcW w:w="0" w:type="auto"/>
            <w:tcBorders>
              <w:top w:val="single" w:sz="6" w:space="0" w:color="FAE6DC"/>
              <w:left w:val="single" w:sz="6" w:space="0" w:color="FAE6DC"/>
            </w:tcBorders>
            <w:shd w:val="clear" w:color="auto" w:fill="FFF6E9"/>
            <w:hideMark/>
          </w:tcPr>
          <w:p w:rsidR="00CC1696" w:rsidRDefault="00CC1696">
            <w:r>
              <w:t>x</w:t>
            </w:r>
          </w:p>
        </w:tc>
      </w:tr>
      <w:tr w:rsidR="00CC1696" w:rsidTr="00CC1696">
        <w:tc>
          <w:tcPr>
            <w:tcW w:w="0" w:type="auto"/>
            <w:tcBorders>
              <w:top w:val="single" w:sz="6" w:space="0" w:color="FAE6DC"/>
              <w:left w:val="single" w:sz="6" w:space="0" w:color="FAE6DC"/>
            </w:tcBorders>
            <w:shd w:val="clear" w:color="auto" w:fill="FFFFFF"/>
            <w:hideMark/>
          </w:tcPr>
          <w:p w:rsidR="00CC1696" w:rsidRDefault="00CC1696">
            <w:r>
              <w:t>less: estimated costs of completion</w:t>
            </w:r>
          </w:p>
        </w:tc>
        <w:tc>
          <w:tcPr>
            <w:tcW w:w="0" w:type="auto"/>
            <w:tcBorders>
              <w:top w:val="single" w:sz="6" w:space="0" w:color="FAE6DC"/>
              <w:left w:val="single" w:sz="6" w:space="0" w:color="FAE6DC"/>
            </w:tcBorders>
            <w:shd w:val="clear" w:color="auto" w:fill="FFFFFF"/>
            <w:hideMark/>
          </w:tcPr>
          <w:p w:rsidR="00CC1696" w:rsidRDefault="00CC1696">
            <w:r>
              <w:t>(x)</w:t>
            </w:r>
          </w:p>
        </w:tc>
      </w:tr>
      <w:tr w:rsidR="00CC1696" w:rsidTr="00CC1696">
        <w:tc>
          <w:tcPr>
            <w:tcW w:w="0" w:type="auto"/>
            <w:tcBorders>
              <w:top w:val="single" w:sz="6" w:space="0" w:color="FAE6DC"/>
              <w:left w:val="single" w:sz="6" w:space="0" w:color="FAE6DC"/>
            </w:tcBorders>
            <w:shd w:val="clear" w:color="auto" w:fill="FFF6E9"/>
            <w:hideMark/>
          </w:tcPr>
          <w:p w:rsidR="00CC1696" w:rsidRDefault="00CC1696">
            <w:r>
              <w:t>less: estimated selling and distribution costs</w:t>
            </w:r>
          </w:p>
        </w:tc>
        <w:tc>
          <w:tcPr>
            <w:tcW w:w="0" w:type="auto"/>
            <w:tcBorders>
              <w:top w:val="single" w:sz="6" w:space="0" w:color="FAE6DC"/>
              <w:left w:val="single" w:sz="6" w:space="0" w:color="FAE6DC"/>
            </w:tcBorders>
            <w:shd w:val="clear" w:color="auto" w:fill="FFF6E9"/>
            <w:hideMark/>
          </w:tcPr>
          <w:p w:rsidR="00CC1696" w:rsidRDefault="00CC1696">
            <w:r>
              <w:t>(x)</w:t>
            </w:r>
          </w:p>
        </w:tc>
      </w:tr>
      <w:tr w:rsidR="00CC1696" w:rsidTr="00CC1696">
        <w:tc>
          <w:tcPr>
            <w:tcW w:w="0" w:type="auto"/>
            <w:tcBorders>
              <w:top w:val="single" w:sz="6" w:space="0" w:color="FAE6DC"/>
              <w:left w:val="single" w:sz="6" w:space="0" w:color="FAE6DC"/>
            </w:tcBorders>
            <w:shd w:val="clear" w:color="auto" w:fill="FFFFFF"/>
            <w:hideMark/>
          </w:tcPr>
          <w:p w:rsidR="00CC1696" w:rsidRDefault="00CC1696"/>
        </w:tc>
        <w:tc>
          <w:tcPr>
            <w:tcW w:w="0" w:type="auto"/>
            <w:tcBorders>
              <w:top w:val="single" w:sz="6" w:space="0" w:color="FAE6DC"/>
              <w:left w:val="single" w:sz="6" w:space="0" w:color="FAE6DC"/>
            </w:tcBorders>
            <w:shd w:val="clear" w:color="auto" w:fill="FFFFFF"/>
            <w:hideMark/>
          </w:tcPr>
          <w:p w:rsidR="00CC1696" w:rsidRDefault="00CC1696">
            <w:r>
              <w:t>----</w:t>
            </w:r>
          </w:p>
        </w:tc>
      </w:tr>
      <w:tr w:rsidR="00CC1696" w:rsidTr="00CC1696">
        <w:tc>
          <w:tcPr>
            <w:tcW w:w="0" w:type="auto"/>
            <w:tcBorders>
              <w:top w:val="single" w:sz="6" w:space="0" w:color="FAE6DC"/>
              <w:left w:val="single" w:sz="6" w:space="0" w:color="FAE6DC"/>
            </w:tcBorders>
            <w:shd w:val="clear" w:color="auto" w:fill="FFF6E9"/>
            <w:hideMark/>
          </w:tcPr>
          <w:p w:rsidR="00CC1696" w:rsidRDefault="00CC1696"/>
        </w:tc>
        <w:tc>
          <w:tcPr>
            <w:tcW w:w="0" w:type="auto"/>
            <w:tcBorders>
              <w:top w:val="single" w:sz="6" w:space="0" w:color="FAE6DC"/>
              <w:left w:val="single" w:sz="6" w:space="0" w:color="FAE6DC"/>
            </w:tcBorders>
            <w:shd w:val="clear" w:color="auto" w:fill="FFF6E9"/>
            <w:hideMark/>
          </w:tcPr>
          <w:p w:rsidR="00CC1696" w:rsidRDefault="00CC1696">
            <w:r>
              <w:rPr>
                <w:b/>
                <w:bCs/>
              </w:rPr>
              <w:t>x</w:t>
            </w:r>
          </w:p>
        </w:tc>
      </w:tr>
      <w:tr w:rsidR="00CC1696" w:rsidTr="00CC1696">
        <w:tc>
          <w:tcPr>
            <w:tcW w:w="0" w:type="auto"/>
            <w:tcBorders>
              <w:top w:val="single" w:sz="6" w:space="0" w:color="FAE6DC"/>
              <w:left w:val="single" w:sz="6" w:space="0" w:color="FAE6DC"/>
            </w:tcBorders>
            <w:shd w:val="clear" w:color="auto" w:fill="FFFFFF"/>
            <w:hideMark/>
          </w:tcPr>
          <w:p w:rsidR="00CC1696" w:rsidRDefault="00CC1696"/>
        </w:tc>
        <w:tc>
          <w:tcPr>
            <w:tcW w:w="0" w:type="auto"/>
            <w:tcBorders>
              <w:top w:val="single" w:sz="6" w:space="0" w:color="FAE6DC"/>
              <w:left w:val="single" w:sz="6" w:space="0" w:color="FAE6DC"/>
            </w:tcBorders>
            <w:shd w:val="clear" w:color="auto" w:fill="FFFFFF"/>
            <w:hideMark/>
          </w:tcPr>
          <w:p w:rsidR="00CC1696" w:rsidRDefault="00CC1696">
            <w:r>
              <w:t>===</w:t>
            </w:r>
          </w:p>
        </w:tc>
      </w:tr>
    </w:tbl>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As a general rule, assets should not be carried at amounts greater than those expected to be realised from their sale or use.</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In the case of inventories this amount could fall below cost when items are damaged or become obsolete, or where the costs to completion have increased in order to make the sale.</w:t>
      </w:r>
    </w:p>
    <w:p w:rsidR="00CC1696" w:rsidRDefault="00CC1696" w:rsidP="00CC1696">
      <w:pPr>
        <w:pStyle w:val="Heading3"/>
        <w:shd w:val="clear" w:color="auto" w:fill="FFFFFF"/>
        <w:spacing w:before="0" w:after="180"/>
        <w:rPr>
          <w:rFonts w:ascii="Arial" w:hAnsi="Arial" w:cs="Arial"/>
          <w:color w:val="353434"/>
        </w:rPr>
      </w:pPr>
      <w:r>
        <w:rPr>
          <w:rFonts w:ascii="Arial" w:hAnsi="Arial" w:cs="Arial"/>
          <w:b/>
          <w:bCs/>
          <w:color w:val="353434"/>
        </w:rPr>
        <w:t>Inventories held at the year end</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 xml:space="preserve">The quantity of inventories held at the </w:t>
      </w:r>
      <w:proofErr w:type="spellStart"/>
      <w:r>
        <w:rPr>
          <w:rFonts w:ascii="Arial" w:hAnsi="Arial" w:cs="Arial"/>
          <w:color w:val="353434"/>
          <w:sz w:val="27"/>
          <w:szCs w:val="27"/>
        </w:rPr>
        <w:t>year end</w:t>
      </w:r>
      <w:proofErr w:type="spellEnd"/>
      <w:r>
        <w:rPr>
          <w:rFonts w:ascii="Arial" w:hAnsi="Arial" w:cs="Arial"/>
          <w:color w:val="353434"/>
          <w:sz w:val="27"/>
          <w:szCs w:val="27"/>
        </w:rPr>
        <w:t xml:space="preserve"> is established by means of a physical count of inventory in an annual counting exercise, or by a 'continuous' inventory count.</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lastRenderedPageBreak/>
        <w:t>In simple cases, when a business holds easily counted and relatively small amounts of inventory, quantities of inventories on hand at the reporting date can be determined by physically counting them in an inventory count.</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In more complicated cases, where a business holds considerable quantities of varied inventory, an alternative approach to establishing quantities is to maintain continuous inventory records.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This means that a card is kept for every item of inventory, showing receipts and issues from the stores, and a running total.</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A few inventory items are counted each day to make sure their record cards are correct – this is called a 'continuous' count because it is spread out over the year rather than completed in one count at a designated time.</w:t>
      </w:r>
    </w:p>
    <w:p w:rsidR="00CC1696" w:rsidRDefault="00CC1696"/>
    <w:p w:rsidR="00CC1696" w:rsidRDefault="00CC1696" w:rsidP="00CC1696">
      <w:pPr>
        <w:pStyle w:val="Heading4"/>
        <w:shd w:val="clear" w:color="auto" w:fill="FFFFFF"/>
        <w:spacing w:before="0" w:beforeAutospacing="0" w:after="240" w:afterAutospacing="0"/>
        <w:rPr>
          <w:rFonts w:ascii="Arial" w:hAnsi="Arial" w:cs="Arial"/>
          <w:b w:val="0"/>
          <w:bCs w:val="0"/>
          <w:color w:val="353434"/>
        </w:rPr>
      </w:pPr>
      <w:r>
        <w:rPr>
          <w:rFonts w:ascii="Arial" w:hAnsi="Arial" w:cs="Arial"/>
          <w:b w:val="0"/>
          <w:bCs w:val="0"/>
          <w:color w:val="353434"/>
        </w:rPr>
        <w:t>FIFO (first in, first out)</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FIFO assumes that materials are issued out of inventory in the order in which they were delivered into inventory, i.e. issues are priced at the cost of the earliest delivery remaining in inventory</w:t>
      </w:r>
    </w:p>
    <w:p w:rsidR="00CC1696" w:rsidRDefault="00CC1696" w:rsidP="00CC1696">
      <w:pPr>
        <w:pStyle w:val="Heading4"/>
        <w:shd w:val="clear" w:color="auto" w:fill="FFFFFF"/>
        <w:spacing w:before="0" w:beforeAutospacing="0" w:after="240" w:afterAutospacing="0"/>
        <w:rPr>
          <w:rFonts w:ascii="Arial" w:hAnsi="Arial" w:cs="Arial"/>
          <w:b w:val="0"/>
          <w:bCs w:val="0"/>
          <w:color w:val="353434"/>
        </w:rPr>
      </w:pPr>
      <w:r>
        <w:rPr>
          <w:rFonts w:ascii="Arial" w:hAnsi="Arial" w:cs="Arial"/>
          <w:b w:val="0"/>
          <w:bCs w:val="0"/>
          <w:color w:val="353434"/>
        </w:rPr>
        <w:t>AVCO (average cost)</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AVCO calculates a weighted average price for all units in inventory. Issues are priced at this average cost, and the balance of inventory remaining would have the same unit valuation.</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A new weighted average price is calculated whenever a new delivery of materials into store is received. </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LIFO is no longer permitted under IAS 2.</w:t>
      </w:r>
    </w:p>
    <w:p w:rsidR="00CC1696" w:rsidRDefault="00CC1696" w:rsidP="00CC1696">
      <w:pPr>
        <w:pStyle w:val="Heading3"/>
        <w:shd w:val="clear" w:color="auto" w:fill="FFFFFF"/>
        <w:spacing w:before="0" w:after="180"/>
        <w:rPr>
          <w:rFonts w:ascii="Arial" w:hAnsi="Arial" w:cs="Arial"/>
          <w:color w:val="353434"/>
        </w:rPr>
      </w:pPr>
      <w:r>
        <w:rPr>
          <w:rFonts w:ascii="Arial" w:hAnsi="Arial" w:cs="Arial"/>
          <w:b/>
          <w:bCs/>
          <w:color w:val="353434"/>
        </w:rPr>
        <w:t>Accounting assumption of accruals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 xml:space="preserve">The fundamental accounting assumption of accrual requires costs to be matched with associated revenues. In order to achieve this, costs incurred for goods which remain unsold at the </w:t>
      </w:r>
      <w:proofErr w:type="spellStart"/>
      <w:r>
        <w:rPr>
          <w:rFonts w:ascii="Arial" w:hAnsi="Arial" w:cs="Arial"/>
          <w:color w:val="353434"/>
          <w:sz w:val="27"/>
          <w:szCs w:val="27"/>
        </w:rPr>
        <w:t>year end</w:t>
      </w:r>
      <w:proofErr w:type="spellEnd"/>
      <w:r>
        <w:rPr>
          <w:rFonts w:ascii="Arial" w:hAnsi="Arial" w:cs="Arial"/>
          <w:color w:val="353434"/>
          <w:sz w:val="27"/>
          <w:szCs w:val="27"/>
        </w:rPr>
        <w:t xml:space="preserve"> must be carried forward in the statement of financial position and matched against future revenues.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In valuing inventory, we also follow the prudence concept which states that a profit cannot be anticipated before it is realised.</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A. If inventory is expected to be sold at a profit:</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w:t>
      </w:r>
      <w:proofErr w:type="spellStart"/>
      <w:r>
        <w:rPr>
          <w:rFonts w:ascii="Arial" w:hAnsi="Arial" w:cs="Arial"/>
          <w:color w:val="353434"/>
          <w:sz w:val="27"/>
          <w:szCs w:val="27"/>
        </w:rPr>
        <w:t>i</w:t>
      </w:r>
      <w:proofErr w:type="spellEnd"/>
      <w:r>
        <w:rPr>
          <w:rFonts w:ascii="Arial" w:hAnsi="Arial" w:cs="Arial"/>
          <w:color w:val="353434"/>
          <w:sz w:val="27"/>
          <w:szCs w:val="27"/>
        </w:rPr>
        <w:t xml:space="preserve">) </w:t>
      </w:r>
      <w:proofErr w:type="gramStart"/>
      <w:r>
        <w:rPr>
          <w:rFonts w:ascii="Arial" w:hAnsi="Arial" w:cs="Arial"/>
          <w:color w:val="353434"/>
          <w:sz w:val="27"/>
          <w:szCs w:val="27"/>
        </w:rPr>
        <w:t>value</w:t>
      </w:r>
      <w:proofErr w:type="gramEnd"/>
      <w:r>
        <w:rPr>
          <w:rFonts w:ascii="Arial" w:hAnsi="Arial" w:cs="Arial"/>
          <w:color w:val="353434"/>
          <w:sz w:val="27"/>
          <w:szCs w:val="27"/>
        </w:rPr>
        <w:t xml:space="preserve"> at cost</w:t>
      </w:r>
      <w:r>
        <w:rPr>
          <w:rFonts w:ascii="Arial" w:hAnsi="Arial" w:cs="Arial"/>
          <w:color w:val="353434"/>
          <w:sz w:val="27"/>
          <w:szCs w:val="27"/>
        </w:rPr>
        <w:br/>
        <w:t>(ii) do not anticipate profit.</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lastRenderedPageBreak/>
        <w:t>B. If inventory is expected to be sold at a loss:</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w:t>
      </w:r>
      <w:proofErr w:type="spellStart"/>
      <w:r>
        <w:rPr>
          <w:rFonts w:ascii="Arial" w:hAnsi="Arial" w:cs="Arial"/>
          <w:color w:val="353434"/>
          <w:sz w:val="27"/>
          <w:szCs w:val="27"/>
        </w:rPr>
        <w:t>i</w:t>
      </w:r>
      <w:proofErr w:type="spellEnd"/>
      <w:r>
        <w:rPr>
          <w:rFonts w:ascii="Arial" w:hAnsi="Arial" w:cs="Arial"/>
          <w:color w:val="353434"/>
          <w:sz w:val="27"/>
          <w:szCs w:val="27"/>
        </w:rPr>
        <w:t xml:space="preserve">) </w:t>
      </w:r>
      <w:proofErr w:type="gramStart"/>
      <w:r>
        <w:rPr>
          <w:rFonts w:ascii="Arial" w:hAnsi="Arial" w:cs="Arial"/>
          <w:color w:val="353434"/>
          <w:sz w:val="27"/>
          <w:szCs w:val="27"/>
        </w:rPr>
        <w:t>value</w:t>
      </w:r>
      <w:proofErr w:type="gramEnd"/>
      <w:r>
        <w:rPr>
          <w:rFonts w:ascii="Arial" w:hAnsi="Arial" w:cs="Arial"/>
          <w:color w:val="353434"/>
          <w:sz w:val="27"/>
          <w:szCs w:val="27"/>
        </w:rPr>
        <w:t xml:space="preserve"> at net realisable value</w:t>
      </w:r>
      <w:r>
        <w:rPr>
          <w:rFonts w:ascii="Arial" w:hAnsi="Arial" w:cs="Arial"/>
          <w:color w:val="353434"/>
          <w:sz w:val="27"/>
          <w:szCs w:val="27"/>
        </w:rPr>
        <w:br/>
        <w:t>(ii) do provide for the future loss</w:t>
      </w:r>
    </w:p>
    <w:p w:rsidR="00CC1696" w:rsidRDefault="00CC1696" w:rsidP="00CC1696">
      <w:pPr>
        <w:pStyle w:val="Heading3"/>
        <w:shd w:val="clear" w:color="auto" w:fill="FFFFFF"/>
        <w:spacing w:before="0" w:after="180"/>
        <w:rPr>
          <w:rFonts w:ascii="Arial" w:hAnsi="Arial" w:cs="Arial"/>
          <w:color w:val="353434"/>
        </w:rPr>
      </w:pPr>
      <w:r>
        <w:rPr>
          <w:rFonts w:ascii="Arial" w:hAnsi="Arial" w:cs="Arial"/>
          <w:b/>
          <w:bCs/>
          <w:color w:val="353434"/>
        </w:rPr>
        <w:t>Inventory valuation methods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Each method of valuation produces different costs both of closing inventories and also of material issues.</w:t>
      </w:r>
    </w:p>
    <w:p w:rsidR="00CC1696" w:rsidRDefault="00CC1696" w:rsidP="00CC1696">
      <w:pPr>
        <w:pStyle w:val="NormalWeb"/>
        <w:shd w:val="clear" w:color="auto" w:fill="FFFFFF"/>
        <w:spacing w:before="0" w:beforeAutospacing="0" w:after="336" w:afterAutospacing="0"/>
        <w:rPr>
          <w:rFonts w:ascii="Arial" w:hAnsi="Arial" w:cs="Arial"/>
          <w:color w:val="353434"/>
          <w:sz w:val="27"/>
          <w:szCs w:val="27"/>
        </w:rPr>
      </w:pPr>
      <w:r>
        <w:rPr>
          <w:rFonts w:ascii="Arial" w:hAnsi="Arial" w:cs="Arial"/>
          <w:color w:val="353434"/>
          <w:sz w:val="27"/>
          <w:szCs w:val="27"/>
        </w:rPr>
        <w:t>Since raw material costs affect the cost of production, and the cost of production works through eventually into the cost of sales, it follows that different methods of inventory valuation will provide different profit figures.</w:t>
      </w:r>
    </w:p>
    <w:p w:rsidR="00CC1696" w:rsidRDefault="00CC1696" w:rsidP="00CC1696">
      <w:pPr>
        <w:pStyle w:val="NormalWeb"/>
        <w:shd w:val="clear" w:color="auto" w:fill="FFFFFF"/>
        <w:spacing w:before="0" w:beforeAutospacing="0" w:after="0" w:afterAutospacing="0"/>
        <w:rPr>
          <w:rFonts w:ascii="Arial" w:hAnsi="Arial" w:cs="Arial"/>
          <w:color w:val="353434"/>
          <w:sz w:val="27"/>
          <w:szCs w:val="27"/>
        </w:rPr>
      </w:pPr>
      <w:r>
        <w:rPr>
          <w:rFonts w:ascii="Arial" w:hAnsi="Arial" w:cs="Arial"/>
          <w:color w:val="353434"/>
          <w:sz w:val="27"/>
          <w:szCs w:val="27"/>
        </w:rPr>
        <w:t>In times of rising prices, using FIFO method will mean the financial statements show higher inventory values and higher profit.</w:t>
      </w:r>
    </w:p>
    <w:p w:rsidR="00CC1696" w:rsidRDefault="00CC1696">
      <w:bookmarkStart w:id="0" w:name="_GoBack"/>
      <w:bookmarkEnd w:id="0"/>
    </w:p>
    <w:sectPr w:rsidR="00CC1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81D4B"/>
    <w:multiLevelType w:val="multilevel"/>
    <w:tmpl w:val="F056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00B3A"/>
    <w:multiLevelType w:val="multilevel"/>
    <w:tmpl w:val="C160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73E6F"/>
    <w:multiLevelType w:val="multilevel"/>
    <w:tmpl w:val="DEDA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370F9"/>
    <w:multiLevelType w:val="multilevel"/>
    <w:tmpl w:val="C32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96CAB"/>
    <w:multiLevelType w:val="multilevel"/>
    <w:tmpl w:val="4DB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3B3884"/>
    <w:multiLevelType w:val="multilevel"/>
    <w:tmpl w:val="C1B4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CE453D"/>
    <w:multiLevelType w:val="multilevel"/>
    <w:tmpl w:val="FFEA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540F41"/>
    <w:multiLevelType w:val="multilevel"/>
    <w:tmpl w:val="CC34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96"/>
    <w:rsid w:val="00611799"/>
    <w:rsid w:val="00C4628B"/>
    <w:rsid w:val="00CC1696"/>
    <w:rsid w:val="00E27AF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65EDA-6C0F-46BE-A79E-B7C9EF47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1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C1696"/>
    <w:pPr>
      <w:spacing w:before="100" w:beforeAutospacing="1" w:after="100" w:afterAutospacing="1" w:line="240" w:lineRule="auto"/>
      <w:outlineLvl w:val="3"/>
    </w:pPr>
    <w:rPr>
      <w:rFonts w:ascii="Times New Roman" w:eastAsia="Times New Roman" w:hAnsi="Times New Roman" w:cs="Times New Roman"/>
      <w:b/>
      <w:bCs/>
      <w:sz w:val="24"/>
      <w:szCs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1696"/>
    <w:rPr>
      <w:rFonts w:ascii="Times New Roman" w:eastAsia="Times New Roman" w:hAnsi="Times New Roman" w:cs="Times New Roman"/>
      <w:b/>
      <w:bCs/>
      <w:sz w:val="24"/>
      <w:szCs w:val="24"/>
      <w:lang w:eastAsia="en-ZW"/>
    </w:rPr>
  </w:style>
  <w:style w:type="paragraph" w:styleId="NormalWeb">
    <w:name w:val="Normal (Web)"/>
    <w:basedOn w:val="Normal"/>
    <w:uiPriority w:val="99"/>
    <w:semiHidden/>
    <w:unhideWhenUsed/>
    <w:rsid w:val="00CC1696"/>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CC1696"/>
    <w:rPr>
      <w:color w:val="0000FF"/>
      <w:u w:val="single"/>
    </w:rPr>
  </w:style>
  <w:style w:type="character" w:customStyle="1" w:styleId="handle">
    <w:name w:val="handle"/>
    <w:basedOn w:val="DefaultParagraphFont"/>
    <w:rsid w:val="00CC1696"/>
  </w:style>
  <w:style w:type="character" w:customStyle="1" w:styleId="Heading3Char">
    <w:name w:val="Heading 3 Char"/>
    <w:basedOn w:val="DefaultParagraphFont"/>
    <w:link w:val="Heading3"/>
    <w:uiPriority w:val="9"/>
    <w:semiHidden/>
    <w:rsid w:val="00CC169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C1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6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5781">
      <w:bodyDiv w:val="1"/>
      <w:marLeft w:val="0"/>
      <w:marRight w:val="0"/>
      <w:marTop w:val="0"/>
      <w:marBottom w:val="0"/>
      <w:divBdr>
        <w:top w:val="none" w:sz="0" w:space="0" w:color="auto"/>
        <w:left w:val="none" w:sz="0" w:space="0" w:color="auto"/>
        <w:bottom w:val="none" w:sz="0" w:space="0" w:color="auto"/>
        <w:right w:val="none" w:sz="0" w:space="0" w:color="auto"/>
      </w:divBdr>
      <w:divsChild>
        <w:div w:id="198976495">
          <w:marLeft w:val="0"/>
          <w:marRight w:val="0"/>
          <w:marTop w:val="0"/>
          <w:marBottom w:val="0"/>
          <w:divBdr>
            <w:top w:val="none" w:sz="0" w:space="0" w:color="auto"/>
            <w:left w:val="none" w:sz="0" w:space="0" w:color="auto"/>
            <w:bottom w:val="none" w:sz="0" w:space="0" w:color="auto"/>
            <w:right w:val="none" w:sz="0" w:space="0" w:color="auto"/>
          </w:divBdr>
        </w:div>
        <w:div w:id="1488203452">
          <w:marLeft w:val="0"/>
          <w:marRight w:val="0"/>
          <w:marTop w:val="0"/>
          <w:marBottom w:val="0"/>
          <w:divBdr>
            <w:top w:val="none" w:sz="0" w:space="0" w:color="auto"/>
            <w:left w:val="none" w:sz="0" w:space="0" w:color="auto"/>
            <w:bottom w:val="none" w:sz="0" w:space="0" w:color="auto"/>
            <w:right w:val="none" w:sz="0" w:space="0" w:color="auto"/>
          </w:divBdr>
        </w:div>
      </w:divsChild>
    </w:div>
    <w:div w:id="225607596">
      <w:bodyDiv w:val="1"/>
      <w:marLeft w:val="0"/>
      <w:marRight w:val="0"/>
      <w:marTop w:val="0"/>
      <w:marBottom w:val="0"/>
      <w:divBdr>
        <w:top w:val="none" w:sz="0" w:space="0" w:color="auto"/>
        <w:left w:val="none" w:sz="0" w:space="0" w:color="auto"/>
        <w:bottom w:val="none" w:sz="0" w:space="0" w:color="auto"/>
        <w:right w:val="none" w:sz="0" w:space="0" w:color="auto"/>
      </w:divBdr>
      <w:divsChild>
        <w:div w:id="2039505136">
          <w:marLeft w:val="0"/>
          <w:marRight w:val="0"/>
          <w:marTop w:val="0"/>
          <w:marBottom w:val="0"/>
          <w:divBdr>
            <w:top w:val="none" w:sz="0" w:space="0" w:color="auto"/>
            <w:left w:val="none" w:sz="0" w:space="0" w:color="auto"/>
            <w:bottom w:val="none" w:sz="0" w:space="0" w:color="auto"/>
            <w:right w:val="none" w:sz="0" w:space="0" w:color="auto"/>
          </w:divBdr>
        </w:div>
        <w:div w:id="615991952">
          <w:marLeft w:val="0"/>
          <w:marRight w:val="0"/>
          <w:marTop w:val="0"/>
          <w:marBottom w:val="0"/>
          <w:divBdr>
            <w:top w:val="none" w:sz="0" w:space="0" w:color="auto"/>
            <w:left w:val="none" w:sz="0" w:space="0" w:color="auto"/>
            <w:bottom w:val="none" w:sz="0" w:space="0" w:color="auto"/>
            <w:right w:val="none" w:sz="0" w:space="0" w:color="auto"/>
          </w:divBdr>
          <w:divsChild>
            <w:div w:id="117770525">
              <w:marLeft w:val="0"/>
              <w:marRight w:val="0"/>
              <w:marTop w:val="0"/>
              <w:marBottom w:val="0"/>
              <w:divBdr>
                <w:top w:val="none" w:sz="0" w:space="0" w:color="auto"/>
                <w:left w:val="none" w:sz="0" w:space="0" w:color="auto"/>
                <w:bottom w:val="none" w:sz="0" w:space="0" w:color="auto"/>
                <w:right w:val="none" w:sz="0" w:space="0" w:color="auto"/>
              </w:divBdr>
            </w:div>
          </w:divsChild>
        </w:div>
        <w:div w:id="37820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491814">
          <w:marLeft w:val="0"/>
          <w:marRight w:val="0"/>
          <w:marTop w:val="0"/>
          <w:marBottom w:val="0"/>
          <w:divBdr>
            <w:top w:val="none" w:sz="0" w:space="0" w:color="auto"/>
            <w:left w:val="none" w:sz="0" w:space="0" w:color="auto"/>
            <w:bottom w:val="none" w:sz="0" w:space="0" w:color="auto"/>
            <w:right w:val="none" w:sz="0" w:space="0" w:color="auto"/>
          </w:divBdr>
        </w:div>
        <w:div w:id="93747991">
          <w:marLeft w:val="0"/>
          <w:marRight w:val="0"/>
          <w:marTop w:val="0"/>
          <w:marBottom w:val="0"/>
          <w:divBdr>
            <w:top w:val="none" w:sz="0" w:space="0" w:color="auto"/>
            <w:left w:val="none" w:sz="0" w:space="0" w:color="auto"/>
            <w:bottom w:val="none" w:sz="0" w:space="0" w:color="auto"/>
            <w:right w:val="none" w:sz="0" w:space="0" w:color="auto"/>
          </w:divBdr>
        </w:div>
        <w:div w:id="1849636120">
          <w:marLeft w:val="0"/>
          <w:marRight w:val="0"/>
          <w:marTop w:val="0"/>
          <w:marBottom w:val="0"/>
          <w:divBdr>
            <w:top w:val="none" w:sz="0" w:space="0" w:color="auto"/>
            <w:left w:val="none" w:sz="0" w:space="0" w:color="auto"/>
            <w:bottom w:val="none" w:sz="0" w:space="0" w:color="auto"/>
            <w:right w:val="none" w:sz="0" w:space="0" w:color="auto"/>
          </w:divBdr>
        </w:div>
        <w:div w:id="1832016385">
          <w:marLeft w:val="0"/>
          <w:marRight w:val="0"/>
          <w:marTop w:val="0"/>
          <w:marBottom w:val="0"/>
          <w:divBdr>
            <w:top w:val="none" w:sz="0" w:space="0" w:color="auto"/>
            <w:left w:val="none" w:sz="0" w:space="0" w:color="auto"/>
            <w:bottom w:val="none" w:sz="0" w:space="0" w:color="auto"/>
            <w:right w:val="none" w:sz="0" w:space="0" w:color="auto"/>
          </w:divBdr>
        </w:div>
      </w:divsChild>
    </w:div>
    <w:div w:id="443503370">
      <w:bodyDiv w:val="1"/>
      <w:marLeft w:val="0"/>
      <w:marRight w:val="0"/>
      <w:marTop w:val="0"/>
      <w:marBottom w:val="0"/>
      <w:divBdr>
        <w:top w:val="none" w:sz="0" w:space="0" w:color="auto"/>
        <w:left w:val="none" w:sz="0" w:space="0" w:color="auto"/>
        <w:bottom w:val="none" w:sz="0" w:space="0" w:color="auto"/>
        <w:right w:val="none" w:sz="0" w:space="0" w:color="auto"/>
      </w:divBdr>
      <w:divsChild>
        <w:div w:id="1543204065">
          <w:marLeft w:val="0"/>
          <w:marRight w:val="0"/>
          <w:marTop w:val="0"/>
          <w:marBottom w:val="0"/>
          <w:divBdr>
            <w:top w:val="none" w:sz="0" w:space="0" w:color="auto"/>
            <w:left w:val="none" w:sz="0" w:space="0" w:color="auto"/>
            <w:bottom w:val="none" w:sz="0" w:space="0" w:color="auto"/>
            <w:right w:val="none" w:sz="0" w:space="0" w:color="auto"/>
          </w:divBdr>
        </w:div>
        <w:div w:id="1899785738">
          <w:marLeft w:val="0"/>
          <w:marRight w:val="0"/>
          <w:marTop w:val="0"/>
          <w:marBottom w:val="0"/>
          <w:divBdr>
            <w:top w:val="none" w:sz="0" w:space="0" w:color="auto"/>
            <w:left w:val="none" w:sz="0" w:space="0" w:color="auto"/>
            <w:bottom w:val="none" w:sz="0" w:space="0" w:color="auto"/>
            <w:right w:val="none" w:sz="0" w:space="0" w:color="auto"/>
          </w:divBdr>
        </w:div>
      </w:divsChild>
    </w:div>
    <w:div w:id="450897565">
      <w:bodyDiv w:val="1"/>
      <w:marLeft w:val="0"/>
      <w:marRight w:val="0"/>
      <w:marTop w:val="0"/>
      <w:marBottom w:val="0"/>
      <w:divBdr>
        <w:top w:val="none" w:sz="0" w:space="0" w:color="auto"/>
        <w:left w:val="none" w:sz="0" w:space="0" w:color="auto"/>
        <w:bottom w:val="none" w:sz="0" w:space="0" w:color="auto"/>
        <w:right w:val="none" w:sz="0" w:space="0" w:color="auto"/>
      </w:divBdr>
      <w:divsChild>
        <w:div w:id="818617003">
          <w:marLeft w:val="0"/>
          <w:marRight w:val="0"/>
          <w:marTop w:val="0"/>
          <w:marBottom w:val="0"/>
          <w:divBdr>
            <w:top w:val="none" w:sz="0" w:space="0" w:color="auto"/>
            <w:left w:val="none" w:sz="0" w:space="0" w:color="auto"/>
            <w:bottom w:val="none" w:sz="0" w:space="0" w:color="auto"/>
            <w:right w:val="none" w:sz="0" w:space="0" w:color="auto"/>
          </w:divBdr>
        </w:div>
        <w:div w:id="1408725554">
          <w:marLeft w:val="0"/>
          <w:marRight w:val="0"/>
          <w:marTop w:val="0"/>
          <w:marBottom w:val="0"/>
          <w:divBdr>
            <w:top w:val="none" w:sz="0" w:space="0" w:color="auto"/>
            <w:left w:val="none" w:sz="0" w:space="0" w:color="auto"/>
            <w:bottom w:val="none" w:sz="0" w:space="0" w:color="auto"/>
            <w:right w:val="none" w:sz="0" w:space="0" w:color="auto"/>
          </w:divBdr>
          <w:divsChild>
            <w:div w:id="2680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134">
      <w:bodyDiv w:val="1"/>
      <w:marLeft w:val="0"/>
      <w:marRight w:val="0"/>
      <w:marTop w:val="0"/>
      <w:marBottom w:val="0"/>
      <w:divBdr>
        <w:top w:val="none" w:sz="0" w:space="0" w:color="auto"/>
        <w:left w:val="none" w:sz="0" w:space="0" w:color="auto"/>
        <w:bottom w:val="none" w:sz="0" w:space="0" w:color="auto"/>
        <w:right w:val="none" w:sz="0" w:space="0" w:color="auto"/>
      </w:divBdr>
      <w:divsChild>
        <w:div w:id="682822209">
          <w:marLeft w:val="0"/>
          <w:marRight w:val="0"/>
          <w:marTop w:val="0"/>
          <w:marBottom w:val="0"/>
          <w:divBdr>
            <w:top w:val="none" w:sz="0" w:space="0" w:color="auto"/>
            <w:left w:val="none" w:sz="0" w:space="0" w:color="auto"/>
            <w:bottom w:val="none" w:sz="0" w:space="0" w:color="auto"/>
            <w:right w:val="none" w:sz="0" w:space="0" w:color="auto"/>
          </w:divBdr>
        </w:div>
        <w:div w:id="2076197308">
          <w:marLeft w:val="0"/>
          <w:marRight w:val="0"/>
          <w:marTop w:val="0"/>
          <w:marBottom w:val="0"/>
          <w:divBdr>
            <w:top w:val="none" w:sz="0" w:space="0" w:color="auto"/>
            <w:left w:val="none" w:sz="0" w:space="0" w:color="auto"/>
            <w:bottom w:val="none" w:sz="0" w:space="0" w:color="auto"/>
            <w:right w:val="none" w:sz="0" w:space="0" w:color="auto"/>
          </w:divBdr>
          <w:divsChild>
            <w:div w:id="2067803119">
              <w:marLeft w:val="0"/>
              <w:marRight w:val="0"/>
              <w:marTop w:val="0"/>
              <w:marBottom w:val="0"/>
              <w:divBdr>
                <w:top w:val="none" w:sz="0" w:space="0" w:color="auto"/>
                <w:left w:val="none" w:sz="0" w:space="0" w:color="auto"/>
                <w:bottom w:val="none" w:sz="0" w:space="0" w:color="auto"/>
                <w:right w:val="none" w:sz="0" w:space="0" w:color="auto"/>
              </w:divBdr>
            </w:div>
          </w:divsChild>
        </w:div>
        <w:div w:id="1953896628">
          <w:marLeft w:val="0"/>
          <w:marRight w:val="0"/>
          <w:marTop w:val="0"/>
          <w:marBottom w:val="0"/>
          <w:divBdr>
            <w:top w:val="none" w:sz="0" w:space="0" w:color="auto"/>
            <w:left w:val="none" w:sz="0" w:space="0" w:color="auto"/>
            <w:bottom w:val="none" w:sz="0" w:space="0" w:color="auto"/>
            <w:right w:val="none" w:sz="0" w:space="0" w:color="auto"/>
          </w:divBdr>
        </w:div>
        <w:div w:id="2063626428">
          <w:marLeft w:val="0"/>
          <w:marRight w:val="0"/>
          <w:marTop w:val="0"/>
          <w:marBottom w:val="0"/>
          <w:divBdr>
            <w:top w:val="none" w:sz="0" w:space="0" w:color="auto"/>
            <w:left w:val="none" w:sz="0" w:space="0" w:color="auto"/>
            <w:bottom w:val="none" w:sz="0" w:space="0" w:color="auto"/>
            <w:right w:val="none" w:sz="0" w:space="0" w:color="auto"/>
          </w:divBdr>
          <w:divsChild>
            <w:div w:id="1059740958">
              <w:marLeft w:val="0"/>
              <w:marRight w:val="0"/>
              <w:marTop w:val="0"/>
              <w:marBottom w:val="0"/>
              <w:divBdr>
                <w:top w:val="none" w:sz="0" w:space="0" w:color="auto"/>
                <w:left w:val="none" w:sz="0" w:space="0" w:color="auto"/>
                <w:bottom w:val="none" w:sz="0" w:space="0" w:color="auto"/>
                <w:right w:val="none" w:sz="0" w:space="0" w:color="auto"/>
              </w:divBdr>
            </w:div>
          </w:divsChild>
        </w:div>
        <w:div w:id="751202063">
          <w:marLeft w:val="0"/>
          <w:marRight w:val="0"/>
          <w:marTop w:val="0"/>
          <w:marBottom w:val="0"/>
          <w:divBdr>
            <w:top w:val="none" w:sz="0" w:space="0" w:color="auto"/>
            <w:left w:val="none" w:sz="0" w:space="0" w:color="auto"/>
            <w:bottom w:val="none" w:sz="0" w:space="0" w:color="auto"/>
            <w:right w:val="none" w:sz="0" w:space="0" w:color="auto"/>
          </w:divBdr>
          <w:divsChild>
            <w:div w:id="2050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8765">
      <w:bodyDiv w:val="1"/>
      <w:marLeft w:val="0"/>
      <w:marRight w:val="0"/>
      <w:marTop w:val="0"/>
      <w:marBottom w:val="0"/>
      <w:divBdr>
        <w:top w:val="none" w:sz="0" w:space="0" w:color="auto"/>
        <w:left w:val="none" w:sz="0" w:space="0" w:color="auto"/>
        <w:bottom w:val="none" w:sz="0" w:space="0" w:color="auto"/>
        <w:right w:val="none" w:sz="0" w:space="0" w:color="auto"/>
      </w:divBdr>
      <w:divsChild>
        <w:div w:id="908854714">
          <w:marLeft w:val="0"/>
          <w:marRight w:val="0"/>
          <w:marTop w:val="0"/>
          <w:marBottom w:val="0"/>
          <w:divBdr>
            <w:top w:val="none" w:sz="0" w:space="0" w:color="auto"/>
            <w:left w:val="none" w:sz="0" w:space="0" w:color="auto"/>
            <w:bottom w:val="none" w:sz="0" w:space="0" w:color="auto"/>
            <w:right w:val="none" w:sz="0" w:space="0" w:color="auto"/>
          </w:divBdr>
        </w:div>
        <w:div w:id="1707564069">
          <w:marLeft w:val="0"/>
          <w:marRight w:val="0"/>
          <w:marTop w:val="0"/>
          <w:marBottom w:val="0"/>
          <w:divBdr>
            <w:top w:val="none" w:sz="0" w:space="0" w:color="auto"/>
            <w:left w:val="none" w:sz="0" w:space="0" w:color="auto"/>
            <w:bottom w:val="none" w:sz="0" w:space="0" w:color="auto"/>
            <w:right w:val="none" w:sz="0" w:space="0" w:color="auto"/>
          </w:divBdr>
          <w:divsChild>
            <w:div w:id="1255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700">
      <w:bodyDiv w:val="1"/>
      <w:marLeft w:val="0"/>
      <w:marRight w:val="0"/>
      <w:marTop w:val="0"/>
      <w:marBottom w:val="0"/>
      <w:divBdr>
        <w:top w:val="none" w:sz="0" w:space="0" w:color="auto"/>
        <w:left w:val="none" w:sz="0" w:space="0" w:color="auto"/>
        <w:bottom w:val="none" w:sz="0" w:space="0" w:color="auto"/>
        <w:right w:val="none" w:sz="0" w:space="0" w:color="auto"/>
      </w:divBdr>
      <w:divsChild>
        <w:div w:id="2013607713">
          <w:marLeft w:val="0"/>
          <w:marRight w:val="0"/>
          <w:marTop w:val="0"/>
          <w:marBottom w:val="0"/>
          <w:divBdr>
            <w:top w:val="none" w:sz="0" w:space="0" w:color="auto"/>
            <w:left w:val="none" w:sz="0" w:space="0" w:color="auto"/>
            <w:bottom w:val="none" w:sz="0" w:space="0" w:color="auto"/>
            <w:right w:val="none" w:sz="0" w:space="0" w:color="auto"/>
          </w:divBdr>
        </w:div>
        <w:div w:id="1542478283">
          <w:marLeft w:val="0"/>
          <w:marRight w:val="0"/>
          <w:marTop w:val="0"/>
          <w:marBottom w:val="0"/>
          <w:divBdr>
            <w:top w:val="none" w:sz="0" w:space="0" w:color="auto"/>
            <w:left w:val="none" w:sz="0" w:space="0" w:color="auto"/>
            <w:bottom w:val="none" w:sz="0" w:space="0" w:color="auto"/>
            <w:right w:val="none" w:sz="0" w:space="0" w:color="auto"/>
          </w:divBdr>
          <w:divsChild>
            <w:div w:id="4098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185">
      <w:bodyDiv w:val="1"/>
      <w:marLeft w:val="0"/>
      <w:marRight w:val="0"/>
      <w:marTop w:val="0"/>
      <w:marBottom w:val="0"/>
      <w:divBdr>
        <w:top w:val="none" w:sz="0" w:space="0" w:color="auto"/>
        <w:left w:val="none" w:sz="0" w:space="0" w:color="auto"/>
        <w:bottom w:val="none" w:sz="0" w:space="0" w:color="auto"/>
        <w:right w:val="none" w:sz="0" w:space="0" w:color="auto"/>
      </w:divBdr>
      <w:divsChild>
        <w:div w:id="306513074">
          <w:marLeft w:val="0"/>
          <w:marRight w:val="0"/>
          <w:marTop w:val="0"/>
          <w:marBottom w:val="0"/>
          <w:divBdr>
            <w:top w:val="none" w:sz="0" w:space="0" w:color="auto"/>
            <w:left w:val="none" w:sz="0" w:space="0" w:color="auto"/>
            <w:bottom w:val="none" w:sz="0" w:space="0" w:color="auto"/>
            <w:right w:val="none" w:sz="0" w:space="0" w:color="auto"/>
          </w:divBdr>
        </w:div>
        <w:div w:id="927428509">
          <w:marLeft w:val="0"/>
          <w:marRight w:val="0"/>
          <w:marTop w:val="0"/>
          <w:marBottom w:val="0"/>
          <w:divBdr>
            <w:top w:val="none" w:sz="0" w:space="0" w:color="auto"/>
            <w:left w:val="none" w:sz="0" w:space="0" w:color="auto"/>
            <w:bottom w:val="none" w:sz="0" w:space="0" w:color="auto"/>
            <w:right w:val="none" w:sz="0" w:space="0" w:color="auto"/>
          </w:divBdr>
        </w:div>
      </w:divsChild>
    </w:div>
    <w:div w:id="1946616623">
      <w:bodyDiv w:val="1"/>
      <w:marLeft w:val="0"/>
      <w:marRight w:val="0"/>
      <w:marTop w:val="0"/>
      <w:marBottom w:val="0"/>
      <w:divBdr>
        <w:top w:val="none" w:sz="0" w:space="0" w:color="auto"/>
        <w:left w:val="none" w:sz="0" w:space="0" w:color="auto"/>
        <w:bottom w:val="none" w:sz="0" w:space="0" w:color="auto"/>
        <w:right w:val="none" w:sz="0" w:space="0" w:color="auto"/>
      </w:divBdr>
      <w:divsChild>
        <w:div w:id="1517959609">
          <w:marLeft w:val="0"/>
          <w:marRight w:val="0"/>
          <w:marTop w:val="0"/>
          <w:marBottom w:val="0"/>
          <w:divBdr>
            <w:top w:val="none" w:sz="0" w:space="0" w:color="auto"/>
            <w:left w:val="none" w:sz="0" w:space="0" w:color="auto"/>
            <w:bottom w:val="none" w:sz="0" w:space="0" w:color="auto"/>
            <w:right w:val="none" w:sz="0" w:space="0" w:color="auto"/>
          </w:divBdr>
        </w:div>
        <w:div w:id="1390035605">
          <w:marLeft w:val="0"/>
          <w:marRight w:val="0"/>
          <w:marTop w:val="0"/>
          <w:marBottom w:val="0"/>
          <w:divBdr>
            <w:top w:val="none" w:sz="0" w:space="0" w:color="auto"/>
            <w:left w:val="none" w:sz="0" w:space="0" w:color="auto"/>
            <w:bottom w:val="none" w:sz="0" w:space="0" w:color="auto"/>
            <w:right w:val="none" w:sz="0" w:space="0" w:color="auto"/>
          </w:divBdr>
          <w:divsChild>
            <w:div w:id="301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179">
      <w:bodyDiv w:val="1"/>
      <w:marLeft w:val="0"/>
      <w:marRight w:val="0"/>
      <w:marTop w:val="0"/>
      <w:marBottom w:val="0"/>
      <w:divBdr>
        <w:top w:val="none" w:sz="0" w:space="0" w:color="auto"/>
        <w:left w:val="none" w:sz="0" w:space="0" w:color="auto"/>
        <w:bottom w:val="none" w:sz="0" w:space="0" w:color="auto"/>
        <w:right w:val="none" w:sz="0" w:space="0" w:color="auto"/>
      </w:divBdr>
      <w:divsChild>
        <w:div w:id="2123453705">
          <w:marLeft w:val="0"/>
          <w:marRight w:val="0"/>
          <w:marTop w:val="0"/>
          <w:marBottom w:val="0"/>
          <w:divBdr>
            <w:top w:val="none" w:sz="0" w:space="0" w:color="auto"/>
            <w:left w:val="none" w:sz="0" w:space="0" w:color="auto"/>
            <w:bottom w:val="none" w:sz="0" w:space="0" w:color="auto"/>
            <w:right w:val="none" w:sz="0" w:space="0" w:color="auto"/>
          </w:divBdr>
        </w:div>
        <w:div w:id="18202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605130">
          <w:marLeft w:val="0"/>
          <w:marRight w:val="0"/>
          <w:marTop w:val="0"/>
          <w:marBottom w:val="0"/>
          <w:divBdr>
            <w:top w:val="none" w:sz="0" w:space="0" w:color="auto"/>
            <w:left w:val="none" w:sz="0" w:space="0" w:color="auto"/>
            <w:bottom w:val="none" w:sz="0" w:space="0" w:color="auto"/>
            <w:right w:val="none" w:sz="0" w:space="0" w:color="auto"/>
          </w:divBdr>
        </w:div>
        <w:div w:id="1650404520">
          <w:marLeft w:val="0"/>
          <w:marRight w:val="0"/>
          <w:marTop w:val="0"/>
          <w:marBottom w:val="0"/>
          <w:divBdr>
            <w:top w:val="none" w:sz="0" w:space="0" w:color="auto"/>
            <w:left w:val="none" w:sz="0" w:space="0" w:color="auto"/>
            <w:bottom w:val="none" w:sz="0" w:space="0" w:color="auto"/>
            <w:right w:val="none" w:sz="0" w:space="0" w:color="auto"/>
          </w:divBdr>
        </w:div>
        <w:div w:id="792480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AASCHBERT CHIWANZA</dc:creator>
  <cp:keywords/>
  <dc:description/>
  <cp:lastModifiedBy>AASCHBERT CHIWANZA</cp:lastModifiedBy>
  <cp:revision>1</cp:revision>
  <cp:lastPrinted>2019-04-01T14:16:00Z</cp:lastPrinted>
  <dcterms:created xsi:type="dcterms:W3CDTF">2019-04-01T14:08:00Z</dcterms:created>
  <dcterms:modified xsi:type="dcterms:W3CDTF">2019-04-02T06:54:00Z</dcterms:modified>
</cp:coreProperties>
</file>