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</w:t>
      </w:r>
      <w:r>
        <w:rPr>
          <w:rFonts w:ascii="Arial" w:hAnsi="Arial" w:cs="Arial" w:eastAsia="Arial"/>
          <w:color w:val="252525"/>
          <w:sz w:val="51"/>
        </w:rPr>
        <w:t>OSEPH SAMWEL MUHINGIRA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2025-04-07658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NASIBU YASSIN SAID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2025-04-10125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JOEL GREGORY MTOROBO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2025-04-07618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ASAPH BUNG'ANDO KOROTO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2025-04-04274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WISDOM EMERSON TEMU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2025-04-11203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1.According to Rosen, who are the key historical figures behind Propositional Logic and what was their main contribution?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2.In your own words, what is the informal definition of Propositional Logic and how does it differ from the formal one as described in Rosen?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3.Rosen states that not every sentence is a proposition. Can you give two examples of sentences that are NOT propositions and explain why?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4.How are propositional variables different from regular mathematical variables? Give an example from Rosen.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5.In operator precedence, which logical operator has the highest priority according to Rosen, and why does precedence matter when evaluating expressions?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6.From the laws of propositional equivalence, can you demonstrate De Morgan's Law using a simple example?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7.What is the difference between Vacuous True and Trivial True in mathematical implication? Give one example of each.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8.Rosen explains that p → q can be true even when p is false. Can you walk us through why that is, using a simple example?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9.Using Rosen's definition, construct a simple example of a contradiction and explain why it can never be true.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10.From the connectives discussed, which one do you consider most important in building compound propositions and why?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2026-04-21T16:51:54Z</dcterms:created>
  <dc:creator>Apache POI</dc:creator>
</cp:coreProperties>
</file>