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22" w:rsidRPr="006D4BD2" w:rsidRDefault="00095222" w:rsidP="00095222">
      <w:pPr>
        <w:spacing w:after="120" w:line="480" w:lineRule="auto"/>
        <w:ind w:left="720"/>
        <w:rPr>
          <w:rFonts w:eastAsia="Times New Roman" w:cs="Times New Roman"/>
          <w:szCs w:val="24"/>
        </w:rPr>
      </w:pPr>
      <w:proofErr w:type="gramStart"/>
      <w:r w:rsidRPr="006D4BD2">
        <w:rPr>
          <w:rFonts w:cs="Times New Roman"/>
          <w:b/>
          <w:szCs w:val="24"/>
        </w:rPr>
        <w:t>Indefatigable, bachelor males advertising for a mate.</w:t>
      </w:r>
      <w:proofErr w:type="gramEnd"/>
      <w:r w:rsidRPr="006D4BD2">
        <w:rPr>
          <w:rFonts w:cs="Times New Roman"/>
          <w:b/>
          <w:szCs w:val="24"/>
        </w:rPr>
        <w:t xml:space="preserve"> </w:t>
      </w:r>
      <w:r w:rsidRPr="006D4BD2">
        <w:rPr>
          <w:rFonts w:eastAsia="Times New Roman" w:cs="Times New Roman"/>
          <w:szCs w:val="24"/>
        </w:rPr>
        <w:t xml:space="preserve">For a week or two during early spring, get to know a singing male by documenting his singing effort to attract a mate to his territory. Males typically return from migration before females; each male establishes his territory and then, until a female joins him, he is a bachelor and typically sings all day long. Enjoy all-nighters? Find a local nightjar. Don’t limit yourself to whip-poor-wills, but consider their relatives, such </w:t>
      </w:r>
      <w:bookmarkStart w:id="0" w:name="_GoBack"/>
      <w:bookmarkEnd w:id="0"/>
      <w:r w:rsidRPr="006D4BD2">
        <w:rPr>
          <w:rFonts w:eastAsia="Times New Roman" w:cs="Times New Roman"/>
          <w:szCs w:val="24"/>
        </w:rPr>
        <w:t xml:space="preserve">as a chuck-will’s-widow or a common </w:t>
      </w:r>
      <w:proofErr w:type="spellStart"/>
      <w:r w:rsidRPr="006D4BD2">
        <w:rPr>
          <w:rFonts w:eastAsia="Times New Roman" w:cs="Times New Roman"/>
          <w:szCs w:val="24"/>
        </w:rPr>
        <w:t>poorwill</w:t>
      </w:r>
      <w:proofErr w:type="spellEnd"/>
      <w:r w:rsidRPr="006D4BD2">
        <w:rPr>
          <w:rFonts w:eastAsia="Times New Roman" w:cs="Times New Roman"/>
          <w:szCs w:val="24"/>
        </w:rPr>
        <w:t xml:space="preserve">. Or choose a songbird just returning from migration; warblers are fascinating, because many species use different songs in advertising for females and in fighting with males (e.g., </w:t>
      </w:r>
      <w:r w:rsidR="0054040A" w:rsidRPr="006D4BD2">
        <w:rPr>
          <w:rFonts w:eastAsia="Times New Roman" w:cs="Times New Roman"/>
          <w:szCs w:val="24"/>
        </w:rPr>
        <w:t xml:space="preserve">yellow warbler, </w:t>
      </w:r>
      <w:r w:rsidRPr="006D4BD2">
        <w:rPr>
          <w:rFonts w:eastAsia="Times New Roman" w:cs="Times New Roman"/>
          <w:szCs w:val="24"/>
        </w:rPr>
        <w:t xml:space="preserve">p. </w:t>
      </w:r>
      <w:r w:rsidR="0054040A" w:rsidRPr="006D4BD2">
        <w:rPr>
          <w:rFonts w:eastAsia="Times New Roman" w:cs="Times New Roman"/>
          <w:szCs w:val="24"/>
        </w:rPr>
        <w:t>115</w:t>
      </w:r>
      <w:r w:rsidRPr="006D4BD2">
        <w:rPr>
          <w:rFonts w:eastAsia="Times New Roman" w:cs="Times New Roman"/>
          <w:szCs w:val="24"/>
        </w:rPr>
        <w:t xml:space="preserve">). If you don’t want to choose a particular species, you could document the decline in singing for all species in an area by simply counting the number of songs or singing birds that can be heard during a selected time period each morning (e.g., a 15-minute block of time each day beginning at 9 </w:t>
      </w:r>
      <w:r w:rsidRPr="006D4BD2">
        <w:rPr>
          <w:rFonts w:eastAsia="Times New Roman" w:cs="Times New Roman"/>
          <w:smallCaps/>
          <w:szCs w:val="24"/>
        </w:rPr>
        <w:t>a.m.</w:t>
      </w:r>
      <w:r w:rsidRPr="006D4BD2">
        <w:rPr>
          <w:rFonts w:eastAsia="Times New Roman" w:cs="Times New Roman"/>
          <w:szCs w:val="24"/>
        </w:rPr>
        <w:t>).</w:t>
      </w:r>
    </w:p>
    <w:p w:rsidR="006D4BD2" w:rsidRPr="006D4BD2" w:rsidRDefault="006D4BD2" w:rsidP="006D4BD2">
      <w:pPr>
        <w:pStyle w:val="Default"/>
        <w:rPr>
          <w:rFonts w:ascii="Times New Roman" w:hAnsi="Times New Roman" w:cs="Times New Roman"/>
        </w:rPr>
      </w:pPr>
    </w:p>
    <w:p w:rsidR="006D4BD2" w:rsidRPr="006D4BD2" w:rsidRDefault="006D4BD2" w:rsidP="006D4BD2">
      <w:pPr>
        <w:spacing w:after="120" w:line="480" w:lineRule="auto"/>
        <w:ind w:left="720"/>
        <w:rPr>
          <w:rFonts w:eastAsia="Times New Roman" w:cs="Times New Roman"/>
          <w:szCs w:val="24"/>
        </w:rPr>
      </w:pPr>
      <w:r w:rsidRPr="006D4BD2">
        <w:rPr>
          <w:rFonts w:cs="Times New Roman"/>
          <w:color w:val="211D1E"/>
          <w:szCs w:val="24"/>
        </w:rPr>
        <w:t xml:space="preserve">Among some species, each male attempts to attract several mates (a mating system known as “polygyny”), and as a result his singing (or “displaying”) can continue unabated throughout the nesting season. He is, in effect, always seeking a mate to father </w:t>
      </w:r>
      <w:proofErr w:type="gramStart"/>
      <w:r w:rsidRPr="006D4BD2">
        <w:rPr>
          <w:rFonts w:cs="Times New Roman"/>
          <w:color w:val="211D1E"/>
          <w:szCs w:val="24"/>
        </w:rPr>
        <w:t>more young</w:t>
      </w:r>
      <w:proofErr w:type="gramEnd"/>
      <w:r w:rsidRPr="006D4BD2">
        <w:rPr>
          <w:rFonts w:cs="Times New Roman"/>
          <w:color w:val="211D1E"/>
          <w:szCs w:val="24"/>
        </w:rPr>
        <w:t>. Below are three examples, in addition to nine mentioned elsewhere in other con</w:t>
      </w:r>
      <w:r w:rsidRPr="006D4BD2">
        <w:rPr>
          <w:rFonts w:cs="Times New Roman"/>
          <w:color w:val="211D1E"/>
          <w:szCs w:val="24"/>
        </w:rPr>
        <w:softHyphen/>
        <w:t>texts in the book: ruffed grouse (p. 141), Anna’s hummingbird (p. 69), broad-tailed hummingbird (p. 22), American wo</w:t>
      </w:r>
      <w:r w:rsidRPr="006D4BD2">
        <w:rPr>
          <w:rFonts w:cs="Times New Roman"/>
          <w:color w:val="211D1E"/>
          <w:szCs w:val="24"/>
        </w:rPr>
        <w:t>odcock (p. 130), sedge wren (</w:t>
      </w:r>
      <w:r w:rsidRPr="006D4BD2">
        <w:rPr>
          <w:rFonts w:cs="Times New Roman"/>
          <w:color w:val="000000"/>
          <w:szCs w:val="24"/>
        </w:rPr>
        <w:t>pp. 48, 91, 144, 159</w:t>
      </w:r>
      <w:r w:rsidRPr="006D4BD2">
        <w:rPr>
          <w:rFonts w:cs="Times New Roman"/>
          <w:color w:val="211D1E"/>
          <w:szCs w:val="24"/>
        </w:rPr>
        <w:t>), marsh wren (</w:t>
      </w:r>
      <w:r w:rsidRPr="006D4BD2">
        <w:rPr>
          <w:rFonts w:cs="Times New Roman"/>
          <w:color w:val="000000"/>
          <w:szCs w:val="24"/>
        </w:rPr>
        <w:t>pp. 34, 60</w:t>
      </w:r>
      <w:r w:rsidRPr="006D4BD2">
        <w:rPr>
          <w:rFonts w:cs="Times New Roman"/>
          <w:color w:val="211D1E"/>
          <w:szCs w:val="24"/>
        </w:rPr>
        <w:t>), bobolink (p. 68), red-winged blackbird (</w:t>
      </w:r>
      <w:r w:rsidRPr="006D4BD2">
        <w:rPr>
          <w:rFonts w:cs="Times New Roman"/>
          <w:color w:val="000000"/>
          <w:szCs w:val="24"/>
        </w:rPr>
        <w:t>pp. 18, 70, 117</w:t>
      </w:r>
      <w:r w:rsidRPr="006D4BD2">
        <w:rPr>
          <w:rFonts w:cs="Times New Roman"/>
          <w:color w:val="211D1E"/>
          <w:szCs w:val="24"/>
        </w:rPr>
        <w:t>), and great-tailed grackle (</w:t>
      </w:r>
      <w:r w:rsidRPr="006D4BD2">
        <w:rPr>
          <w:rFonts w:cs="Times New Roman"/>
          <w:color w:val="000000"/>
          <w:szCs w:val="24"/>
        </w:rPr>
        <w:t>pp. 109, 166</w:t>
      </w:r>
      <w:r w:rsidRPr="006D4BD2">
        <w:rPr>
          <w:rFonts w:cs="Times New Roman"/>
          <w:color w:val="211D1E"/>
          <w:szCs w:val="24"/>
        </w:rPr>
        <w:t>).</w:t>
      </w:r>
    </w:p>
    <w:p w:rsidR="004B7FAB" w:rsidRPr="006D4BD2" w:rsidRDefault="004B7FAB">
      <w:pPr>
        <w:rPr>
          <w:rFonts w:cs="Times New Roman"/>
          <w:szCs w:val="24"/>
        </w:rPr>
      </w:pPr>
    </w:p>
    <w:sectPr w:rsidR="004B7FAB" w:rsidRPr="006D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0869C5"/>
    <w:rsid w:val="00095222"/>
    <w:rsid w:val="00114EA8"/>
    <w:rsid w:val="0044584C"/>
    <w:rsid w:val="004B7FAB"/>
    <w:rsid w:val="0054040A"/>
    <w:rsid w:val="006273C3"/>
    <w:rsid w:val="006D4BD2"/>
    <w:rsid w:val="00EA6421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4BD2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4BD2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2019-02-02T17:07:00Z</dcterms:created>
  <dcterms:modified xsi:type="dcterms:W3CDTF">2019-07-31T22:51:00Z</dcterms:modified>
</cp:coreProperties>
</file>