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b/>
          <w:szCs w:val="24"/>
        </w:rPr>
        <w:t xml:space="preserve">Song changes over evolutionary time. </w:t>
      </w:r>
      <w:r w:rsidRPr="007F22B5">
        <w:rPr>
          <w:rFonts w:cs="Times New Roman"/>
          <w:szCs w:val="24"/>
        </w:rPr>
        <w:t xml:space="preserve">The above examples focus on just a few species, but throughout this book are many other examples of closely related species that could be compared. See </w:t>
      </w:r>
      <w:r>
        <w:rPr>
          <w:rFonts w:cs="Times New Roman"/>
          <w:szCs w:val="24"/>
        </w:rPr>
        <w:t>“</w:t>
      </w:r>
      <w:r w:rsidRPr="007F22B5">
        <w:rPr>
          <w:rFonts w:cs="Times New Roman"/>
          <w:szCs w:val="24"/>
        </w:rPr>
        <w:t>Who’s Who</w:t>
      </w:r>
      <w:r>
        <w:rPr>
          <w:rFonts w:cs="Times New Roman"/>
          <w:szCs w:val="24"/>
        </w:rPr>
        <w:t>”</w:t>
      </w:r>
      <w:r w:rsidRPr="007F22B5">
        <w:rPr>
          <w:rFonts w:cs="Times New Roman"/>
          <w:szCs w:val="24"/>
        </w:rPr>
        <w:t xml:space="preserve"> on p. </w:t>
      </w:r>
      <w:r w:rsidR="0051639C">
        <w:rPr>
          <w:rFonts w:cs="Times New Roman"/>
          <w:szCs w:val="24"/>
        </w:rPr>
        <w:t>170</w:t>
      </w:r>
      <w:r w:rsidRPr="007F22B5">
        <w:rPr>
          <w:rFonts w:cs="Times New Roman"/>
          <w:szCs w:val="24"/>
        </w:rPr>
        <w:t>, for example, and look for close relatives in the same genus. Here are a few additional comparisons that I find intriguing: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Eastern whip-poor-will, Mexican whip-poor-will in the genus </w:t>
      </w:r>
      <w:r w:rsidRPr="007F22B5">
        <w:rPr>
          <w:rFonts w:cs="Times New Roman"/>
          <w:i/>
          <w:szCs w:val="24"/>
        </w:rPr>
        <w:t xml:space="preserve">Antrostomus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171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The sapsuckers in the genus </w:t>
      </w:r>
      <w:r w:rsidRPr="007F22B5">
        <w:rPr>
          <w:rFonts w:cs="Times New Roman"/>
          <w:i/>
          <w:szCs w:val="24"/>
        </w:rPr>
        <w:t xml:space="preserve">Sphyrapicus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173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i/>
          <w:szCs w:val="24"/>
        </w:rPr>
      </w:pPr>
      <w:r w:rsidRPr="007F22B5">
        <w:rPr>
          <w:rFonts w:cs="Times New Roman"/>
          <w:szCs w:val="24"/>
        </w:rPr>
        <w:t xml:space="preserve">Eastern phoebe, Say’s phoebe, black phoebe in the genus </w:t>
      </w:r>
      <w:r w:rsidRPr="007F22B5">
        <w:rPr>
          <w:rFonts w:cs="Times New Roman"/>
          <w:i/>
          <w:szCs w:val="24"/>
        </w:rPr>
        <w:t xml:space="preserve">Sayornis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174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Vireos in the genus </w:t>
      </w:r>
      <w:r w:rsidRPr="007F22B5">
        <w:rPr>
          <w:rFonts w:cs="Times New Roman"/>
          <w:i/>
          <w:szCs w:val="24"/>
        </w:rPr>
        <w:t xml:space="preserve">Vireo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174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Chickadees in the genus </w:t>
      </w:r>
      <w:r w:rsidRPr="007F22B5">
        <w:rPr>
          <w:rFonts w:cs="Times New Roman"/>
          <w:i/>
          <w:szCs w:val="24"/>
        </w:rPr>
        <w:t xml:space="preserve">Poecile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175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i/>
          <w:szCs w:val="24"/>
        </w:rPr>
      </w:pPr>
      <w:r w:rsidRPr="007F22B5">
        <w:rPr>
          <w:rFonts w:cs="Times New Roman"/>
          <w:szCs w:val="24"/>
        </w:rPr>
        <w:t xml:space="preserve">Sedge wren, marsh wren in the genus </w:t>
      </w:r>
      <w:r w:rsidRPr="007F22B5">
        <w:rPr>
          <w:rFonts w:cs="Times New Roman"/>
          <w:i/>
          <w:szCs w:val="24"/>
        </w:rPr>
        <w:t xml:space="preserve">Cistothorus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175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Thrushes in the genus </w:t>
      </w:r>
      <w:r w:rsidRPr="007F22B5">
        <w:rPr>
          <w:rFonts w:cs="Times New Roman"/>
          <w:i/>
          <w:szCs w:val="24"/>
        </w:rPr>
        <w:t xml:space="preserve">Catharus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176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Thrashers in the genus </w:t>
      </w:r>
      <w:r w:rsidRPr="007F22B5">
        <w:rPr>
          <w:rFonts w:cs="Times New Roman"/>
          <w:i/>
          <w:szCs w:val="24"/>
        </w:rPr>
        <w:t>Toxostoma</w:t>
      </w:r>
      <w:r w:rsidRPr="007F22B5">
        <w:rPr>
          <w:rFonts w:cs="Times New Roman"/>
          <w:szCs w:val="24"/>
        </w:rPr>
        <w:t xml:space="preserve"> (p. </w:t>
      </w:r>
      <w:r w:rsidR="0051639C">
        <w:rPr>
          <w:rFonts w:cs="Times New Roman"/>
          <w:szCs w:val="24"/>
        </w:rPr>
        <w:t>176</w:t>
      </w:r>
      <w:r w:rsidRPr="007F22B5">
        <w:rPr>
          <w:rFonts w:cs="Times New Roman"/>
          <w:szCs w:val="24"/>
        </w:rPr>
        <w:t>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Sparrows in the genera </w:t>
      </w:r>
      <w:r w:rsidRPr="007F22B5">
        <w:rPr>
          <w:rFonts w:cs="Times New Roman"/>
          <w:i/>
          <w:szCs w:val="24"/>
        </w:rPr>
        <w:t>Spizella</w:t>
      </w:r>
      <w:r w:rsidRPr="007F22B5">
        <w:rPr>
          <w:rFonts w:cs="Times New Roman"/>
          <w:szCs w:val="24"/>
        </w:rPr>
        <w:t xml:space="preserve"> and </w:t>
      </w:r>
      <w:r w:rsidRPr="007F22B5">
        <w:rPr>
          <w:rFonts w:cs="Times New Roman"/>
          <w:i/>
          <w:szCs w:val="24"/>
        </w:rPr>
        <w:t xml:space="preserve">Zonotrichia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177</w:t>
      </w:r>
      <w:r w:rsidRPr="007F22B5">
        <w:rPr>
          <w:rFonts w:cs="Times New Roman"/>
          <w:szCs w:val="24"/>
        </w:rPr>
        <w:t>)</w:t>
      </w:r>
    </w:p>
    <w:p w:rsidR="0051639C" w:rsidRPr="0051639C" w:rsidRDefault="003F0A6E" w:rsidP="0051639C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Warblers in the genera </w:t>
      </w:r>
      <w:r w:rsidRPr="007F22B5">
        <w:rPr>
          <w:rFonts w:cs="Times New Roman"/>
          <w:i/>
          <w:szCs w:val="24"/>
        </w:rPr>
        <w:t>Geothlypis</w:t>
      </w:r>
      <w:r w:rsidRPr="007F22B5">
        <w:rPr>
          <w:rFonts w:cs="Times New Roman"/>
          <w:szCs w:val="24"/>
        </w:rPr>
        <w:t xml:space="preserve"> and </w:t>
      </w:r>
      <w:r w:rsidRPr="007F22B5">
        <w:rPr>
          <w:rFonts w:cs="Times New Roman"/>
          <w:i/>
          <w:szCs w:val="24"/>
        </w:rPr>
        <w:t xml:space="preserve">Setophaga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178)</w:t>
      </w:r>
    </w:p>
    <w:p w:rsidR="003F0A6E" w:rsidRPr="007F22B5" w:rsidRDefault="003F0A6E" w:rsidP="003F0A6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Buntings in the genus </w:t>
      </w:r>
      <w:r w:rsidRPr="007F22B5">
        <w:rPr>
          <w:rFonts w:cs="Times New Roman"/>
          <w:i/>
          <w:szCs w:val="24"/>
        </w:rPr>
        <w:t xml:space="preserve">Passerina </w:t>
      </w:r>
      <w:r w:rsidRPr="007F22B5">
        <w:rPr>
          <w:rFonts w:cs="Times New Roman"/>
          <w:szCs w:val="24"/>
        </w:rPr>
        <w:t xml:space="preserve">(p. </w:t>
      </w:r>
      <w:r w:rsidR="0051639C">
        <w:rPr>
          <w:rFonts w:cs="Times New Roman"/>
          <w:szCs w:val="24"/>
        </w:rPr>
        <w:t>178</w:t>
      </w:r>
      <w:bookmarkStart w:id="0" w:name="_GoBack"/>
      <w:bookmarkEnd w:id="0"/>
      <w:r w:rsidRPr="007F22B5">
        <w:rPr>
          <w:rFonts w:cs="Times New Roman"/>
          <w:szCs w:val="24"/>
        </w:rPr>
        <w:t>)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3F0A6E"/>
    <w:rsid w:val="0044584C"/>
    <w:rsid w:val="004B7FAB"/>
    <w:rsid w:val="0051639C"/>
    <w:rsid w:val="006273C3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2019-02-02T17:05:00Z</dcterms:created>
  <dcterms:modified xsi:type="dcterms:W3CDTF">2019-07-31T22:35:00Z</dcterms:modified>
</cp:coreProperties>
</file>