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6D4503" w:rsidTr="006D4503">
        <w:tc>
          <w:tcPr>
            <w:tcW w:w="4675" w:type="dxa"/>
          </w:tcPr>
          <w:p w:rsidR="006D4503" w:rsidRDefault="006D4503" w:rsidP="006D4503">
            <w:pPr>
              <w:rPr>
                <w:lang w:val="en-US"/>
              </w:rPr>
            </w:pPr>
            <w:r>
              <w:rPr>
                <w:lang w:val="en-US"/>
              </w:rPr>
              <w:t>Green</w:t>
            </w:r>
          </w:p>
        </w:tc>
        <w:tc>
          <w:tcPr>
            <w:tcW w:w="4675" w:type="dxa"/>
          </w:tcPr>
          <w:p w:rsidR="006D4503" w:rsidRDefault="006D4503" w:rsidP="006D4503">
            <w:pPr>
              <w:rPr>
                <w:lang w:val="en-US"/>
              </w:rPr>
            </w:pPr>
            <w:r>
              <w:rPr>
                <w:lang w:val="en-US"/>
              </w:rPr>
              <w:t>Dark Blue</w:t>
            </w:r>
          </w:p>
        </w:tc>
      </w:tr>
      <w:tr w:rsidR="006D4503" w:rsidTr="006D4503">
        <w:tc>
          <w:tcPr>
            <w:tcW w:w="4675" w:type="dxa"/>
          </w:tcPr>
          <w:p w:rsidR="006D4503" w:rsidRDefault="006D4503" w:rsidP="006D4503">
            <w:pPr>
              <w:rPr>
                <w:lang w:val="en-US"/>
              </w:rPr>
            </w:pPr>
            <w:r>
              <w:rPr>
                <w:lang w:val="en-US"/>
              </w:rPr>
              <w:t>R: 93</w:t>
            </w:r>
          </w:p>
        </w:tc>
        <w:tc>
          <w:tcPr>
            <w:tcW w:w="4675" w:type="dxa"/>
          </w:tcPr>
          <w:p w:rsidR="006D4503" w:rsidRDefault="006D4503" w:rsidP="006D4503">
            <w:pPr>
              <w:rPr>
                <w:lang w:val="en-US"/>
              </w:rPr>
            </w:pPr>
            <w:r>
              <w:rPr>
                <w:lang w:val="en-US"/>
              </w:rPr>
              <w:t>R: 0</w:t>
            </w:r>
          </w:p>
        </w:tc>
      </w:tr>
      <w:tr w:rsidR="006D4503" w:rsidTr="006D4503">
        <w:tc>
          <w:tcPr>
            <w:tcW w:w="4675" w:type="dxa"/>
          </w:tcPr>
          <w:p w:rsidR="006D4503" w:rsidRDefault="006D4503" w:rsidP="006D4503">
            <w:pPr>
              <w:rPr>
                <w:lang w:val="en-US"/>
              </w:rPr>
            </w:pPr>
            <w:r>
              <w:rPr>
                <w:lang w:val="en-US"/>
              </w:rPr>
              <w:t>G: 195</w:t>
            </w:r>
          </w:p>
        </w:tc>
        <w:tc>
          <w:tcPr>
            <w:tcW w:w="4675" w:type="dxa"/>
          </w:tcPr>
          <w:p w:rsidR="006D4503" w:rsidRDefault="006D4503" w:rsidP="006D4503">
            <w:pPr>
              <w:rPr>
                <w:lang w:val="en-US"/>
              </w:rPr>
            </w:pPr>
            <w:r>
              <w:rPr>
                <w:lang w:val="en-US"/>
              </w:rPr>
              <w:t>G: 55</w:t>
            </w:r>
          </w:p>
        </w:tc>
      </w:tr>
      <w:tr w:rsidR="006D4503" w:rsidTr="006D4503">
        <w:tc>
          <w:tcPr>
            <w:tcW w:w="4675" w:type="dxa"/>
          </w:tcPr>
          <w:p w:rsidR="006D4503" w:rsidRDefault="006D4503" w:rsidP="006D4503">
            <w:pPr>
              <w:rPr>
                <w:lang w:val="en-US"/>
              </w:rPr>
            </w:pPr>
            <w:r>
              <w:rPr>
                <w:lang w:val="en-US"/>
              </w:rPr>
              <w:t>B: 4</w:t>
            </w:r>
          </w:p>
        </w:tc>
        <w:tc>
          <w:tcPr>
            <w:tcW w:w="4675" w:type="dxa"/>
          </w:tcPr>
          <w:p w:rsidR="006D4503" w:rsidRDefault="006D4503" w:rsidP="006D4503">
            <w:pPr>
              <w:rPr>
                <w:lang w:val="en-US"/>
              </w:rPr>
            </w:pPr>
            <w:r>
              <w:rPr>
                <w:lang w:val="en-US"/>
              </w:rPr>
              <w:t>B: 103</w:t>
            </w:r>
          </w:p>
        </w:tc>
      </w:tr>
    </w:tbl>
    <w:p w:rsidR="006D4503" w:rsidRPr="006D4503" w:rsidRDefault="006D4503" w:rsidP="009909E4">
      <w:pPr>
        <w:pStyle w:val="BasicParagraph"/>
        <w:rPr>
          <w:rFonts w:ascii="Arial" w:hAnsi="Arial" w:cs="Arial"/>
          <w:bCs/>
          <w:iCs/>
          <w:color w:val="002F56"/>
          <w:sz w:val="36"/>
          <w:szCs w:val="36"/>
        </w:rPr>
      </w:pPr>
      <w:r w:rsidRPr="006D4503">
        <w:rPr>
          <w:rFonts w:ascii="Arial" w:hAnsi="Arial" w:cs="Arial"/>
          <w:bCs/>
          <w:iCs/>
          <w:color w:val="002F56"/>
          <w:sz w:val="36"/>
          <w:szCs w:val="36"/>
        </w:rPr>
        <w:t>3.</w:t>
      </w:r>
    </w:p>
    <w:p w:rsidR="009909E4" w:rsidRDefault="009909E4" w:rsidP="009909E4">
      <w:pPr>
        <w:pStyle w:val="BasicParagraph"/>
        <w:rPr>
          <w:rFonts w:ascii="Arial" w:hAnsi="Arial" w:cs="Arial"/>
          <w:b/>
          <w:bCs/>
          <w:i/>
          <w:iCs/>
          <w:color w:val="002F56"/>
          <w:sz w:val="36"/>
          <w:szCs w:val="36"/>
        </w:rPr>
      </w:pPr>
      <w:r>
        <w:rPr>
          <w:rFonts w:ascii="Arial" w:hAnsi="Arial" w:cs="Arial"/>
          <w:b/>
          <w:bCs/>
          <w:i/>
          <w:iCs/>
          <w:color w:val="002F56"/>
          <w:sz w:val="36"/>
          <w:szCs w:val="36"/>
        </w:rPr>
        <w:t>Initial Public Offering</w:t>
      </w:r>
    </w:p>
    <w:p w:rsidR="009909E4" w:rsidRDefault="00B67410" w:rsidP="009909E4">
      <w:pPr>
        <w:pStyle w:val="BasicParagraph"/>
        <w:rPr>
          <w:rFonts w:ascii="Arial" w:hAnsi="Arial" w:cs="Arial"/>
          <w:b/>
          <w:bCs/>
          <w:color w:val="002F56"/>
          <w:sz w:val="26"/>
          <w:szCs w:val="26"/>
        </w:rPr>
      </w:pPr>
      <w:r>
        <w:rPr>
          <w:rFonts w:ascii="Arial" w:hAnsi="Arial" w:cs="Arial"/>
          <w:b/>
          <w:bCs/>
          <w:color w:val="002F56"/>
          <w:sz w:val="26"/>
          <w:szCs w:val="26"/>
        </w:rPr>
        <w:t>May</w:t>
      </w:r>
      <w:r w:rsidR="009909E4">
        <w:rPr>
          <w:rFonts w:ascii="Arial" w:hAnsi="Arial" w:cs="Arial"/>
          <w:b/>
          <w:bCs/>
          <w:color w:val="002F56"/>
          <w:sz w:val="26"/>
          <w:szCs w:val="26"/>
        </w:rPr>
        <w:t xml:space="preserve"> Business   </w:t>
      </w:r>
    </w:p>
    <w:p w:rsidR="003E48F5" w:rsidRDefault="009909E4" w:rsidP="009909E4">
      <w:pPr>
        <w:rPr>
          <w:rFonts w:ascii="Arial" w:hAnsi="Arial" w:cs="Arial"/>
          <w:b/>
          <w:bCs/>
          <w:color w:val="002F56"/>
          <w:sz w:val="26"/>
          <w:szCs w:val="26"/>
        </w:rPr>
      </w:pPr>
      <w:r>
        <w:rPr>
          <w:rFonts w:ascii="Arial" w:hAnsi="Arial" w:cs="Arial"/>
          <w:b/>
          <w:bCs/>
          <w:color w:val="002F56"/>
          <w:sz w:val="26"/>
          <w:szCs w:val="26"/>
        </w:rPr>
        <w:t xml:space="preserve">Reserved TSX Symbol: </w:t>
      </w:r>
      <w:r w:rsidR="00B67410">
        <w:rPr>
          <w:rFonts w:ascii="Arial" w:hAnsi="Arial" w:cs="Arial"/>
          <w:b/>
          <w:bCs/>
          <w:color w:val="002F56"/>
          <w:sz w:val="26"/>
          <w:szCs w:val="26"/>
        </w:rPr>
        <w:t>AGR</w:t>
      </w:r>
      <w:r>
        <w:rPr>
          <w:rFonts w:ascii="Arial" w:hAnsi="Arial" w:cs="Arial"/>
          <w:b/>
          <w:bCs/>
          <w:color w:val="002F56"/>
          <w:sz w:val="26"/>
          <w:szCs w:val="26"/>
        </w:rPr>
        <w:t>.UN</w:t>
      </w:r>
    </w:p>
    <w:p w:rsidR="006D4503" w:rsidRPr="006D4503" w:rsidRDefault="006D4503" w:rsidP="009909E4">
      <w:pPr>
        <w:pStyle w:val="BasicParagraph"/>
        <w:rPr>
          <w:rFonts w:ascii="Arial" w:hAnsi="Arial" w:cs="Arial"/>
          <w:bCs/>
          <w:color w:val="003768"/>
          <w:sz w:val="42"/>
          <w:szCs w:val="42"/>
        </w:rPr>
      </w:pPr>
      <w:r w:rsidRPr="006D4503">
        <w:rPr>
          <w:rFonts w:ascii="Arial" w:hAnsi="Arial" w:cs="Arial"/>
          <w:bCs/>
          <w:color w:val="003768"/>
          <w:sz w:val="42"/>
          <w:szCs w:val="42"/>
        </w:rPr>
        <w:t>4.</w:t>
      </w:r>
    </w:p>
    <w:p w:rsidR="009909E4" w:rsidRDefault="009909E4" w:rsidP="00B67410">
      <w:pPr>
        <w:pStyle w:val="BasicParagraph"/>
      </w:pPr>
      <w:r>
        <w:rPr>
          <w:rFonts w:ascii="Arial" w:hAnsi="Arial" w:cs="Arial"/>
          <w:b/>
          <w:bCs/>
          <w:color w:val="003768"/>
          <w:sz w:val="42"/>
          <w:szCs w:val="42"/>
        </w:rPr>
        <w:t xml:space="preserve">Middlefield Group is pleased to introduce the IPO of our </w:t>
      </w:r>
      <w:r w:rsidR="00B67410" w:rsidRPr="00B67410">
        <w:rPr>
          <w:rFonts w:ascii="Arial" w:hAnsi="Arial" w:cs="Arial"/>
          <w:b/>
          <w:bCs/>
          <w:i/>
          <w:iCs/>
          <w:color w:val="5DC304"/>
          <w:sz w:val="42"/>
          <w:szCs w:val="42"/>
        </w:rPr>
        <w:t>Sustainable Agriculture &amp; Wellness Dividend Fund</w:t>
      </w:r>
    </w:p>
    <w:p w:rsidR="006D4503" w:rsidRDefault="006D4503" w:rsidP="006D4503">
      <w:pPr>
        <w:pStyle w:val="BasicParagraph"/>
        <w:rPr>
          <w:rFonts w:ascii="Arial" w:hAnsi="Arial" w:cs="Arial"/>
          <w:bCs/>
          <w:iCs/>
          <w:color w:val="002F56"/>
          <w:sz w:val="40"/>
          <w:szCs w:val="40"/>
        </w:rPr>
      </w:pPr>
      <w:r>
        <w:rPr>
          <w:rFonts w:ascii="Arial" w:hAnsi="Arial" w:cs="Arial"/>
          <w:bCs/>
          <w:iCs/>
          <w:color w:val="002F56"/>
          <w:sz w:val="40"/>
          <w:szCs w:val="40"/>
        </w:rPr>
        <w:t>5.</w:t>
      </w:r>
    </w:p>
    <w:p w:rsidR="00B67410" w:rsidRDefault="00B67410" w:rsidP="00B67410">
      <w:pPr>
        <w:pStyle w:val="BasicParagraph"/>
        <w:rPr>
          <w:rFonts w:ascii="Arial" w:hAnsi="Arial" w:cs="Arial"/>
          <w:b/>
          <w:bCs/>
          <w:i/>
          <w:iCs/>
          <w:color w:val="002F56"/>
          <w:sz w:val="40"/>
          <w:szCs w:val="40"/>
        </w:rPr>
      </w:pPr>
      <w:r w:rsidRPr="00B67410">
        <w:rPr>
          <w:rFonts w:ascii="Arial" w:hAnsi="Arial" w:cs="Arial"/>
          <w:b/>
          <w:bCs/>
          <w:i/>
          <w:iCs/>
          <w:color w:val="002F56"/>
          <w:sz w:val="40"/>
          <w:szCs w:val="40"/>
        </w:rPr>
        <w:t>“A Portfolio of Industry Leaders and Disruptors Driving</w:t>
      </w:r>
      <w:r>
        <w:rPr>
          <w:rFonts w:ascii="Arial" w:hAnsi="Arial" w:cs="Arial"/>
          <w:b/>
          <w:bCs/>
          <w:i/>
          <w:iCs/>
          <w:color w:val="002F56"/>
          <w:sz w:val="40"/>
          <w:szCs w:val="40"/>
        </w:rPr>
        <w:t xml:space="preserve"> </w:t>
      </w:r>
      <w:r w:rsidRPr="00B67410">
        <w:rPr>
          <w:rFonts w:ascii="Arial" w:hAnsi="Arial" w:cs="Arial"/>
          <w:b/>
          <w:bCs/>
          <w:i/>
          <w:iCs/>
          <w:color w:val="002F56"/>
          <w:sz w:val="40"/>
          <w:szCs w:val="40"/>
        </w:rPr>
        <w:t xml:space="preserve">Sustainability in Agriculture &amp; </w:t>
      </w:r>
      <w:proofErr w:type="spellStart"/>
      <w:r w:rsidRPr="00B67410">
        <w:rPr>
          <w:rFonts w:ascii="Arial" w:hAnsi="Arial" w:cs="Arial"/>
          <w:b/>
          <w:bCs/>
          <w:i/>
          <w:iCs/>
          <w:color w:val="002F56"/>
          <w:sz w:val="40"/>
          <w:szCs w:val="40"/>
        </w:rPr>
        <w:t>Wellness”</w:t>
      </w:r>
    </w:p>
    <w:p w:rsidR="009909E4" w:rsidRDefault="009909E4" w:rsidP="00B67410">
      <w:pPr>
        <w:pStyle w:val="BasicParagraph"/>
        <w:rPr>
          <w:rFonts w:ascii="Arial" w:hAnsi="Arial" w:cs="Arial"/>
          <w:b/>
          <w:bCs/>
          <w:color w:val="002F56"/>
          <w:sz w:val="26"/>
          <w:szCs w:val="26"/>
        </w:rPr>
      </w:pPr>
      <w:r>
        <w:rPr>
          <w:rFonts w:ascii="Arial" w:hAnsi="Arial" w:cs="Arial"/>
          <w:b/>
          <w:bCs/>
          <w:color w:val="002F56"/>
          <w:sz w:val="26"/>
          <w:szCs w:val="26"/>
        </w:rPr>
        <w:t>EXCHANG</w:t>
      </w:r>
      <w:proofErr w:type="spellEnd"/>
      <w:r>
        <w:rPr>
          <w:rFonts w:ascii="Arial" w:hAnsi="Arial" w:cs="Arial"/>
          <w:b/>
          <w:bCs/>
          <w:color w:val="002F56"/>
          <w:sz w:val="26"/>
          <w:szCs w:val="26"/>
        </w:rPr>
        <w:t xml:space="preserve">E OFFER AND CASH OPTION - </w:t>
      </w:r>
      <w:r w:rsidR="00B67410" w:rsidRPr="00B67410">
        <w:rPr>
          <w:rFonts w:ascii="Arial" w:hAnsi="Arial" w:cs="Arial"/>
          <w:b/>
          <w:bCs/>
          <w:color w:val="002F56"/>
          <w:sz w:val="26"/>
          <w:szCs w:val="26"/>
        </w:rPr>
        <w:t>May 25, 2021</w:t>
      </w:r>
    </w:p>
    <w:p w:rsidR="009909E4" w:rsidRDefault="009909E4" w:rsidP="009909E4">
      <w:pPr>
        <w:rPr>
          <w:lang w:val="en-US"/>
        </w:rPr>
      </w:pPr>
    </w:p>
    <w:p w:rsidR="006D4503" w:rsidRPr="006D4503" w:rsidRDefault="006D4503" w:rsidP="009909E4">
      <w:pPr>
        <w:rPr>
          <w:sz w:val="36"/>
          <w:szCs w:val="36"/>
          <w:lang w:val="en-US"/>
        </w:rPr>
      </w:pPr>
      <w:r>
        <w:rPr>
          <w:sz w:val="36"/>
          <w:szCs w:val="36"/>
          <w:lang w:val="en-US"/>
        </w:rPr>
        <w:t>7.</w:t>
      </w:r>
    </w:p>
    <w:p w:rsidR="00B67410" w:rsidRDefault="00B67410" w:rsidP="00B67410">
      <w:pPr>
        <w:pStyle w:val="BasicParagraph"/>
        <w:rPr>
          <w:rFonts w:ascii="Arial" w:hAnsi="Arial" w:cs="Arial"/>
          <w:b/>
          <w:bCs/>
          <w:i/>
          <w:iCs/>
          <w:color w:val="002F56"/>
          <w:sz w:val="32"/>
          <w:szCs w:val="32"/>
        </w:rPr>
      </w:pPr>
      <w:r w:rsidRPr="00B67410">
        <w:rPr>
          <w:rFonts w:ascii="Arial" w:hAnsi="Arial" w:cs="Arial"/>
          <w:b/>
          <w:bCs/>
          <w:i/>
          <w:iCs/>
          <w:color w:val="002F56"/>
          <w:sz w:val="32"/>
          <w:szCs w:val="32"/>
        </w:rPr>
        <w:t>• Strategic allocation between dividend paying Industry Leaders and Disruptors that</w:t>
      </w:r>
      <w:r>
        <w:rPr>
          <w:rFonts w:ascii="Arial" w:hAnsi="Arial" w:cs="Arial"/>
          <w:b/>
          <w:bCs/>
          <w:i/>
          <w:iCs/>
          <w:color w:val="002F56"/>
          <w:sz w:val="32"/>
          <w:szCs w:val="32"/>
        </w:rPr>
        <w:t xml:space="preserve"> </w:t>
      </w:r>
      <w:r w:rsidRPr="00B67410">
        <w:rPr>
          <w:rFonts w:ascii="Arial" w:hAnsi="Arial" w:cs="Arial"/>
          <w:b/>
          <w:bCs/>
          <w:i/>
          <w:iCs/>
          <w:color w:val="002F56"/>
          <w:sz w:val="32"/>
          <w:szCs w:val="32"/>
        </w:rPr>
        <w:t>provide exposure to major innovations in the agriculture and wellness industries</w:t>
      </w:r>
    </w:p>
    <w:p w:rsidR="00B67410" w:rsidRPr="00B67410" w:rsidRDefault="00B67410" w:rsidP="00B67410">
      <w:pPr>
        <w:pStyle w:val="BasicParagraph"/>
        <w:rPr>
          <w:rFonts w:ascii="Arial" w:hAnsi="Arial" w:cs="Arial"/>
          <w:b/>
          <w:bCs/>
          <w:i/>
          <w:iCs/>
          <w:color w:val="002F56"/>
          <w:sz w:val="32"/>
          <w:szCs w:val="32"/>
        </w:rPr>
      </w:pPr>
    </w:p>
    <w:p w:rsidR="00B67410" w:rsidRDefault="00B67410" w:rsidP="00B67410">
      <w:pPr>
        <w:pStyle w:val="BasicParagraph"/>
        <w:rPr>
          <w:rFonts w:ascii="Arial" w:hAnsi="Arial" w:cs="Arial"/>
          <w:b/>
          <w:bCs/>
          <w:i/>
          <w:iCs/>
          <w:color w:val="002F56"/>
          <w:sz w:val="32"/>
          <w:szCs w:val="32"/>
        </w:rPr>
      </w:pPr>
      <w:r w:rsidRPr="00B67410">
        <w:rPr>
          <w:rFonts w:ascii="Arial" w:hAnsi="Arial" w:cs="Arial"/>
          <w:b/>
          <w:bCs/>
          <w:i/>
          <w:iCs/>
          <w:color w:val="002F56"/>
          <w:sz w:val="32"/>
          <w:szCs w:val="32"/>
        </w:rPr>
        <w:t>• Integrates Environmental, Social &amp; Governance considerations to complement fundamental</w:t>
      </w:r>
      <w:r>
        <w:rPr>
          <w:rFonts w:ascii="Arial" w:hAnsi="Arial" w:cs="Arial"/>
          <w:b/>
          <w:bCs/>
          <w:i/>
          <w:iCs/>
          <w:color w:val="002F56"/>
          <w:sz w:val="32"/>
          <w:szCs w:val="32"/>
        </w:rPr>
        <w:t xml:space="preserve"> </w:t>
      </w:r>
      <w:r w:rsidRPr="00B67410">
        <w:rPr>
          <w:rFonts w:ascii="Arial" w:hAnsi="Arial" w:cs="Arial"/>
          <w:b/>
          <w:bCs/>
          <w:i/>
          <w:iCs/>
          <w:color w:val="002F56"/>
          <w:sz w:val="32"/>
          <w:szCs w:val="32"/>
        </w:rPr>
        <w:t>analysis in selecting investments that have sustainable competitive advantages</w:t>
      </w:r>
    </w:p>
    <w:p w:rsidR="00B67410" w:rsidRDefault="00B67410" w:rsidP="00B67410">
      <w:pPr>
        <w:pStyle w:val="BasicParagraph"/>
        <w:rPr>
          <w:rFonts w:ascii="Arial" w:hAnsi="Arial" w:cs="Arial"/>
          <w:bCs/>
          <w:iCs/>
          <w:color w:val="002F56"/>
          <w:spacing w:val="-3"/>
          <w:sz w:val="32"/>
          <w:szCs w:val="32"/>
        </w:rPr>
      </w:pPr>
    </w:p>
    <w:p w:rsidR="00B67410" w:rsidRDefault="00B67410" w:rsidP="00B67410">
      <w:pPr>
        <w:pStyle w:val="BasicParagraph"/>
        <w:rPr>
          <w:rFonts w:ascii="Arial" w:hAnsi="Arial" w:cs="Arial"/>
          <w:bCs/>
          <w:iCs/>
          <w:color w:val="002F56"/>
          <w:spacing w:val="-3"/>
          <w:sz w:val="32"/>
          <w:szCs w:val="32"/>
        </w:rPr>
      </w:pPr>
    </w:p>
    <w:p w:rsidR="006D4503" w:rsidRDefault="006D4503" w:rsidP="00B67410">
      <w:pPr>
        <w:pStyle w:val="BasicParagraph"/>
        <w:rPr>
          <w:rFonts w:ascii="Arial" w:hAnsi="Arial" w:cs="Arial"/>
          <w:bCs/>
          <w:iCs/>
          <w:color w:val="002F56"/>
          <w:spacing w:val="-3"/>
          <w:sz w:val="32"/>
          <w:szCs w:val="32"/>
        </w:rPr>
      </w:pPr>
      <w:r>
        <w:rPr>
          <w:rFonts w:ascii="Arial" w:hAnsi="Arial" w:cs="Arial"/>
          <w:bCs/>
          <w:iCs/>
          <w:color w:val="002F56"/>
          <w:spacing w:val="-3"/>
          <w:sz w:val="32"/>
          <w:szCs w:val="32"/>
        </w:rPr>
        <w:lastRenderedPageBreak/>
        <w:t>8.</w:t>
      </w:r>
    </w:p>
    <w:p w:rsid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Experienced Portfolio Management Team</w:t>
      </w:r>
    </w:p>
    <w:p w:rsidR="006D4503" w:rsidRDefault="006D4503" w:rsidP="006D4503">
      <w:pPr>
        <w:pStyle w:val="BasicParagraph"/>
        <w:rPr>
          <w:rFonts w:ascii="Arial" w:hAnsi="Arial" w:cs="Arial"/>
          <w:bCs/>
          <w:iCs/>
          <w:color w:val="002F56"/>
          <w:spacing w:val="-3"/>
          <w:sz w:val="32"/>
          <w:szCs w:val="32"/>
        </w:rPr>
      </w:pPr>
    </w:p>
    <w:p w:rsidR="00B67410" w:rsidRPr="006D4503" w:rsidRDefault="00B67410" w:rsidP="00B67410">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 xml:space="preserve">Dean </w:t>
      </w:r>
      <w:proofErr w:type="spellStart"/>
      <w:r w:rsidRPr="006D4503">
        <w:rPr>
          <w:rFonts w:ascii="Arial" w:hAnsi="Arial" w:cs="Arial"/>
          <w:bCs/>
          <w:iCs/>
          <w:color w:val="002F56"/>
          <w:spacing w:val="-3"/>
          <w:sz w:val="32"/>
          <w:szCs w:val="32"/>
        </w:rPr>
        <w:t>Orrico</w:t>
      </w:r>
      <w:proofErr w:type="spellEnd"/>
      <w:r w:rsidRPr="006D4503">
        <w:rPr>
          <w:rFonts w:ascii="Arial" w:hAnsi="Arial" w:cs="Arial"/>
          <w:bCs/>
          <w:iCs/>
          <w:color w:val="002F56"/>
          <w:spacing w:val="-3"/>
          <w:sz w:val="32"/>
          <w:szCs w:val="32"/>
        </w:rPr>
        <w:t xml:space="preserve"> </w:t>
      </w:r>
    </w:p>
    <w:p w:rsidR="00B67410" w:rsidRDefault="00B67410" w:rsidP="00B67410">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President &amp; CIO</w:t>
      </w:r>
    </w:p>
    <w:p w:rsidR="00B67410" w:rsidRPr="006D4503" w:rsidRDefault="00B67410">
      <w:pPr>
        <w:pStyle w:val="BasicParagraph"/>
        <w:rPr>
          <w:rFonts w:ascii="Arial" w:hAnsi="Arial" w:cs="Arial"/>
          <w:bCs/>
          <w:iCs/>
          <w:color w:val="002F56"/>
          <w:spacing w:val="-3"/>
          <w:sz w:val="32"/>
          <w:szCs w:val="32"/>
        </w:rPr>
      </w:pPr>
    </w:p>
    <w:p w:rsidR="006D4503" w:rsidRP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 xml:space="preserve">Rob Lauzon, </w:t>
      </w:r>
    </w:p>
    <w:p w:rsid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Managing Director &amp; Deputy CIO</w:t>
      </w:r>
    </w:p>
    <w:p w:rsidR="00B67410" w:rsidRDefault="00B67410" w:rsidP="006D4503">
      <w:pPr>
        <w:pStyle w:val="BasicParagraph"/>
        <w:rPr>
          <w:rFonts w:ascii="Arial" w:hAnsi="Arial" w:cs="Arial"/>
          <w:bCs/>
          <w:iCs/>
          <w:color w:val="002F56"/>
          <w:spacing w:val="-3"/>
          <w:sz w:val="32"/>
          <w:szCs w:val="32"/>
        </w:rPr>
      </w:pPr>
    </w:p>
    <w:p w:rsidR="006D4503" w:rsidRP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 xml:space="preserve">Shane Obata </w:t>
      </w:r>
    </w:p>
    <w:p w:rsid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Portfolio Manager</w:t>
      </w:r>
    </w:p>
    <w:p w:rsidR="006D4503" w:rsidRDefault="006D4503" w:rsidP="006D4503">
      <w:pPr>
        <w:pStyle w:val="BasicParagraph"/>
        <w:rPr>
          <w:rFonts w:ascii="Arial" w:hAnsi="Arial" w:cs="Arial"/>
          <w:bCs/>
          <w:iCs/>
          <w:color w:val="002F56"/>
          <w:spacing w:val="-3"/>
          <w:sz w:val="32"/>
          <w:szCs w:val="32"/>
        </w:rPr>
      </w:pPr>
    </w:p>
    <w:p w:rsidR="006D4503" w:rsidRPr="006D4503" w:rsidRDefault="00B67410" w:rsidP="006D4503">
      <w:pPr>
        <w:pStyle w:val="BasicParagraph"/>
        <w:rPr>
          <w:rFonts w:ascii="Arial" w:hAnsi="Arial" w:cs="Arial"/>
          <w:bCs/>
          <w:iCs/>
          <w:color w:val="002F56"/>
          <w:spacing w:val="-3"/>
          <w:sz w:val="32"/>
          <w:szCs w:val="32"/>
        </w:rPr>
      </w:pPr>
      <w:r w:rsidRPr="00B67410">
        <w:rPr>
          <w:rFonts w:ascii="Arial" w:hAnsi="Arial" w:cs="Arial"/>
          <w:bCs/>
          <w:iCs/>
          <w:color w:val="002F56"/>
          <w:spacing w:val="-3"/>
          <w:sz w:val="32"/>
          <w:szCs w:val="32"/>
        </w:rPr>
        <w:t>Michael Bury</w:t>
      </w:r>
    </w:p>
    <w:p w:rsidR="006D4503" w:rsidRDefault="00B67410" w:rsidP="006D4503">
      <w:pPr>
        <w:pStyle w:val="BasicParagraph"/>
        <w:rPr>
          <w:rFonts w:ascii="Arial" w:hAnsi="Arial" w:cs="Arial"/>
          <w:bCs/>
          <w:iCs/>
          <w:color w:val="002F56"/>
          <w:spacing w:val="-3"/>
          <w:sz w:val="32"/>
          <w:szCs w:val="32"/>
        </w:rPr>
      </w:pPr>
      <w:r w:rsidRPr="00B67410">
        <w:rPr>
          <w:rFonts w:ascii="Arial" w:hAnsi="Arial" w:cs="Arial"/>
          <w:bCs/>
          <w:iCs/>
          <w:color w:val="002F56"/>
          <w:spacing w:val="-3"/>
          <w:sz w:val="32"/>
          <w:szCs w:val="32"/>
        </w:rPr>
        <w:t>Portfolio Manager</w:t>
      </w:r>
    </w:p>
    <w:p w:rsidR="006D4503" w:rsidRDefault="006D4503" w:rsidP="006D4503">
      <w:pPr>
        <w:pStyle w:val="BasicParagraph"/>
        <w:rPr>
          <w:rFonts w:ascii="Arial" w:hAnsi="Arial" w:cs="Arial"/>
          <w:bCs/>
          <w:iCs/>
          <w:color w:val="002F56"/>
          <w:spacing w:val="-3"/>
          <w:sz w:val="32"/>
          <w:szCs w:val="32"/>
        </w:rPr>
      </w:pPr>
    </w:p>
    <w:p w:rsidR="006D4503" w:rsidRDefault="006D4503" w:rsidP="006D4503">
      <w:pPr>
        <w:pStyle w:val="BasicParagraph"/>
        <w:rPr>
          <w:rFonts w:ascii="Arial" w:hAnsi="Arial" w:cs="Arial"/>
          <w:bCs/>
          <w:iCs/>
          <w:color w:val="002F56"/>
          <w:spacing w:val="-3"/>
          <w:sz w:val="32"/>
          <w:szCs w:val="32"/>
        </w:rPr>
      </w:pPr>
      <w:r>
        <w:rPr>
          <w:rFonts w:ascii="Arial" w:hAnsi="Arial" w:cs="Arial"/>
          <w:bCs/>
          <w:iCs/>
          <w:color w:val="002F56"/>
          <w:spacing w:val="-3"/>
          <w:sz w:val="32"/>
          <w:szCs w:val="32"/>
        </w:rPr>
        <w:t>10.</w:t>
      </w:r>
    </w:p>
    <w:p w:rsidR="00B67410" w:rsidRDefault="00B67410" w:rsidP="00B67410">
      <w:pPr>
        <w:pStyle w:val="BasicParagraph"/>
        <w:rPr>
          <w:rFonts w:ascii="Arial" w:hAnsi="Arial" w:cs="Arial"/>
          <w:b/>
          <w:bCs/>
          <w:i/>
          <w:iCs/>
          <w:color w:val="002F56"/>
          <w:spacing w:val="-3"/>
          <w:sz w:val="32"/>
          <w:szCs w:val="32"/>
        </w:rPr>
      </w:pPr>
      <w:r w:rsidRPr="00B67410">
        <w:rPr>
          <w:rFonts w:ascii="Arial" w:hAnsi="Arial" w:cs="Arial"/>
          <w:b/>
          <w:bCs/>
          <w:i/>
          <w:iCs/>
          <w:color w:val="002F56"/>
          <w:spacing w:val="-3"/>
          <w:sz w:val="32"/>
          <w:szCs w:val="32"/>
        </w:rPr>
        <w:t>For Investors Seeking to Participate in the Long-Term Growth Potential</w:t>
      </w:r>
      <w:r>
        <w:rPr>
          <w:rFonts w:ascii="Arial" w:hAnsi="Arial" w:cs="Arial"/>
          <w:b/>
          <w:bCs/>
          <w:i/>
          <w:iCs/>
          <w:color w:val="002F56"/>
          <w:spacing w:val="-3"/>
          <w:sz w:val="32"/>
          <w:szCs w:val="32"/>
        </w:rPr>
        <w:t xml:space="preserve"> </w:t>
      </w:r>
      <w:r w:rsidRPr="00B67410">
        <w:rPr>
          <w:rFonts w:ascii="Arial" w:hAnsi="Arial" w:cs="Arial"/>
          <w:b/>
          <w:bCs/>
          <w:i/>
          <w:iCs/>
          <w:color w:val="002F56"/>
          <w:spacing w:val="-3"/>
          <w:sz w:val="32"/>
          <w:szCs w:val="32"/>
        </w:rPr>
        <w:t>of the Sustainable Economy</w:t>
      </w:r>
    </w:p>
    <w:p w:rsidR="00B67410" w:rsidRDefault="00B67410" w:rsidP="00B67410">
      <w:pPr>
        <w:pStyle w:val="BasicParagraph"/>
        <w:rPr>
          <w:rFonts w:ascii="Arial" w:hAnsi="Arial" w:cs="Arial"/>
          <w:b/>
          <w:bCs/>
          <w:color w:val="003768"/>
          <w:sz w:val="36"/>
          <w:szCs w:val="36"/>
        </w:rPr>
      </w:pPr>
    </w:p>
    <w:p w:rsidR="006D4503" w:rsidRDefault="006D4503" w:rsidP="006D4503">
      <w:pPr>
        <w:pStyle w:val="BasicParagraph"/>
        <w:rPr>
          <w:rFonts w:ascii="Arial" w:hAnsi="Arial" w:cs="Arial"/>
          <w:bCs/>
          <w:iCs/>
          <w:color w:val="002F56"/>
          <w:spacing w:val="-3"/>
          <w:sz w:val="32"/>
          <w:szCs w:val="32"/>
        </w:rPr>
      </w:pPr>
      <w:r>
        <w:rPr>
          <w:rFonts w:ascii="Arial" w:hAnsi="Arial" w:cs="Arial"/>
          <w:bCs/>
          <w:iCs/>
          <w:color w:val="002F56"/>
          <w:spacing w:val="-3"/>
          <w:sz w:val="32"/>
          <w:szCs w:val="32"/>
        </w:rPr>
        <w:t>11.</w:t>
      </w:r>
    </w:p>
    <w:p w:rsidR="006D4503" w:rsidRDefault="006D4503" w:rsidP="006D4503">
      <w:pPr>
        <w:pStyle w:val="BasicParagraph"/>
        <w:rPr>
          <w:rFonts w:ascii="Arial" w:hAnsi="Arial" w:cs="Arial"/>
          <w:b/>
          <w:bCs/>
          <w:color w:val="003768"/>
          <w:sz w:val="34"/>
          <w:szCs w:val="34"/>
          <w:u w:val="thick"/>
        </w:rPr>
      </w:pPr>
      <w:r>
        <w:rPr>
          <w:rFonts w:ascii="Arial" w:hAnsi="Arial" w:cs="Arial"/>
          <w:b/>
          <w:bCs/>
          <w:color w:val="003768"/>
          <w:sz w:val="34"/>
          <w:szCs w:val="34"/>
          <w:u w:val="thick"/>
        </w:rPr>
        <w:t>www.middlefield.com</w:t>
      </w:r>
    </w:p>
    <w:p w:rsidR="006D4503" w:rsidRDefault="006D4503" w:rsidP="006D4503">
      <w:pPr>
        <w:pStyle w:val="BasicParagraph"/>
        <w:rPr>
          <w:rFonts w:ascii="Arial" w:hAnsi="Arial" w:cs="Arial"/>
          <w:bCs/>
          <w:iCs/>
          <w:color w:val="002F56"/>
          <w:spacing w:val="-3"/>
          <w:sz w:val="32"/>
          <w:szCs w:val="32"/>
        </w:rPr>
      </w:pPr>
    </w:p>
    <w:p w:rsidR="006D4503" w:rsidRDefault="006D4503" w:rsidP="006D4503">
      <w:pPr>
        <w:pStyle w:val="BasicParagraph"/>
        <w:rPr>
          <w:rFonts w:ascii="Arial" w:hAnsi="Arial" w:cs="Arial"/>
          <w:b/>
          <w:bCs/>
          <w:color w:val="003768"/>
          <w:sz w:val="30"/>
          <w:szCs w:val="30"/>
          <w:u w:val="thick"/>
        </w:rPr>
      </w:pPr>
      <w:r>
        <w:rPr>
          <w:rFonts w:ascii="Arial" w:hAnsi="Arial" w:cs="Arial"/>
          <w:b/>
          <w:bCs/>
          <w:color w:val="003768"/>
          <w:sz w:val="30"/>
          <w:szCs w:val="30"/>
          <w:u w:val="thick"/>
        </w:rPr>
        <w:t>Advisor:</w:t>
      </w:r>
      <w:bookmarkStart w:id="0" w:name="_GoBack"/>
      <w:bookmarkEnd w:id="0"/>
    </w:p>
    <w:p w:rsidR="006D4503" w:rsidRDefault="006D4503" w:rsidP="006D4503">
      <w:pPr>
        <w:pStyle w:val="BasicParagraph"/>
        <w:rPr>
          <w:rFonts w:ascii="Arial" w:hAnsi="Arial" w:cs="Arial"/>
          <w:b/>
          <w:bCs/>
        </w:rPr>
      </w:pPr>
      <w:r>
        <w:rPr>
          <w:rFonts w:ascii="Arial" w:hAnsi="Arial" w:cs="Arial"/>
          <w:b/>
          <w:bCs/>
        </w:rPr>
        <w:t>Middlefield Capital Corporation</w:t>
      </w:r>
    </w:p>
    <w:p w:rsidR="006D4503" w:rsidRDefault="006D4503" w:rsidP="006D4503">
      <w:pPr>
        <w:pStyle w:val="BasicParagraph"/>
        <w:rPr>
          <w:rFonts w:ascii="Arial" w:hAnsi="Arial" w:cs="Arial"/>
          <w:b/>
          <w:bCs/>
        </w:rPr>
      </w:pPr>
      <w:r>
        <w:rPr>
          <w:rFonts w:ascii="Arial" w:hAnsi="Arial" w:cs="Arial"/>
          <w:b/>
          <w:bCs/>
        </w:rPr>
        <w:t>First Canadian Place</w:t>
      </w:r>
    </w:p>
    <w:p w:rsidR="006D4503" w:rsidRDefault="006D4503" w:rsidP="006D4503">
      <w:pPr>
        <w:pStyle w:val="BasicParagraph"/>
        <w:rPr>
          <w:rFonts w:ascii="Arial" w:hAnsi="Arial" w:cs="Arial"/>
          <w:b/>
          <w:bCs/>
        </w:rPr>
      </w:pPr>
      <w:r>
        <w:rPr>
          <w:rFonts w:ascii="Arial" w:hAnsi="Arial" w:cs="Arial"/>
          <w:b/>
          <w:bCs/>
        </w:rPr>
        <w:t>58th Floor, P.O. Box 192</w:t>
      </w:r>
    </w:p>
    <w:p w:rsidR="006D4503" w:rsidRDefault="006D4503" w:rsidP="006D4503">
      <w:pPr>
        <w:pStyle w:val="BasicParagraph"/>
        <w:rPr>
          <w:rFonts w:ascii="Arial" w:hAnsi="Arial" w:cs="Arial"/>
          <w:b/>
          <w:bCs/>
        </w:rPr>
      </w:pPr>
      <w:r>
        <w:rPr>
          <w:rFonts w:ascii="Arial" w:hAnsi="Arial" w:cs="Arial"/>
          <w:b/>
          <w:bCs/>
        </w:rPr>
        <w:t>Toronto, Canada M5X 1A6</w:t>
      </w:r>
    </w:p>
    <w:p w:rsidR="001361D8" w:rsidRDefault="001361D8" w:rsidP="001361D8">
      <w:pPr>
        <w:pStyle w:val="BasicParagraph"/>
        <w:rPr>
          <w:rFonts w:ascii="Arial" w:hAnsi="Arial" w:cs="Arial"/>
          <w:b/>
          <w:bCs/>
          <w:u w:val="thick"/>
        </w:rPr>
      </w:pPr>
    </w:p>
    <w:p w:rsidR="001361D8" w:rsidRDefault="001361D8" w:rsidP="001361D8">
      <w:pPr>
        <w:pStyle w:val="BasicParagraph"/>
        <w:jc w:val="both"/>
        <w:rPr>
          <w:rFonts w:ascii="Arial" w:hAnsi="Arial" w:cs="Arial"/>
          <w:sz w:val="22"/>
          <w:szCs w:val="22"/>
        </w:rPr>
      </w:pPr>
      <w:r>
        <w:rPr>
          <w:rFonts w:ascii="Arial" w:hAnsi="Arial" w:cs="Arial"/>
          <w:spacing w:val="-2"/>
          <w:sz w:val="22"/>
          <w:szCs w:val="22"/>
        </w:rPr>
        <w:t>A preliminary prospectus containing important information relating to these securities has been filed with securities</w:t>
      </w:r>
      <w:r>
        <w:rPr>
          <w:rFonts w:ascii="Arial" w:hAnsi="Arial" w:cs="Arial"/>
          <w:sz w:val="22"/>
          <w:szCs w:val="22"/>
        </w:rPr>
        <w:t xml:space="preserve"> commissions or similar authorities in each of the provinces of Canada. The preliminary prospectus is still subject to completion or amendment. Copies of the preliminary </w:t>
      </w:r>
      <w:r>
        <w:rPr>
          <w:rFonts w:ascii="Arial" w:hAnsi="Arial" w:cs="Arial"/>
          <w:sz w:val="22"/>
          <w:szCs w:val="22"/>
        </w:rPr>
        <w:lastRenderedPageBreak/>
        <w:t>prospectus may be obtained from any of the syndicate of agents using the contact information for such agent. There will not be any sale or any acceptance of an offer to buy the securities until a receipt for the final prospectus has been issued.</w:t>
      </w:r>
    </w:p>
    <w:p w:rsidR="001361D8" w:rsidRPr="006D4503" w:rsidRDefault="001361D8" w:rsidP="006D4503">
      <w:pPr>
        <w:pStyle w:val="BasicParagraph"/>
        <w:rPr>
          <w:rFonts w:ascii="Arial" w:hAnsi="Arial" w:cs="Arial"/>
          <w:bCs/>
          <w:iCs/>
          <w:color w:val="002F56"/>
          <w:spacing w:val="-3"/>
          <w:sz w:val="32"/>
          <w:szCs w:val="32"/>
        </w:rPr>
      </w:pPr>
    </w:p>
    <w:sectPr w:rsidR="001361D8" w:rsidRPr="006D4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017C"/>
    <w:multiLevelType w:val="hybridMultilevel"/>
    <w:tmpl w:val="303CDD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476288"/>
    <w:multiLevelType w:val="hybridMultilevel"/>
    <w:tmpl w:val="EAF8E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F5"/>
    <w:rsid w:val="001361D8"/>
    <w:rsid w:val="003E48F5"/>
    <w:rsid w:val="006A6463"/>
    <w:rsid w:val="006D4503"/>
    <w:rsid w:val="009909E4"/>
    <w:rsid w:val="00B67410"/>
    <w:rsid w:val="00F13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BAC2"/>
  <w15:chartTrackingRefBased/>
  <w15:docId w15:val="{4B3A015C-5E42-4E94-BD81-0E5DAB7B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9909E4"/>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styleId="ListParagraph">
    <w:name w:val="List Paragraph"/>
    <w:basedOn w:val="Normal"/>
    <w:uiPriority w:val="34"/>
    <w:qFormat/>
    <w:rsid w:val="009909E4"/>
    <w:pPr>
      <w:ind w:left="720"/>
      <w:contextualSpacing/>
    </w:pPr>
  </w:style>
  <w:style w:type="table" w:styleId="TableGrid">
    <w:name w:val="Table Grid"/>
    <w:basedOn w:val="TableNormal"/>
    <w:uiPriority w:val="39"/>
    <w:rsid w:val="006D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6D4503"/>
    <w:pPr>
      <w:autoSpaceDE w:val="0"/>
      <w:autoSpaceDN w:val="0"/>
      <w:adjustRightInd w:val="0"/>
      <w:spacing w:after="0" w:line="288" w:lineRule="auto"/>
      <w:textAlignment w:val="center"/>
    </w:pPr>
    <w:rPr>
      <w:rFonts w:ascii="Minion Pro" w:hAnsi="Minion Pro" w:cs="Minion Pro"/>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Middlefield Group</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Roberts</dc:creator>
  <cp:keywords/>
  <dc:description/>
  <cp:lastModifiedBy>Sarah Roberts</cp:lastModifiedBy>
  <cp:revision>3</cp:revision>
  <dcterms:created xsi:type="dcterms:W3CDTF">2021-01-19T16:26:00Z</dcterms:created>
  <dcterms:modified xsi:type="dcterms:W3CDTF">2021-04-29T17:39:00Z</dcterms:modified>
</cp:coreProperties>
</file>