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CC0F" w14:textId="2D3A64F5" w:rsidR="00652A75" w:rsidRPr="004D07A8" w:rsidRDefault="00652A75" w:rsidP="00B2233E">
      <w:pPr>
        <w:pStyle w:val="Heading1"/>
        <w:rPr>
          <w:lang w:val="en-CA"/>
        </w:rPr>
      </w:pPr>
      <w:r w:rsidRPr="004D07A8">
        <w:rPr>
          <w:lang w:val="en-CA"/>
        </w:rPr>
        <w:t>Eblast</w:t>
      </w:r>
      <w:r w:rsidR="00B2233E">
        <w:rPr>
          <w:lang w:val="en-CA"/>
        </w:rPr>
        <w:t xml:space="preserve"> -</w:t>
      </w:r>
      <w:r w:rsidR="00BA5BBC">
        <w:rPr>
          <w:lang w:val="en-CA"/>
        </w:rPr>
        <w:t xml:space="preserve"> Investment Executive</w:t>
      </w:r>
    </w:p>
    <w:p w14:paraId="698AA951" w14:textId="078E6916" w:rsidR="00652A75" w:rsidRPr="004D07A8" w:rsidRDefault="00652A75">
      <w:pPr>
        <w:rPr>
          <w:lang w:val="en-CA"/>
        </w:rPr>
      </w:pPr>
    </w:p>
    <w:p w14:paraId="1444342B" w14:textId="4AE3D008" w:rsidR="00652A75" w:rsidRPr="008C2F3B" w:rsidRDefault="00156CCD" w:rsidP="00652A75">
      <w:pPr>
        <w:rPr>
          <w:b/>
          <w:bCs/>
          <w:lang w:val="en-CA"/>
        </w:rPr>
      </w:pPr>
      <w:r w:rsidRPr="008C2F3B">
        <w:rPr>
          <w:b/>
          <w:bCs/>
          <w:lang w:val="en-CA"/>
        </w:rPr>
        <w:t>[</w:t>
      </w:r>
      <w:r w:rsidR="00652A75" w:rsidRPr="008C2F3B">
        <w:rPr>
          <w:b/>
          <w:bCs/>
          <w:lang w:val="en-CA"/>
        </w:rPr>
        <w:t>Subject Line</w:t>
      </w:r>
      <w:r w:rsidRPr="008C2F3B">
        <w:rPr>
          <w:b/>
          <w:bCs/>
          <w:lang w:val="en-CA"/>
        </w:rPr>
        <w:t>:]</w:t>
      </w:r>
      <w:r w:rsidR="00652A75" w:rsidRPr="008C2F3B">
        <w:rPr>
          <w:b/>
          <w:bCs/>
          <w:lang w:val="en-CA"/>
        </w:rPr>
        <w:t xml:space="preserve"> </w:t>
      </w:r>
      <w:r w:rsidR="00FA736C" w:rsidRPr="008C2F3B">
        <w:rPr>
          <w:b/>
          <w:bCs/>
          <w:lang w:val="en-CA"/>
        </w:rPr>
        <w:t>Inf</w:t>
      </w:r>
      <w:r w:rsidR="00813681" w:rsidRPr="008C2F3B">
        <w:rPr>
          <w:b/>
          <w:bCs/>
          <w:lang w:val="en-CA"/>
        </w:rPr>
        <w:t xml:space="preserve">lation – How </w:t>
      </w:r>
      <w:r w:rsidR="00F33E98">
        <w:rPr>
          <w:b/>
          <w:bCs/>
          <w:lang w:val="en-CA"/>
        </w:rPr>
        <w:t>can you</w:t>
      </w:r>
      <w:r w:rsidR="00813681" w:rsidRPr="008C2F3B">
        <w:rPr>
          <w:b/>
          <w:bCs/>
          <w:lang w:val="en-CA"/>
        </w:rPr>
        <w:t xml:space="preserve"> protect you client’s estate</w:t>
      </w:r>
      <w:r w:rsidR="00BA5BBC" w:rsidRPr="008C2F3B">
        <w:rPr>
          <w:b/>
          <w:bCs/>
          <w:lang w:val="en-CA"/>
        </w:rPr>
        <w:t>?</w:t>
      </w:r>
      <w:r w:rsidR="00813681" w:rsidRPr="008C2F3B">
        <w:rPr>
          <w:b/>
          <w:bCs/>
          <w:lang w:val="en-CA"/>
        </w:rPr>
        <w:t xml:space="preserve"> </w:t>
      </w:r>
    </w:p>
    <w:p w14:paraId="0CB58C21" w14:textId="177100D9" w:rsidR="00652A75" w:rsidRPr="004D07A8" w:rsidRDefault="006357C4" w:rsidP="00652A75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53A3037" wp14:editId="46A5FBD2">
            <wp:extent cx="1279691" cy="390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37" cy="3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90E7" w14:textId="5DDA3C5C" w:rsidR="00652A75" w:rsidRPr="00F6315F" w:rsidRDefault="00775FE0" w:rsidP="00C278CF">
      <w:pPr>
        <w:rPr>
          <w:rFonts w:cstheme="minorHAnsi"/>
          <w:lang w:val="en-CA"/>
        </w:rPr>
      </w:pPr>
      <w:r>
        <w:rPr>
          <w:noProof/>
          <w:lang w:val="en-CA"/>
        </w:rPr>
        <w:drawing>
          <wp:inline distT="0" distB="0" distL="0" distR="0" wp14:anchorId="320EE170" wp14:editId="11937313">
            <wp:extent cx="5529942" cy="276497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04" cy="27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8CF">
        <w:rPr>
          <w:rFonts w:cstheme="minorHAnsi"/>
          <w:lang w:val="en-CA"/>
        </w:rPr>
        <w:br/>
      </w:r>
      <w:r w:rsidR="00652A75" w:rsidRPr="004D07A8">
        <w:rPr>
          <w:rFonts w:cstheme="minorHAnsi"/>
          <w:b/>
          <w:bCs/>
          <w:lang w:val="en-CA"/>
        </w:rPr>
        <w:br/>
      </w:r>
      <w:r w:rsidR="00F6315F" w:rsidRPr="00F6315F">
        <w:rPr>
          <w:rFonts w:cstheme="minorHAnsi"/>
          <w:lang w:val="en-CA"/>
        </w:rPr>
        <w:t xml:space="preserve">Dear </w:t>
      </w:r>
      <w:r w:rsidR="00F6315F" w:rsidRPr="00F6315F">
        <w:rPr>
          <w:rFonts w:cstheme="minorHAnsi"/>
          <w:highlight w:val="yellow"/>
          <w:lang w:val="en-CA"/>
        </w:rPr>
        <w:t>X</w:t>
      </w:r>
      <w:r w:rsidR="00C278CF">
        <w:rPr>
          <w:rFonts w:cstheme="minorHAnsi"/>
          <w:lang w:val="en-CA"/>
        </w:rPr>
        <w:t>,</w:t>
      </w:r>
    </w:p>
    <w:p w14:paraId="2DE8BC71" w14:textId="003F40A9" w:rsidR="00ED06D9" w:rsidRDefault="00E249EE" w:rsidP="3ED65839">
      <w:pPr>
        <w:shd w:val="clear" w:color="auto" w:fill="FFFFFF" w:themeFill="background1"/>
        <w:spacing w:before="120" w:after="100" w:afterAutospacing="1" w:line="240" w:lineRule="auto"/>
        <w:rPr>
          <w:lang w:val="en-CA"/>
        </w:rPr>
      </w:pPr>
      <w:r w:rsidRPr="3ED65839">
        <w:rPr>
          <w:lang w:val="en-CA"/>
        </w:rPr>
        <w:t>Are you clients concern</w:t>
      </w:r>
      <w:r w:rsidR="24664632" w:rsidRPr="3ED65839">
        <w:rPr>
          <w:lang w:val="en-CA"/>
        </w:rPr>
        <w:t>ed</w:t>
      </w:r>
      <w:r w:rsidRPr="3ED65839">
        <w:rPr>
          <w:lang w:val="en-CA"/>
        </w:rPr>
        <w:t xml:space="preserve"> </w:t>
      </w:r>
      <w:r w:rsidR="00C278CF" w:rsidRPr="3ED65839">
        <w:rPr>
          <w:lang w:val="en-CA"/>
        </w:rPr>
        <w:t>about</w:t>
      </w:r>
      <w:r w:rsidRPr="3ED65839">
        <w:rPr>
          <w:lang w:val="en-CA"/>
        </w:rPr>
        <w:t xml:space="preserve"> inflation? </w:t>
      </w:r>
      <w:r w:rsidR="00ED06D9" w:rsidRPr="3ED65839">
        <w:rPr>
          <w:lang w:val="en-CA"/>
        </w:rPr>
        <w:t xml:space="preserve">We </w:t>
      </w:r>
      <w:r w:rsidR="00291DB8">
        <w:rPr>
          <w:lang w:val="en-CA"/>
        </w:rPr>
        <w:t xml:space="preserve">could </w:t>
      </w:r>
      <w:r w:rsidR="00ED06D9" w:rsidRPr="3ED65839">
        <w:rPr>
          <w:lang w:val="en-CA"/>
        </w:rPr>
        <w:t xml:space="preserve">have </w:t>
      </w:r>
      <w:r w:rsidR="271A277D" w:rsidRPr="3ED65839">
        <w:rPr>
          <w:lang w:val="en-CA"/>
        </w:rPr>
        <w:t>the</w:t>
      </w:r>
      <w:r w:rsidR="00ED06D9" w:rsidRPr="3ED65839">
        <w:rPr>
          <w:lang w:val="en-CA"/>
        </w:rPr>
        <w:t xml:space="preserve"> answer for them.</w:t>
      </w:r>
    </w:p>
    <w:p w14:paraId="4F9ACC6D" w14:textId="3053B5B0" w:rsidR="3ED65839" w:rsidRPr="006A04EC" w:rsidRDefault="00652A75" w:rsidP="00056BCD">
      <w:pPr>
        <w:shd w:val="clear" w:color="auto" w:fill="FFFFFF" w:themeFill="background1"/>
        <w:spacing w:before="120" w:after="100" w:afterAutospacing="1" w:line="240" w:lineRule="auto"/>
        <w:rPr>
          <w:rFonts w:eastAsia="Times New Roman" w:cstheme="minorHAnsi"/>
          <w:color w:val="3E3E3E"/>
          <w:lang w:val="en-CA" w:eastAsia="fr-CA"/>
        </w:rPr>
      </w:pPr>
      <w:bookmarkStart w:id="0" w:name="_Hlk82182790"/>
      <w:r w:rsidRPr="00BE5AF9">
        <w:rPr>
          <w:rFonts w:cstheme="minorHAnsi"/>
          <w:b/>
          <w:bCs/>
          <w:color w:val="00B050"/>
          <w:lang w:val="en-CA"/>
        </w:rPr>
        <w:t>Helios2® Guaranteed Investment Funds Contract</w:t>
      </w:r>
      <w:bookmarkEnd w:id="0"/>
      <w:r w:rsidRPr="00BE5AF9">
        <w:rPr>
          <w:rFonts w:cstheme="minorHAnsi"/>
          <w:color w:val="00B050"/>
          <w:lang w:val="en-CA"/>
        </w:rPr>
        <w:t xml:space="preserve"> </w:t>
      </w:r>
      <w:r w:rsidR="009C4699">
        <w:rPr>
          <w:rFonts w:cstheme="minorHAnsi"/>
          <w:lang w:val="en-CA"/>
        </w:rPr>
        <w:t>could</w:t>
      </w:r>
      <w:r w:rsidRPr="00BE5AF9">
        <w:rPr>
          <w:rFonts w:cstheme="minorHAnsi"/>
          <w:lang w:val="en-CA"/>
        </w:rPr>
        <w:t xml:space="preserve"> </w:t>
      </w:r>
      <w:r w:rsidR="00BD12B8" w:rsidRPr="006A04EC">
        <w:rPr>
          <w:rFonts w:eastAsia="Times New Roman" w:cstheme="minorHAnsi"/>
          <w:color w:val="3E3E3E"/>
          <w:lang w:val="en-CA" w:eastAsia="fr-CA"/>
        </w:rPr>
        <w:t>prote</w:t>
      </w:r>
      <w:r w:rsidR="00E55454" w:rsidRPr="006A04EC">
        <w:rPr>
          <w:rFonts w:eastAsia="Times New Roman" w:cstheme="minorHAnsi"/>
          <w:color w:val="3E3E3E"/>
          <w:lang w:val="en-CA" w:eastAsia="fr-CA"/>
        </w:rPr>
        <w:t>ct your</w:t>
      </w:r>
      <w:r w:rsidR="00BD12B8" w:rsidRPr="006A04EC">
        <w:rPr>
          <w:rFonts w:eastAsia="Times New Roman" w:cstheme="minorHAnsi"/>
          <w:color w:val="3E3E3E"/>
          <w:lang w:val="en-CA" w:eastAsia="fr-CA"/>
        </w:rPr>
        <w:t xml:space="preserve"> </w:t>
      </w:r>
      <w:r w:rsidR="00747593" w:rsidRPr="006A04EC">
        <w:rPr>
          <w:rFonts w:eastAsia="Times New Roman" w:cstheme="minorHAnsi"/>
          <w:color w:val="3E3E3E"/>
          <w:lang w:val="en-CA" w:eastAsia="fr-CA"/>
        </w:rPr>
        <w:t xml:space="preserve">clients </w:t>
      </w:r>
      <w:r w:rsidR="00BD12B8" w:rsidRPr="006A04EC">
        <w:rPr>
          <w:rFonts w:eastAsia="Times New Roman" w:cstheme="minorHAnsi"/>
          <w:color w:val="3E3E3E"/>
          <w:lang w:val="en-CA" w:eastAsia="fr-CA"/>
        </w:rPr>
        <w:t>from</w:t>
      </w:r>
      <w:r w:rsidR="00F6128D" w:rsidRPr="006A04EC">
        <w:rPr>
          <w:rFonts w:eastAsia="Times New Roman" w:cstheme="minorHAnsi"/>
          <w:color w:val="3E3E3E"/>
          <w:lang w:val="en-CA" w:eastAsia="fr-CA"/>
        </w:rPr>
        <w:t xml:space="preserve"> inflation</w:t>
      </w:r>
      <w:r w:rsidR="00056BCD" w:rsidRPr="006A04EC">
        <w:rPr>
          <w:rFonts w:eastAsia="Times New Roman" w:cstheme="minorHAnsi"/>
          <w:color w:val="3E3E3E"/>
          <w:lang w:val="en-CA" w:eastAsia="fr-CA"/>
        </w:rPr>
        <w:t xml:space="preserve"> and</w:t>
      </w:r>
      <w:r w:rsidR="00BD12B8" w:rsidRPr="006A04EC">
        <w:rPr>
          <w:rFonts w:eastAsia="Times New Roman" w:cstheme="minorHAnsi"/>
          <w:color w:val="3E3E3E"/>
          <w:lang w:val="en-CA" w:eastAsia="fr-CA"/>
        </w:rPr>
        <w:t xml:space="preserve"> market downturns </w:t>
      </w:r>
      <w:r w:rsidR="00BE5AF9" w:rsidRPr="006A04EC">
        <w:rPr>
          <w:rFonts w:cstheme="minorHAnsi"/>
          <w:color w:val="3E3E3E"/>
          <w:shd w:val="clear" w:color="auto" w:fill="FFFFFF"/>
          <w:lang w:val="en-CA"/>
        </w:rPr>
        <w:t>but still take advantage of the upturns.</w:t>
      </w:r>
    </w:p>
    <w:p w14:paraId="6273AADA" w14:textId="5853442F" w:rsidR="00F6128D" w:rsidRPr="00F6128D" w:rsidRDefault="00056BCD" w:rsidP="00652A75">
      <w:pPr>
        <w:jc w:val="both"/>
        <w:rPr>
          <w:b/>
          <w:bCs/>
          <w:lang w:val="en-CA"/>
        </w:rPr>
      </w:pPr>
      <w:r>
        <w:rPr>
          <w:b/>
          <w:bCs/>
          <w:lang w:val="en-CA"/>
        </w:rPr>
        <w:t xml:space="preserve">Discover the </w:t>
      </w:r>
      <w:r w:rsidR="00652A75" w:rsidRPr="3ED65839">
        <w:rPr>
          <w:b/>
          <w:bCs/>
          <w:lang w:val="en-CA"/>
        </w:rPr>
        <w:t xml:space="preserve">Inflation-adjusted </w:t>
      </w:r>
      <w:r w:rsidR="0046777D">
        <w:rPr>
          <w:b/>
          <w:bCs/>
          <w:lang w:val="en-CA"/>
        </w:rPr>
        <w:t>d</w:t>
      </w:r>
      <w:r w:rsidR="00652A75" w:rsidRPr="3ED65839">
        <w:rPr>
          <w:b/>
          <w:bCs/>
          <w:lang w:val="en-CA"/>
        </w:rPr>
        <w:t xml:space="preserve">eath </w:t>
      </w:r>
      <w:r w:rsidR="0046777D">
        <w:rPr>
          <w:b/>
          <w:bCs/>
          <w:lang w:val="en-CA"/>
        </w:rPr>
        <w:t>b</w:t>
      </w:r>
      <w:r w:rsidR="00652A75" w:rsidRPr="3ED65839">
        <w:rPr>
          <w:b/>
          <w:bCs/>
          <w:lang w:val="en-CA"/>
        </w:rPr>
        <w:t>enefi</w:t>
      </w:r>
      <w:r w:rsidR="00F6128D" w:rsidRPr="3ED65839">
        <w:rPr>
          <w:b/>
          <w:bCs/>
          <w:lang w:val="en-CA"/>
        </w:rPr>
        <w:t>t</w:t>
      </w:r>
    </w:p>
    <w:p w14:paraId="77A7BFAA" w14:textId="20D0C346" w:rsidR="00652A75" w:rsidRPr="004D07A8" w:rsidRDefault="00652A75" w:rsidP="00652A75">
      <w:pPr>
        <w:jc w:val="both"/>
        <w:rPr>
          <w:lang w:val="en-CA"/>
        </w:rPr>
      </w:pPr>
      <w:r w:rsidRPr="004D07A8">
        <w:rPr>
          <w:lang w:val="en-CA"/>
        </w:rPr>
        <w:t>The only one of its kind in Canada</w:t>
      </w:r>
      <w:r w:rsidR="002A1055">
        <w:rPr>
          <w:rStyle w:val="FootnoteReference"/>
          <w:lang w:val="en-CA"/>
        </w:rPr>
        <w:footnoteReference w:id="2"/>
      </w:r>
      <w:r w:rsidR="00A31FCF" w:rsidRPr="004D07A8">
        <w:rPr>
          <w:lang w:val="en-CA"/>
        </w:rPr>
        <w:t>,</w:t>
      </w:r>
      <w:r w:rsidRPr="004D07A8">
        <w:rPr>
          <w:lang w:val="en-CA"/>
        </w:rPr>
        <w:t xml:space="preserve"> our inflation-adjusted </w:t>
      </w:r>
      <w:r w:rsidR="00D404B4">
        <w:rPr>
          <w:lang w:val="en-CA"/>
        </w:rPr>
        <w:t>d</w:t>
      </w:r>
      <w:r w:rsidRPr="004D07A8">
        <w:rPr>
          <w:lang w:val="en-CA"/>
        </w:rPr>
        <w:t xml:space="preserve">eath </w:t>
      </w:r>
      <w:r w:rsidR="00D404B4">
        <w:rPr>
          <w:lang w:val="en-CA"/>
        </w:rPr>
        <w:t>b</w:t>
      </w:r>
      <w:r w:rsidRPr="004D07A8">
        <w:rPr>
          <w:lang w:val="en-CA"/>
        </w:rPr>
        <w:t xml:space="preserve">enefit is automatic and calculated every year on the </w:t>
      </w:r>
      <w:r w:rsidR="00D60DFB">
        <w:rPr>
          <w:lang w:val="en-CA"/>
        </w:rPr>
        <w:t>c</w:t>
      </w:r>
      <w:r w:rsidRPr="004D07A8">
        <w:rPr>
          <w:lang w:val="en-CA"/>
        </w:rPr>
        <w:t xml:space="preserve">ontract </w:t>
      </w:r>
      <w:r w:rsidR="00D60DFB">
        <w:rPr>
          <w:lang w:val="en-CA"/>
        </w:rPr>
        <w:t>a</w:t>
      </w:r>
      <w:r w:rsidRPr="004D07A8">
        <w:rPr>
          <w:lang w:val="en-CA"/>
        </w:rPr>
        <w:t xml:space="preserve">nniversary </w:t>
      </w:r>
      <w:r w:rsidR="00D60DFB">
        <w:rPr>
          <w:lang w:val="en-CA"/>
        </w:rPr>
        <w:t>d</w:t>
      </w:r>
      <w:r w:rsidRPr="004D07A8">
        <w:rPr>
          <w:lang w:val="en-CA"/>
        </w:rPr>
        <w:t xml:space="preserve">ate until the </w:t>
      </w:r>
      <w:r w:rsidR="00405EA4">
        <w:rPr>
          <w:lang w:val="en-CA"/>
        </w:rPr>
        <w:t>a</w:t>
      </w:r>
      <w:r w:rsidRPr="004D07A8">
        <w:rPr>
          <w:lang w:val="en-CA"/>
        </w:rPr>
        <w:t xml:space="preserve">nnuitant is 75. It ensures that the amount your clients’ </w:t>
      </w:r>
      <w:r w:rsidR="00405EA4">
        <w:rPr>
          <w:lang w:val="en-CA"/>
        </w:rPr>
        <w:t>b</w:t>
      </w:r>
      <w:r w:rsidRPr="004D07A8">
        <w:rPr>
          <w:lang w:val="en-CA"/>
        </w:rPr>
        <w:t>eneficiary receives has been adjusted for cost-of-living increases.</w:t>
      </w:r>
    </w:p>
    <w:p w14:paraId="572F4471" w14:textId="433B70E4" w:rsidR="00652A75" w:rsidRPr="004D07A8" w:rsidRDefault="00652A75" w:rsidP="00652A75">
      <w:pPr>
        <w:jc w:val="both"/>
        <w:rPr>
          <w:lang w:val="en-CA"/>
        </w:rPr>
      </w:pPr>
      <w:r w:rsidRPr="004D07A8">
        <w:rPr>
          <w:lang w:val="en-CA"/>
        </w:rPr>
        <w:t>In 2020, Desjardins Guaranteed Investment Funds like Helios2 ranked among the top performers in Canada, and over 74% of our assets under management were held in funds with an above-average return</w:t>
      </w:r>
      <w:r w:rsidR="002A1055">
        <w:rPr>
          <w:lang w:val="en-CA"/>
        </w:rPr>
        <w:t>.</w:t>
      </w:r>
      <w:r w:rsidR="002A1055">
        <w:rPr>
          <w:rStyle w:val="FootnoteReference"/>
          <w:lang w:val="en-CA"/>
        </w:rPr>
        <w:footnoteReference w:id="3"/>
      </w:r>
    </w:p>
    <w:p w14:paraId="4B2C612F" w14:textId="63F2F326" w:rsidR="000B2E5A" w:rsidRPr="004D07A8" w:rsidRDefault="00652A75" w:rsidP="00652A75">
      <w:pPr>
        <w:jc w:val="both"/>
        <w:rPr>
          <w:lang w:val="en-CA"/>
        </w:rPr>
      </w:pPr>
      <w:r w:rsidRPr="004D07A8">
        <w:rPr>
          <w:lang w:val="en-CA"/>
        </w:rPr>
        <w:t>Offer your clients the growth potential of an investment with a safety net.</w:t>
      </w:r>
    </w:p>
    <w:p w14:paraId="11CA251F" w14:textId="19FFD2AF" w:rsidR="00F6315F" w:rsidRPr="004D07A8" w:rsidRDefault="006500DF" w:rsidP="00B40A20">
      <w:pPr>
        <w:jc w:val="center"/>
        <w:rPr>
          <w:lang w:val="en-CA"/>
        </w:rPr>
      </w:pPr>
      <w:hyperlink r:id="rId13" w:history="1">
        <w:r w:rsidR="00F6315F" w:rsidRPr="00C278CF">
          <w:rPr>
            <w:rStyle w:val="Hyperlink"/>
            <w:b/>
            <w:bCs/>
            <w:color w:val="auto"/>
            <w:lang w:val="en-CA"/>
          </w:rPr>
          <w:t>Get started with Helios2</w:t>
        </w:r>
      </w:hyperlink>
    </w:p>
    <w:p w14:paraId="231A4889" w14:textId="77777777" w:rsidR="005B1515" w:rsidRPr="004D07A8" w:rsidRDefault="005B1515" w:rsidP="005B1515">
      <w:pPr>
        <w:rPr>
          <w:lang w:val="en-CA"/>
        </w:rPr>
      </w:pPr>
      <w:r w:rsidRPr="004D07A8">
        <w:rPr>
          <w:lang w:val="en-CA"/>
        </w:rPr>
        <w:t>Legal Notes:</w:t>
      </w:r>
    </w:p>
    <w:p w14:paraId="40DA22CA" w14:textId="414C31AB" w:rsidR="005B1515" w:rsidRPr="004D07A8" w:rsidRDefault="005B1515" w:rsidP="005B1515">
      <w:pPr>
        <w:rPr>
          <w:lang w:val="en-CA"/>
        </w:rPr>
      </w:pPr>
      <w:r w:rsidRPr="004D07A8">
        <w:rPr>
          <w:lang w:val="en-CA"/>
        </w:rPr>
        <w:t>The Contract and Information Folder and the Funds Facts document contain important information on the Desjardins Financial Security Guaranteed Investment Funds Plan – Helios2 and the DFS Guaranteed Investment Funds. The Contract and Information Folder also contains a glossary of defined terms. Please read these documents carefully before investing.</w:t>
      </w:r>
    </w:p>
    <w:p w14:paraId="0B7566DE" w14:textId="77777777" w:rsidR="005B1515" w:rsidRPr="004D07A8" w:rsidRDefault="005B1515" w:rsidP="005B1515">
      <w:pPr>
        <w:rPr>
          <w:lang w:val="en-CA"/>
        </w:rPr>
      </w:pPr>
      <w:r w:rsidRPr="004D07A8">
        <w:rPr>
          <w:lang w:val="en-CA"/>
        </w:rPr>
        <w:t>DFS Guaranteed Investment Funds are established by Desjardins Financial Security Life Assurance Company.</w:t>
      </w:r>
    </w:p>
    <w:p w14:paraId="31F81111" w14:textId="53516024" w:rsidR="00B2233E" w:rsidRDefault="005B1515" w:rsidP="005B1515">
      <w:pPr>
        <w:rPr>
          <w:lang w:val="en-CA"/>
        </w:rPr>
      </w:pPr>
      <w:r w:rsidRPr="004D07A8">
        <w:rPr>
          <w:lang w:val="en-CA"/>
        </w:rPr>
        <w:t xml:space="preserve">Helios2 and DFS Guaranteed Investment Funds are registered trademarks of Desjardins Financial Security Life Assurance Company. Desjardins is a trademark of the Fédération des </w:t>
      </w:r>
      <w:proofErr w:type="spellStart"/>
      <w:r w:rsidRPr="004D07A8">
        <w:rPr>
          <w:lang w:val="en-CA"/>
        </w:rPr>
        <w:t>caisses</w:t>
      </w:r>
      <w:proofErr w:type="spellEnd"/>
      <w:r w:rsidRPr="004D07A8">
        <w:rPr>
          <w:lang w:val="en-CA"/>
        </w:rPr>
        <w:t xml:space="preserve"> Desjardins du Québec, used under licence.</w:t>
      </w:r>
    </w:p>
    <w:p w14:paraId="73E237DE" w14:textId="488623FA" w:rsidR="0025064E" w:rsidRDefault="0025064E" w:rsidP="005B1515">
      <w:pPr>
        <w:rPr>
          <w:lang w:val="en-CA"/>
        </w:rPr>
      </w:pPr>
      <w:r w:rsidRPr="006A04EC">
        <w:rPr>
          <w:lang w:val="en-CA"/>
        </w:rPr>
        <w:t xml:space="preserve">DESJARDINS INSURANCE refers to Desjardins Financial Security Life Assurance Company. In addition, DESJARDINS INSURANCE and its logo are trademarks of the Fédération des </w:t>
      </w:r>
      <w:proofErr w:type="spellStart"/>
      <w:r w:rsidRPr="006A04EC">
        <w:rPr>
          <w:lang w:val="en-CA"/>
        </w:rPr>
        <w:t>caisses</w:t>
      </w:r>
      <w:proofErr w:type="spellEnd"/>
      <w:r w:rsidRPr="006A04EC">
        <w:rPr>
          <w:lang w:val="en-CA"/>
        </w:rPr>
        <w:t xml:space="preserve"> Desjardins du Québec used under licence.</w:t>
      </w:r>
    </w:p>
    <w:p w14:paraId="60CAFC99" w14:textId="6120399F" w:rsidR="00652A75" w:rsidRPr="004D07A8" w:rsidRDefault="00652A75" w:rsidP="006A04EC">
      <w:pPr>
        <w:rPr>
          <w:lang w:val="en-CA"/>
        </w:rPr>
      </w:pPr>
    </w:p>
    <w:sectPr w:rsidR="00652A75" w:rsidRPr="004D07A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0B12" w14:textId="77777777" w:rsidR="006500DF" w:rsidRDefault="006500DF" w:rsidP="000B2E5A">
      <w:pPr>
        <w:spacing w:after="0" w:line="240" w:lineRule="auto"/>
      </w:pPr>
      <w:r>
        <w:separator/>
      </w:r>
    </w:p>
  </w:endnote>
  <w:endnote w:type="continuationSeparator" w:id="0">
    <w:p w14:paraId="61F3BDEB" w14:textId="77777777" w:rsidR="006500DF" w:rsidRDefault="006500DF" w:rsidP="000B2E5A">
      <w:pPr>
        <w:spacing w:after="0" w:line="240" w:lineRule="auto"/>
      </w:pPr>
      <w:r>
        <w:continuationSeparator/>
      </w:r>
    </w:p>
  </w:endnote>
  <w:endnote w:type="continuationNotice" w:id="1">
    <w:p w14:paraId="7DD0E613" w14:textId="77777777" w:rsidR="006500DF" w:rsidRDefault="006500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04B6" w14:textId="77777777" w:rsidR="00747593" w:rsidRDefault="00747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FBABD" w14:textId="77777777" w:rsidR="00747593" w:rsidRDefault="00747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8D11" w14:textId="77777777" w:rsidR="00747593" w:rsidRDefault="0074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406A" w14:textId="77777777" w:rsidR="006500DF" w:rsidRDefault="006500DF" w:rsidP="000B2E5A">
      <w:pPr>
        <w:spacing w:after="0" w:line="240" w:lineRule="auto"/>
      </w:pPr>
      <w:r>
        <w:separator/>
      </w:r>
    </w:p>
  </w:footnote>
  <w:footnote w:type="continuationSeparator" w:id="0">
    <w:p w14:paraId="788C3ABC" w14:textId="77777777" w:rsidR="006500DF" w:rsidRDefault="006500DF" w:rsidP="000B2E5A">
      <w:pPr>
        <w:spacing w:after="0" w:line="240" w:lineRule="auto"/>
      </w:pPr>
      <w:r>
        <w:continuationSeparator/>
      </w:r>
    </w:p>
  </w:footnote>
  <w:footnote w:type="continuationNotice" w:id="1">
    <w:p w14:paraId="060D42E8" w14:textId="77777777" w:rsidR="006500DF" w:rsidRDefault="006500DF">
      <w:pPr>
        <w:spacing w:after="0" w:line="240" w:lineRule="auto"/>
      </w:pPr>
    </w:p>
  </w:footnote>
  <w:footnote w:id="2">
    <w:p w14:paraId="65D82A8F" w14:textId="2B47C064" w:rsidR="002A1055" w:rsidRPr="006A04EC" w:rsidRDefault="002A105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Pr="006A04EC">
        <w:rPr>
          <w:lang w:val="en-CA"/>
        </w:rPr>
        <w:t xml:space="preserve"> </w:t>
      </w:r>
      <w:r w:rsidRPr="7198CBDC">
        <w:rPr>
          <w:lang w:val="en-CA"/>
        </w:rPr>
        <w:t xml:space="preserve">Desjardins Competitive Analysis, </w:t>
      </w:r>
      <w:r>
        <w:rPr>
          <w:lang w:val="en-CA"/>
        </w:rPr>
        <w:t>December</w:t>
      </w:r>
      <w:r w:rsidRPr="7198CBDC">
        <w:rPr>
          <w:lang w:val="en-CA"/>
        </w:rPr>
        <w:t xml:space="preserve"> 2021</w:t>
      </w:r>
    </w:p>
  </w:footnote>
  <w:footnote w:id="3">
    <w:p w14:paraId="5A66BB42" w14:textId="629EAAAF" w:rsidR="002A1055" w:rsidRPr="006A04EC" w:rsidRDefault="002A105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Pr="006A04EC">
        <w:rPr>
          <w:lang w:val="en-CA"/>
        </w:rPr>
        <w:t xml:space="preserve"> </w:t>
      </w:r>
      <w:hyperlink r:id="rId1" w:history="1">
        <w:r w:rsidRPr="00021B90">
          <w:rPr>
            <w:rStyle w:val="Hyperlink"/>
            <w:lang w:val="en-CA"/>
          </w:rPr>
          <w:t>https://www.investmentexecutive.com/newspaper_/news-newspaper/seg-funds-with-diverse-styles-thrived-in-2020/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9257" w14:textId="77777777" w:rsidR="00747593" w:rsidRDefault="00747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AE11" w14:textId="77777777" w:rsidR="00747593" w:rsidRDefault="00747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13CF" w14:textId="77777777" w:rsidR="00747593" w:rsidRDefault="00747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79C4"/>
    <w:multiLevelType w:val="hybridMultilevel"/>
    <w:tmpl w:val="2BFA6D6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79D6568"/>
    <w:multiLevelType w:val="multilevel"/>
    <w:tmpl w:val="0FFC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5015D"/>
    <w:multiLevelType w:val="hybridMultilevel"/>
    <w:tmpl w:val="1B88A70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5"/>
    <w:rsid w:val="00011B1F"/>
    <w:rsid w:val="00021B90"/>
    <w:rsid w:val="00025763"/>
    <w:rsid w:val="00031631"/>
    <w:rsid w:val="00041F77"/>
    <w:rsid w:val="00056BCD"/>
    <w:rsid w:val="000B2E5A"/>
    <w:rsid w:val="00114C5C"/>
    <w:rsid w:val="00144075"/>
    <w:rsid w:val="00156CCD"/>
    <w:rsid w:val="001D7AB8"/>
    <w:rsid w:val="00223280"/>
    <w:rsid w:val="00244D81"/>
    <w:rsid w:val="0025064E"/>
    <w:rsid w:val="002628B8"/>
    <w:rsid w:val="00291603"/>
    <w:rsid w:val="00291DB8"/>
    <w:rsid w:val="002A1055"/>
    <w:rsid w:val="00310AE1"/>
    <w:rsid w:val="003324AF"/>
    <w:rsid w:val="00385919"/>
    <w:rsid w:val="0039343F"/>
    <w:rsid w:val="003B265A"/>
    <w:rsid w:val="003D70DD"/>
    <w:rsid w:val="00401E0C"/>
    <w:rsid w:val="00405EA4"/>
    <w:rsid w:val="00432A2A"/>
    <w:rsid w:val="00454262"/>
    <w:rsid w:val="004562CF"/>
    <w:rsid w:val="0046777D"/>
    <w:rsid w:val="00484674"/>
    <w:rsid w:val="004A1052"/>
    <w:rsid w:val="004B6B3E"/>
    <w:rsid w:val="004C4F9A"/>
    <w:rsid w:val="004D07A8"/>
    <w:rsid w:val="005577F6"/>
    <w:rsid w:val="005A56DA"/>
    <w:rsid w:val="005B1515"/>
    <w:rsid w:val="00620327"/>
    <w:rsid w:val="006222C9"/>
    <w:rsid w:val="006357C4"/>
    <w:rsid w:val="006500DF"/>
    <w:rsid w:val="00652A75"/>
    <w:rsid w:val="00675C57"/>
    <w:rsid w:val="00686896"/>
    <w:rsid w:val="006A04EC"/>
    <w:rsid w:val="006E2EB4"/>
    <w:rsid w:val="007001E5"/>
    <w:rsid w:val="00734358"/>
    <w:rsid w:val="00747593"/>
    <w:rsid w:val="007711DB"/>
    <w:rsid w:val="00775FE0"/>
    <w:rsid w:val="007817A6"/>
    <w:rsid w:val="007D471F"/>
    <w:rsid w:val="00813681"/>
    <w:rsid w:val="008152FA"/>
    <w:rsid w:val="008A496A"/>
    <w:rsid w:val="008C2F3B"/>
    <w:rsid w:val="008D0E58"/>
    <w:rsid w:val="008F3515"/>
    <w:rsid w:val="008F7B44"/>
    <w:rsid w:val="00927692"/>
    <w:rsid w:val="00945B17"/>
    <w:rsid w:val="0096368A"/>
    <w:rsid w:val="009A17F8"/>
    <w:rsid w:val="009A56EE"/>
    <w:rsid w:val="009C4699"/>
    <w:rsid w:val="009D5906"/>
    <w:rsid w:val="009F3F30"/>
    <w:rsid w:val="00A31FCF"/>
    <w:rsid w:val="00A35E07"/>
    <w:rsid w:val="00A6647F"/>
    <w:rsid w:val="00AE7E7C"/>
    <w:rsid w:val="00B2233E"/>
    <w:rsid w:val="00B34CC1"/>
    <w:rsid w:val="00B40A20"/>
    <w:rsid w:val="00B7453A"/>
    <w:rsid w:val="00B92D74"/>
    <w:rsid w:val="00BA5BBC"/>
    <w:rsid w:val="00BD12B8"/>
    <w:rsid w:val="00BE54D9"/>
    <w:rsid w:val="00BE5AF9"/>
    <w:rsid w:val="00C278CF"/>
    <w:rsid w:val="00C65F0F"/>
    <w:rsid w:val="00CB6724"/>
    <w:rsid w:val="00CE09CD"/>
    <w:rsid w:val="00D404B4"/>
    <w:rsid w:val="00D43AB9"/>
    <w:rsid w:val="00D60DFB"/>
    <w:rsid w:val="00D9231D"/>
    <w:rsid w:val="00E10531"/>
    <w:rsid w:val="00E15851"/>
    <w:rsid w:val="00E249EE"/>
    <w:rsid w:val="00E3011E"/>
    <w:rsid w:val="00E55454"/>
    <w:rsid w:val="00ED06D9"/>
    <w:rsid w:val="00EE737C"/>
    <w:rsid w:val="00EF1118"/>
    <w:rsid w:val="00F16CDD"/>
    <w:rsid w:val="00F33E98"/>
    <w:rsid w:val="00F35799"/>
    <w:rsid w:val="00F36B4B"/>
    <w:rsid w:val="00F6128D"/>
    <w:rsid w:val="00F6315F"/>
    <w:rsid w:val="00FA736C"/>
    <w:rsid w:val="00FC1F9F"/>
    <w:rsid w:val="00FF0984"/>
    <w:rsid w:val="06A19DB1"/>
    <w:rsid w:val="10757D79"/>
    <w:rsid w:val="24664632"/>
    <w:rsid w:val="2691F9EF"/>
    <w:rsid w:val="271A277D"/>
    <w:rsid w:val="34E32AE1"/>
    <w:rsid w:val="3E70E4CA"/>
    <w:rsid w:val="3ED65839"/>
    <w:rsid w:val="47308A66"/>
    <w:rsid w:val="531CA446"/>
    <w:rsid w:val="54FDA026"/>
    <w:rsid w:val="61B4CD0E"/>
    <w:rsid w:val="628ABAA2"/>
    <w:rsid w:val="6DFFFA45"/>
    <w:rsid w:val="7198CBDC"/>
    <w:rsid w:val="77E515DF"/>
    <w:rsid w:val="7F97D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177F4"/>
  <w15:chartTrackingRefBased/>
  <w15:docId w15:val="{F76BE5FB-1B7B-4B6E-84DF-B59E243C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5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8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8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8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5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1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5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7A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E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07"/>
  </w:style>
  <w:style w:type="paragraph" w:styleId="Footer">
    <w:name w:val="footer"/>
    <w:basedOn w:val="Normal"/>
    <w:link w:val="FooterChar"/>
    <w:uiPriority w:val="99"/>
    <w:unhideWhenUsed/>
    <w:rsid w:val="00A35E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07"/>
  </w:style>
  <w:style w:type="character" w:customStyle="1" w:styleId="Heading1Char">
    <w:name w:val="Heading 1 Char"/>
    <w:basedOn w:val="DefaultParagraphFont"/>
    <w:link w:val="Heading1"/>
    <w:uiPriority w:val="9"/>
    <w:rsid w:val="00B22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A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73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3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3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ebi.desjardinsassurancevie.com/en/public/Investments/gif-helios2/Pages/protection-growth.aspx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vestmentexecutive.com/newspaper_/news-newspaper/seg-funds-with-diverse-styles-thrived-in-202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F4899EC35AB459FE5A613D8E03064" ma:contentTypeVersion="15" ma:contentTypeDescription="Crée un document." ma:contentTypeScope="" ma:versionID="009f7e215258479eab5f9e76cbafcfe4">
  <xsd:schema xmlns:xsd="http://www.w3.org/2001/XMLSchema" xmlns:xs="http://www.w3.org/2001/XMLSchema" xmlns:p="http://schemas.microsoft.com/office/2006/metadata/properties" xmlns:ns1="http://schemas.microsoft.com/sharepoint/v3" xmlns:ns2="3bfe8c5f-5ccd-4eae-a819-b644d00955a8" xmlns:ns3="1c462686-80ee-4d12-a738-05230f9fe86e" targetNamespace="http://schemas.microsoft.com/office/2006/metadata/properties" ma:root="true" ma:fieldsID="d2e801b0602e6d7699af565882eb7752" ns1:_="" ns2:_="" ns3:_="">
    <xsd:import namespace="http://schemas.microsoft.com/sharepoint/v3"/>
    <xsd:import namespace="3bfe8c5f-5ccd-4eae-a819-b644d00955a8"/>
    <xsd:import namespace="1c462686-80ee-4d12-a738-05230f9fe8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e8c5f-5ccd-4eae-a819-b644d0095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62686-80ee-4d12-a738-05230f9fe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C20AA70-B310-4CA2-A768-7F5A4718FD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5395-17C9-4B85-99D4-5030130B98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9C99EB-7D82-4580-82DD-39B9A81192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bfe8c5f-5ccd-4eae-a819-b644d00955a8"/>
    <ds:schemaRef ds:uri="1c462686-80ee-4d12-a738-05230f9fe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00008A-3CA1-4C08-A8B6-DAC57952D7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Nelzin</dc:creator>
  <cp:keywords/>
  <dc:description/>
  <cp:lastModifiedBy>Carolynn Meng</cp:lastModifiedBy>
  <cp:revision>2</cp:revision>
  <dcterms:created xsi:type="dcterms:W3CDTF">2021-12-21T18:38:00Z</dcterms:created>
  <dcterms:modified xsi:type="dcterms:W3CDTF">2021-12-21T18:38:00Z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9694e0f-943f-4e6f-bf55-6e34fbc91307_Enabled">
    <vt:lpwstr>true</vt:lpwstr>
  </property>
  <property fmtid="{D5CDD505-2E9C-101B-9397-08002B2CF9AE}" pid="3" name="MSIP_Label_a9694e0f-943f-4e6f-bf55-6e34fbc91307_SetDate">
    <vt:lpwstr>2021-09-03T20:12:18Z</vt:lpwstr>
  </property>
  <property fmtid="{D5CDD505-2E9C-101B-9397-08002B2CF9AE}" pid="4" name="MSIP_Label_a9694e0f-943f-4e6f-bf55-6e34fbc91307_Method">
    <vt:lpwstr>Standard</vt:lpwstr>
  </property>
  <property fmtid="{D5CDD505-2E9C-101B-9397-08002B2CF9AE}" pid="5" name="MSIP_Label_a9694e0f-943f-4e6f-bf55-6e34fbc91307_Name">
    <vt:lpwstr>Usage interne</vt:lpwstr>
  </property>
  <property fmtid="{D5CDD505-2E9C-101B-9397-08002B2CF9AE}" pid="6" name="MSIP_Label_a9694e0f-943f-4e6f-bf55-6e34fbc91307_SiteId">
    <vt:lpwstr>728d20a5-0b44-47dd-9470-20f37cbf2d9a</vt:lpwstr>
  </property>
  <property fmtid="{D5CDD505-2E9C-101B-9397-08002B2CF9AE}" pid="7" name="MSIP_Label_a9694e0f-943f-4e6f-bf55-6e34fbc91307_ActionId">
    <vt:lpwstr>57c63c1a-6746-411b-9355-4647903a6c19</vt:lpwstr>
  </property>
  <property fmtid="{D5CDD505-2E9C-101B-9397-08002B2CF9AE}" pid="8" name="MSIP_Label_a9694e0f-943f-4e6f-bf55-6e34fbc91307_ContentBits">
    <vt:lpwstr>0</vt:lpwstr>
  </property>
  <property fmtid="{D5CDD505-2E9C-101B-9397-08002B2CF9AE}" pid="9" name="ContentTypeId">
    <vt:lpwstr>0x01010085BF4899EC35AB459FE5A613D8E03064</vt:lpwstr>
  </property>
</Properties>
</file>