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5E200" w14:textId="77777777" w:rsidR="002F7A22" w:rsidRDefault="002F7A22">
      <w:r w:rsidRPr="002F7A22">
        <w:t xml:space="preserve">La </w:t>
      </w:r>
      <w:proofErr w:type="spellStart"/>
      <w:r w:rsidRPr="002F7A22">
        <w:t>gamme</w:t>
      </w:r>
      <w:proofErr w:type="spellEnd"/>
      <w:r w:rsidRPr="002F7A22">
        <w:t xml:space="preserve"> d’actions </w:t>
      </w:r>
      <w:proofErr w:type="spellStart"/>
      <w:r w:rsidRPr="002F7A22">
        <w:t>nord-américaines</w:t>
      </w:r>
      <w:proofErr w:type="spellEnd"/>
      <w:r w:rsidRPr="002F7A22">
        <w:t xml:space="preserve"> </w:t>
      </w:r>
      <w:proofErr w:type="gramStart"/>
      <w:r w:rsidRPr="002F7A22">
        <w:t>Canoe :</w:t>
      </w:r>
      <w:proofErr w:type="gramEnd"/>
      <w:r w:rsidRPr="002F7A22">
        <w:t xml:space="preserve"> des titres au </w:t>
      </w:r>
      <w:proofErr w:type="spellStart"/>
      <w:r w:rsidRPr="002F7A22">
        <w:t>rendement</w:t>
      </w:r>
      <w:proofErr w:type="spellEnd"/>
      <w:r w:rsidRPr="002F7A22">
        <w:t xml:space="preserve"> </w:t>
      </w:r>
      <w:proofErr w:type="spellStart"/>
      <w:r w:rsidRPr="002F7A22">
        <w:t>constamment</w:t>
      </w:r>
      <w:proofErr w:type="spellEnd"/>
      <w:r w:rsidRPr="002F7A22">
        <w:t xml:space="preserve"> </w:t>
      </w:r>
      <w:proofErr w:type="spellStart"/>
      <w:r w:rsidRPr="002F7A22">
        <w:t>supérieur</w:t>
      </w:r>
      <w:proofErr w:type="spellEnd"/>
    </w:p>
    <w:p w14:paraId="4C534B48" w14:textId="2F99FE0D" w:rsidR="002F7A22" w:rsidRPr="00EE6A16" w:rsidRDefault="002F7A22" w:rsidP="00EE6A16">
      <w:pPr>
        <w:jc w:val="center"/>
        <w:rPr>
          <w:b/>
          <w:lang w:val="fr-CA"/>
        </w:rPr>
      </w:pPr>
      <w:r w:rsidRPr="002F7A22">
        <w:rPr>
          <w:b/>
          <w:lang w:val="fr-CA"/>
        </w:rPr>
        <w:t xml:space="preserve">Les chiffres en disent plus que les mots… </w:t>
      </w:r>
      <w:r w:rsidR="00EE6A16">
        <w:rPr>
          <w:b/>
          <w:lang w:val="fr-CA"/>
        </w:rPr>
        <w:br/>
      </w:r>
      <w:r w:rsidRPr="002F7A22">
        <w:rPr>
          <w:bCs/>
          <w:lang w:val="fr-CA"/>
        </w:rPr>
        <w:t>et ceux-là tout particulièrement.</w:t>
      </w:r>
    </w:p>
    <w:p w14:paraId="41A70831" w14:textId="2166003B" w:rsidR="002F7A22" w:rsidRDefault="002F7A22" w:rsidP="00EE6A16">
      <w:pPr>
        <w:jc w:val="center"/>
        <w:rPr>
          <w:lang w:val="fr-CA"/>
        </w:rPr>
      </w:pPr>
      <w:r w:rsidRPr="002F7A22">
        <w:rPr>
          <w:lang w:val="fr-CA"/>
        </w:rPr>
        <w:t>Gamme d’actions nord-américaines Canoe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655"/>
        <w:gridCol w:w="1083"/>
        <w:gridCol w:w="781"/>
        <w:gridCol w:w="781"/>
        <w:gridCol w:w="781"/>
        <w:gridCol w:w="781"/>
        <w:gridCol w:w="778"/>
      </w:tblGrid>
      <w:tr w:rsidR="00734442" w:rsidRPr="00734442" w14:paraId="25A24962" w14:textId="77777777" w:rsidTr="00734442">
        <w:trPr>
          <w:trHeight w:val="300"/>
        </w:trPr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CB6EAF" w14:textId="4E3C1595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620F2E" w14:textId="7214D615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09ED4F3A" w14:textId="74217147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20"/>
              </w:rPr>
              <w:t>1 an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70050CAE" w14:textId="218D651D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20"/>
              </w:rPr>
              <w:t xml:space="preserve">3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20"/>
              </w:rPr>
              <w:t>ans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0CC45A49" w14:textId="1230E483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20"/>
              </w:rPr>
              <w:t xml:space="preserve">5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20"/>
              </w:rPr>
              <w:t>ans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63C86BB9" w14:textId="3D883557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20"/>
              </w:rPr>
              <w:t xml:space="preserve">10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20"/>
              </w:rPr>
              <w:t>ans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1AD983CF" w14:textId="374F63CF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18"/>
                <w:szCs w:val="20"/>
              </w:rPr>
            </w:pP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20"/>
              </w:rPr>
              <w:t>Depuis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FFFFFF" w:themeColor="background1"/>
                <w:sz w:val="18"/>
                <w:szCs w:val="20"/>
              </w:rPr>
              <w:t xml:space="preserve"> la création</w:t>
            </w:r>
          </w:p>
        </w:tc>
      </w:tr>
      <w:tr w:rsidR="00734442" w:rsidRPr="00734442" w14:paraId="108F44FE" w14:textId="77777777" w:rsidTr="00734442">
        <w:trPr>
          <w:trHeight w:val="300"/>
        </w:trPr>
        <w:tc>
          <w:tcPr>
            <w:tcW w:w="211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FC62" w14:textId="61846653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Catégorie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portefeuille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 d'actions Canoe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15E4" w14:textId="1F1B75B5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Quartile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A0F3" w14:textId="5EA6EEEA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4AF0" w14:textId="3BEC95EA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AD006" w14:textId="799A9AEF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5351" w14:textId="3C04D666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1BCC" w14:textId="7B57B8B7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</w:tr>
      <w:tr w:rsidR="00734442" w:rsidRPr="00734442" w14:paraId="2906D515" w14:textId="77777777" w:rsidTr="00734442">
        <w:trPr>
          <w:trHeight w:val="300"/>
        </w:trPr>
        <w:tc>
          <w:tcPr>
            <w:tcW w:w="2115" w:type="pct"/>
            <w:vMerge/>
            <w:tcBorders>
              <w:left w:val="nil"/>
              <w:bottom w:val="single" w:sz="4" w:space="0" w:color="FDB5AD"/>
              <w:right w:val="nil"/>
            </w:tcBorders>
            <w:shd w:val="clear" w:color="auto" w:fill="auto"/>
            <w:vAlign w:val="center"/>
            <w:hideMark/>
          </w:tcPr>
          <w:p w14:paraId="63567CB1" w14:textId="77777777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vAlign w:val="center"/>
            <w:hideMark/>
          </w:tcPr>
          <w:p w14:paraId="07FA89E4" w14:textId="5C6795CE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Rendement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31889F69" w14:textId="298809B1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41,8%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61583FBB" w14:textId="11117364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21,7%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1191D8CE" w14:textId="2994630E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12,3%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23371195" w14:textId="3687C1C1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11,2%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12AA4431" w14:textId="34790A48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8,9%</w:t>
            </w:r>
          </w:p>
        </w:tc>
      </w:tr>
      <w:tr w:rsidR="00734442" w:rsidRPr="00734442" w14:paraId="3D96069D" w14:textId="77777777" w:rsidTr="00734442">
        <w:trPr>
          <w:trHeight w:val="300"/>
        </w:trPr>
        <w:tc>
          <w:tcPr>
            <w:tcW w:w="2115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vAlign w:val="center"/>
            <w:hideMark/>
          </w:tcPr>
          <w:p w14:paraId="062952D6" w14:textId="780A7477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20"/>
              </w:rPr>
            </w:pPr>
            <w:proofErr w:type="spellStart"/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>Indice</w:t>
            </w:r>
            <w:proofErr w:type="spellEnd"/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 xml:space="preserve"> de </w:t>
            </w:r>
            <w:proofErr w:type="spellStart"/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>référence</w:t>
            </w:r>
            <w:proofErr w:type="spellEnd"/>
          </w:p>
        </w:tc>
        <w:tc>
          <w:tcPr>
            <w:tcW w:w="627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vAlign w:val="center"/>
            <w:hideMark/>
          </w:tcPr>
          <w:p w14:paraId="7A5B84CD" w14:textId="4422E80D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4029AFE" w14:textId="7C754142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25,1%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300D91E" w14:textId="2226BDFE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17,5%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2961B62" w14:textId="74711D0C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10.0%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3A53D04" w14:textId="30968E94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9,1%</w:t>
            </w:r>
          </w:p>
        </w:tc>
        <w:tc>
          <w:tcPr>
            <w:tcW w:w="451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522A80F" w14:textId="699CAD59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7,0%</w:t>
            </w:r>
          </w:p>
        </w:tc>
      </w:tr>
      <w:tr w:rsidR="00734442" w:rsidRPr="00734442" w14:paraId="7D1693EF" w14:textId="77777777" w:rsidTr="00734442">
        <w:trPr>
          <w:trHeight w:val="300"/>
        </w:trPr>
        <w:tc>
          <w:tcPr>
            <w:tcW w:w="2115" w:type="pct"/>
            <w:vMerge w:val="restart"/>
            <w:tcBorders>
              <w:top w:val="single" w:sz="4" w:space="0" w:color="C00000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89398" w14:textId="0530E398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Catégorie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portefeuille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 de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répartition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d’actifs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 Canoe</w:t>
            </w:r>
          </w:p>
        </w:tc>
        <w:tc>
          <w:tcPr>
            <w:tcW w:w="627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9310E5" w14:textId="445F1CFB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Quartile</w:t>
            </w:r>
          </w:p>
        </w:tc>
        <w:tc>
          <w:tcPr>
            <w:tcW w:w="452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C29DD" w14:textId="44C4CA95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2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C2C0" w14:textId="2FD87169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2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213D1" w14:textId="5BC8E978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2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317C" w14:textId="4944B15C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1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45DA" w14:textId="361BDA4C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</w:tr>
      <w:tr w:rsidR="00734442" w:rsidRPr="00734442" w14:paraId="33F81634" w14:textId="77777777" w:rsidTr="00734442">
        <w:trPr>
          <w:trHeight w:val="300"/>
        </w:trPr>
        <w:tc>
          <w:tcPr>
            <w:tcW w:w="2115" w:type="pct"/>
            <w:vMerge/>
            <w:tcBorders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66362C8F" w14:textId="77777777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47586A27" w14:textId="399D108F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Rendement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25ED2BD7" w14:textId="2DFFB56B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30.0%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16B7B07F" w14:textId="2E565D46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16,4%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1FFAC65D" w14:textId="71108771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9,8%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7298A989" w14:textId="1896E70E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8,8%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65ACDF1C" w14:textId="313887D7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7,0%</w:t>
            </w:r>
          </w:p>
        </w:tc>
      </w:tr>
      <w:tr w:rsidR="00734442" w:rsidRPr="00734442" w14:paraId="250A6234" w14:textId="77777777" w:rsidTr="00734442">
        <w:trPr>
          <w:trHeight w:val="300"/>
        </w:trPr>
        <w:tc>
          <w:tcPr>
            <w:tcW w:w="2115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vAlign w:val="center"/>
            <w:hideMark/>
          </w:tcPr>
          <w:p w14:paraId="4F78AB59" w14:textId="43519689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20"/>
              </w:rPr>
            </w:pPr>
            <w:proofErr w:type="spellStart"/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>Indice</w:t>
            </w:r>
            <w:proofErr w:type="spellEnd"/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 xml:space="preserve"> de </w:t>
            </w:r>
            <w:proofErr w:type="spellStart"/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>référence</w:t>
            </w:r>
            <w:proofErr w:type="spellEnd"/>
          </w:p>
        </w:tc>
        <w:tc>
          <w:tcPr>
            <w:tcW w:w="627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vAlign w:val="center"/>
            <w:hideMark/>
          </w:tcPr>
          <w:p w14:paraId="635242BB" w14:textId="2C08EE99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5D6F21F" w14:textId="7E49047D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14,8%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2138893" w14:textId="34B5C2CE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13.0%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26B25CD" w14:textId="44347777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7,9%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395FE5F" w14:textId="1521A761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7,2%</w:t>
            </w:r>
          </w:p>
        </w:tc>
        <w:tc>
          <w:tcPr>
            <w:tcW w:w="451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C4C4546" w14:textId="076A0C21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6,1%</w:t>
            </w:r>
          </w:p>
        </w:tc>
      </w:tr>
      <w:tr w:rsidR="00734442" w:rsidRPr="00734442" w14:paraId="6728DA44" w14:textId="77777777" w:rsidTr="00734442">
        <w:trPr>
          <w:trHeight w:val="300"/>
        </w:trPr>
        <w:tc>
          <w:tcPr>
            <w:tcW w:w="2115" w:type="pct"/>
            <w:vMerge w:val="restart"/>
            <w:tcBorders>
              <w:top w:val="single" w:sz="4" w:space="0" w:color="C00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1B37" w14:textId="22C88583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Catégorie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portefeuille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nord-américaine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 de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revenu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mensuel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 Canoe</w:t>
            </w:r>
          </w:p>
        </w:tc>
        <w:tc>
          <w:tcPr>
            <w:tcW w:w="627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DAE8" w14:textId="5B54DA93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Quatile</w:t>
            </w:r>
            <w:proofErr w:type="spellEnd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452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0CC86" w14:textId="25123631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2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30D25" w14:textId="4498BE88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2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FD76" w14:textId="45E1ADC9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452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7A78" w14:textId="77777777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</w:p>
        </w:tc>
        <w:tc>
          <w:tcPr>
            <w:tcW w:w="451" w:type="pct"/>
            <w:tcBorders>
              <w:top w:val="single" w:sz="4" w:space="0" w:color="C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24F4C" w14:textId="67644386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</w:t>
            </w:r>
          </w:p>
        </w:tc>
      </w:tr>
      <w:tr w:rsidR="00734442" w:rsidRPr="00734442" w14:paraId="333C5098" w14:textId="77777777" w:rsidTr="00734442">
        <w:trPr>
          <w:trHeight w:val="300"/>
        </w:trPr>
        <w:tc>
          <w:tcPr>
            <w:tcW w:w="2115" w:type="pct"/>
            <w:vMerge/>
            <w:tcBorders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254A63BB" w14:textId="77777777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31E0CE88" w14:textId="0DD3A05D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20"/>
              </w:rPr>
            </w:pPr>
            <w:proofErr w:type="spellStart"/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20"/>
              </w:rPr>
              <w:t>Rendement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186009D5" w14:textId="63AE4B70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19,4%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3765DC5D" w14:textId="41D541F5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11,9%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59C3A729" w14:textId="755AE766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7,7%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41F0C5C2" w14:textId="77777777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FDB5AD"/>
              <w:right w:val="nil"/>
            </w:tcBorders>
            <w:shd w:val="clear" w:color="auto" w:fill="auto"/>
            <w:noWrap/>
            <w:vAlign w:val="center"/>
            <w:hideMark/>
          </w:tcPr>
          <w:p w14:paraId="4CDF729A" w14:textId="41D59172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b/>
                <w:bCs/>
                <w:color w:val="000000"/>
                <w:sz w:val="18"/>
              </w:rPr>
              <w:t>8,8%</w:t>
            </w:r>
          </w:p>
        </w:tc>
      </w:tr>
      <w:tr w:rsidR="00734442" w:rsidRPr="00734442" w14:paraId="26A73907" w14:textId="77777777" w:rsidTr="00734442">
        <w:trPr>
          <w:trHeight w:val="300"/>
        </w:trPr>
        <w:tc>
          <w:tcPr>
            <w:tcW w:w="2115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vAlign w:val="center"/>
            <w:hideMark/>
          </w:tcPr>
          <w:p w14:paraId="2BEC981C" w14:textId="73DE47C1" w:rsidR="00734442" w:rsidRPr="00734442" w:rsidRDefault="00734442" w:rsidP="0073444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20"/>
              </w:rPr>
            </w:pPr>
            <w:proofErr w:type="spellStart"/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>Indice</w:t>
            </w:r>
            <w:proofErr w:type="spellEnd"/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 xml:space="preserve"> de </w:t>
            </w:r>
            <w:proofErr w:type="spellStart"/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>référence</w:t>
            </w:r>
            <w:proofErr w:type="spellEnd"/>
          </w:p>
        </w:tc>
        <w:tc>
          <w:tcPr>
            <w:tcW w:w="627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vAlign w:val="center"/>
            <w:hideMark/>
          </w:tcPr>
          <w:p w14:paraId="2E942930" w14:textId="3173AE66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20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4FCE710" w14:textId="2FBA0F7C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10,6%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539155E" w14:textId="246A71EB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11.0%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9F5BF12" w14:textId="17816CC7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6,9%</w:t>
            </w:r>
          </w:p>
        </w:tc>
        <w:tc>
          <w:tcPr>
            <w:tcW w:w="452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3AFDC32" w14:textId="5B36D433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 </w:t>
            </w:r>
          </w:p>
        </w:tc>
        <w:tc>
          <w:tcPr>
            <w:tcW w:w="451" w:type="pct"/>
            <w:tcBorders>
              <w:top w:val="single" w:sz="4" w:space="0" w:color="FDB5AD"/>
              <w:left w:val="nil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C9F4F05" w14:textId="4385E2A7" w:rsidR="00734442" w:rsidRPr="00734442" w:rsidRDefault="00734442" w:rsidP="007344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</w:rPr>
            </w:pPr>
            <w:r w:rsidRPr="00734442">
              <w:rPr>
                <w:rFonts w:asciiTheme="majorHAnsi" w:hAnsiTheme="majorHAnsi" w:cstheme="majorHAnsi"/>
                <w:color w:val="000000"/>
                <w:sz w:val="18"/>
              </w:rPr>
              <w:t>6,4%</w:t>
            </w:r>
          </w:p>
        </w:tc>
      </w:tr>
    </w:tbl>
    <w:p w14:paraId="1495DC6F" w14:textId="307A25EE" w:rsidR="002F7A22" w:rsidRPr="002F7A22" w:rsidRDefault="002F7A22" w:rsidP="00EE6A16">
      <w:pPr>
        <w:jc w:val="center"/>
        <w:rPr>
          <w:lang w:val="fr-CA"/>
        </w:rPr>
      </w:pPr>
    </w:p>
    <w:p w14:paraId="2851A009" w14:textId="77777777" w:rsidR="002F7A22" w:rsidRDefault="002F7A22" w:rsidP="00EE6A16">
      <w:pPr>
        <w:jc w:val="center"/>
        <w:rPr>
          <w:b/>
          <w:i/>
        </w:rPr>
      </w:pPr>
      <w:proofErr w:type="spellStart"/>
      <w:r w:rsidRPr="002F7A22">
        <w:rPr>
          <w:b/>
          <w:i/>
        </w:rPr>
        <w:t>Une</w:t>
      </w:r>
      <w:proofErr w:type="spellEnd"/>
      <w:r w:rsidRPr="002F7A22">
        <w:rPr>
          <w:b/>
          <w:i/>
        </w:rPr>
        <w:t xml:space="preserve"> </w:t>
      </w:r>
      <w:proofErr w:type="spellStart"/>
      <w:r w:rsidRPr="002F7A22">
        <w:rPr>
          <w:b/>
          <w:i/>
        </w:rPr>
        <w:t>sélection</w:t>
      </w:r>
      <w:proofErr w:type="spellEnd"/>
      <w:r w:rsidRPr="002F7A22">
        <w:rPr>
          <w:b/>
          <w:i/>
        </w:rPr>
        <w:t xml:space="preserve"> </w:t>
      </w:r>
      <w:proofErr w:type="spellStart"/>
      <w:r w:rsidRPr="002F7A22">
        <w:rPr>
          <w:b/>
          <w:i/>
        </w:rPr>
        <w:t>opportuniste</w:t>
      </w:r>
      <w:proofErr w:type="spellEnd"/>
      <w:r w:rsidRPr="002F7A22">
        <w:rPr>
          <w:b/>
          <w:i/>
        </w:rPr>
        <w:t xml:space="preserve"> des titres </w:t>
      </w:r>
      <w:proofErr w:type="spellStart"/>
      <w:r w:rsidRPr="002F7A22">
        <w:rPr>
          <w:b/>
          <w:i/>
        </w:rPr>
        <w:t>produit</w:t>
      </w:r>
      <w:proofErr w:type="spellEnd"/>
      <w:r w:rsidRPr="002F7A22">
        <w:rPr>
          <w:b/>
          <w:i/>
        </w:rPr>
        <w:t xml:space="preserve"> des </w:t>
      </w:r>
      <w:proofErr w:type="spellStart"/>
      <w:r w:rsidRPr="002F7A22">
        <w:rPr>
          <w:b/>
          <w:i/>
        </w:rPr>
        <w:t>rendements</w:t>
      </w:r>
      <w:proofErr w:type="spellEnd"/>
      <w:r w:rsidRPr="002F7A22">
        <w:rPr>
          <w:b/>
          <w:i/>
        </w:rPr>
        <w:t xml:space="preserve"> </w:t>
      </w:r>
      <w:proofErr w:type="spellStart"/>
      <w:r w:rsidRPr="002F7A22">
        <w:rPr>
          <w:b/>
          <w:i/>
        </w:rPr>
        <w:t>supérieurs</w:t>
      </w:r>
      <w:proofErr w:type="spellEnd"/>
    </w:p>
    <w:p w14:paraId="1890ABDF" w14:textId="69F2FF20" w:rsidR="0016211B" w:rsidRPr="002F7A22" w:rsidRDefault="002F7A22" w:rsidP="00EE6A16">
      <w:pPr>
        <w:jc w:val="center"/>
        <w:rPr>
          <w:lang w:val="fr-CA"/>
        </w:rPr>
      </w:pPr>
      <w:r w:rsidRPr="002F7A22">
        <w:rPr>
          <w:lang w:val="fr-CA"/>
        </w:rPr>
        <w:t>Rob Taylor, chef des placements et gestionnaire de portefeuille, estime que la faiblesse des taux d’intérêt a entraîné une surévaluation de l’indice dans lequel la pondération des titres principaux est importante</w:t>
      </w:r>
      <w:r w:rsidR="00F32E8F" w:rsidRPr="002F7A22">
        <w:rPr>
          <w:lang w:val="fr-CA"/>
        </w:rPr>
        <w:t xml:space="preserve">. </w:t>
      </w:r>
      <w:r w:rsidRPr="002F7A22">
        <w:rPr>
          <w:lang w:val="fr-CA"/>
        </w:rPr>
        <w:t>L’écart entre les actions chères et les actions sous-évaluées est l’un des plus larges et la sélection des titres est maintenant plus importante que jamais.</w:t>
      </w:r>
    </w:p>
    <w:p w14:paraId="424A6772" w14:textId="590DFB25" w:rsidR="002F7A22" w:rsidRDefault="002F7A22" w:rsidP="00EE6A16">
      <w:pPr>
        <w:jc w:val="center"/>
        <w:rPr>
          <w:lang w:val="fr-CA"/>
        </w:rPr>
      </w:pPr>
      <w:r w:rsidRPr="002F7A22">
        <w:rPr>
          <w:lang w:val="fr-CA"/>
        </w:rPr>
        <w:t>M. Taylor excelle dans la sélection des titres et il a su saisir les occasions qui se présentaient sur les marchés boursiers pour construire des portefeuilles de base et fournir des rendements constants, supérieurs à ceux de la catégorie.</w:t>
      </w:r>
    </w:p>
    <w:p w14:paraId="787DD62E" w14:textId="78437C95" w:rsidR="002F7A22" w:rsidRDefault="002F7A22">
      <w:pPr>
        <w:rPr>
          <w:lang w:val="fr-CA"/>
        </w:rPr>
      </w:pPr>
      <w:r w:rsidRPr="002F7A22">
        <w:rPr>
          <w:lang w:val="fr-CA"/>
        </w:rPr>
        <w:t xml:space="preserve">Communiquez avec votre grossiste de la Financière Canoe ou </w:t>
      </w:r>
      <w:hyperlink r:id="rId4" w:history="1">
        <w:r w:rsidRPr="002F7A22">
          <w:rPr>
            <w:rStyle w:val="Hyperlink"/>
            <w:lang w:val="fr-CA"/>
          </w:rPr>
          <w:t>cliquez ici pour en savoir plus</w:t>
        </w:r>
      </w:hyperlink>
      <w:r w:rsidRPr="002F7A22">
        <w:rPr>
          <w:lang w:val="fr-CA"/>
        </w:rPr>
        <w:t>.</w:t>
      </w:r>
    </w:p>
    <w:p w14:paraId="500F656D" w14:textId="79B2E5D4" w:rsidR="00EE6A16" w:rsidRPr="00734442" w:rsidRDefault="00EE6A16" w:rsidP="00734442">
      <w:pPr>
        <w:jc w:val="both"/>
        <w:rPr>
          <w:rFonts w:ascii="Arial Narrow" w:hAnsi="Arial Narrow"/>
          <w:lang w:val="fr-CA"/>
        </w:rPr>
      </w:pPr>
    </w:p>
    <w:p w14:paraId="3BA3D1A0" w14:textId="413597EB" w:rsidR="00734442" w:rsidRPr="00734442" w:rsidRDefault="00734442" w:rsidP="00734442">
      <w:pPr>
        <w:jc w:val="both"/>
        <w:rPr>
          <w:rFonts w:ascii="Arial Narrow" w:hAnsi="Arial Narrow" w:cs="Calibri"/>
          <w:color w:val="000000"/>
          <w:sz w:val="20"/>
          <w:szCs w:val="20"/>
        </w:rPr>
      </w:pPr>
      <w:proofErr w:type="gramStart"/>
      <w:r w:rsidRPr="00734442">
        <w:rPr>
          <w:rFonts w:ascii="Arial Narrow" w:hAnsi="Arial Narrow" w:cstheme="minorHAnsi"/>
          <w:sz w:val="20"/>
          <w:szCs w:val="20"/>
        </w:rPr>
        <w:t>Source :</w:t>
      </w:r>
      <w:proofErr w:type="gramEnd"/>
      <w:r w:rsidRPr="00734442">
        <w:rPr>
          <w:rFonts w:ascii="Arial Narrow" w:hAnsi="Arial Narrow" w:cstheme="minorHAnsi"/>
          <w:sz w:val="20"/>
          <w:szCs w:val="20"/>
        </w:rPr>
        <w:t xml:space="preserve"> Morningstar, </w:t>
      </w:r>
      <w:proofErr w:type="spellStart"/>
      <w:r w:rsidRPr="00734442">
        <w:rPr>
          <w:rFonts w:ascii="Arial Narrow" w:hAnsi="Arial Narrow" w:cstheme="minorHAnsi"/>
          <w:sz w:val="20"/>
          <w:szCs w:val="20"/>
        </w:rPr>
        <w:t>rendements</w:t>
      </w:r>
      <w:proofErr w:type="spellEnd"/>
      <w:r w:rsidRPr="00734442">
        <w:rPr>
          <w:rFonts w:ascii="Arial Narrow" w:hAnsi="Arial Narrow" w:cstheme="minorHAnsi"/>
          <w:sz w:val="20"/>
          <w:szCs w:val="20"/>
        </w:rPr>
        <w:t xml:space="preserve"> de la </w:t>
      </w:r>
      <w:proofErr w:type="spellStart"/>
      <w:r w:rsidRPr="00734442">
        <w:rPr>
          <w:rFonts w:ascii="Arial Narrow" w:hAnsi="Arial Narrow" w:cstheme="minorHAnsi"/>
          <w:sz w:val="20"/>
          <w:szCs w:val="20"/>
        </w:rPr>
        <w:t>série</w:t>
      </w:r>
      <w:proofErr w:type="spellEnd"/>
      <w:r w:rsidRPr="00734442">
        <w:rPr>
          <w:rFonts w:ascii="Arial Narrow" w:hAnsi="Arial Narrow" w:cstheme="minorHAnsi"/>
          <w:sz w:val="20"/>
          <w:szCs w:val="20"/>
        </w:rPr>
        <w:t xml:space="preserve"> F, au 31 </w:t>
      </w:r>
      <w:proofErr w:type="spellStart"/>
      <w:r w:rsidRPr="00734442">
        <w:rPr>
          <w:rFonts w:ascii="Arial Narrow" w:hAnsi="Arial Narrow" w:cstheme="minorHAnsi"/>
          <w:sz w:val="20"/>
          <w:szCs w:val="20"/>
        </w:rPr>
        <w:t>décembre</w:t>
      </w:r>
      <w:proofErr w:type="spellEnd"/>
      <w:r w:rsidRPr="00734442">
        <w:rPr>
          <w:rFonts w:ascii="Arial Narrow" w:hAnsi="Arial Narrow" w:cstheme="minorHAnsi"/>
          <w:sz w:val="20"/>
          <w:szCs w:val="20"/>
        </w:rPr>
        <w:t xml:space="preserve"> 2021.</w:t>
      </w:r>
      <w:r>
        <w:rPr>
          <w:rFonts w:ascii="Arial Narrow" w:hAnsi="Arial Narrow" w:cstheme="minorHAnsi"/>
          <w:sz w:val="20"/>
          <w:szCs w:val="20"/>
        </w:rPr>
        <w:t xml:space="preserve"> </w:t>
      </w:r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Catégorie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portefeuille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d'actions Canoe</w:t>
      </w:r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l’indice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de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référence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proofErr w:type="gram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est</w:t>
      </w:r>
      <w:proofErr w:type="spellEnd"/>
      <w:proofErr w:type="gram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l’indice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composé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S&amp;P/TSX;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Depuis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la création</w:t>
      </w:r>
      <w:r w:rsidRPr="00734442">
        <w:rPr>
          <w:rFonts w:ascii="Arial Narrow" w:hAnsi="Arial Narrow" w:cstheme="minorHAnsi"/>
          <w:sz w:val="20"/>
          <w:szCs w:val="20"/>
        </w:rPr>
        <w:t xml:space="preserve">: 02/14/2011. </w:t>
      </w:r>
      <w:r>
        <w:rPr>
          <w:rFonts w:ascii="Arial Narrow" w:hAnsi="Arial Narrow" w:cstheme="minorHAnsi"/>
          <w:sz w:val="20"/>
          <w:szCs w:val="20"/>
        </w:rPr>
        <w:t xml:space="preserve"> </w:t>
      </w:r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Catégorie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portefeuille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de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répartition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d’actifs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Canoe</w:t>
      </w:r>
      <w:r w:rsidRPr="00734442">
        <w:rPr>
          <w:rFonts w:ascii="Arial Narrow" w:hAnsi="Arial Narrow"/>
        </w:rPr>
        <w:t xml:space="preserve"> </w:t>
      </w:r>
      <w:proofErr w:type="spellStart"/>
      <w:r w:rsidRPr="00734442">
        <w:rPr>
          <w:rFonts w:ascii="Arial Narrow" w:hAnsi="Arial Narrow"/>
        </w:rPr>
        <w:t>l</w:t>
      </w:r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de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référence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est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l’indice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composé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à 65 % de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l’indice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composé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S&amp;P/TSX et à 35 % de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l’indice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obligataire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universel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FTSE TMX Canada</w:t>
      </w:r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;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Depuis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la création</w:t>
      </w:r>
      <w:r w:rsidRPr="00734442">
        <w:rPr>
          <w:rFonts w:ascii="Arial Narrow" w:hAnsi="Arial Narrow" w:cstheme="minorHAnsi"/>
          <w:sz w:val="20"/>
          <w:szCs w:val="20"/>
        </w:rPr>
        <w:t>: 02/14/2011.</w:t>
      </w:r>
      <w:r>
        <w:rPr>
          <w:rFonts w:ascii="Arial Narrow" w:hAnsi="Arial Narrow" w:cstheme="minorHAnsi"/>
          <w:sz w:val="20"/>
          <w:szCs w:val="20"/>
        </w:rPr>
        <w:t xml:space="preserve"> </w:t>
      </w:r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Catégorie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portefeuille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nord-américaine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de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revenu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mensuel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Canoe </w:t>
      </w:r>
      <w:proofErr w:type="spellStart"/>
      <w:r w:rsidRPr="00734442">
        <w:rPr>
          <w:rFonts w:ascii="Arial Narrow" w:hAnsi="Arial Narrow"/>
        </w:rPr>
        <w:t>l</w:t>
      </w:r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de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référence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est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l’indice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composé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à 50 % de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l’indice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composé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S&amp;P/TSX (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rendement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total) et à 50 % de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l’indice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obligataire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universel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FTSE TMX Canada.</w:t>
      </w:r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; </w:t>
      </w:r>
      <w:proofErr w:type="spellStart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>Depuis</w:t>
      </w:r>
      <w:proofErr w:type="spellEnd"/>
      <w:r w:rsidRPr="00734442">
        <w:rPr>
          <w:rFonts w:ascii="Arial Narrow" w:hAnsi="Arial Narrow" w:cstheme="majorHAnsi"/>
          <w:bCs/>
          <w:color w:val="000000"/>
          <w:sz w:val="18"/>
          <w:szCs w:val="20"/>
        </w:rPr>
        <w:t xml:space="preserve"> la création</w:t>
      </w:r>
      <w:r w:rsidRPr="00734442">
        <w:rPr>
          <w:rFonts w:ascii="Arial Narrow" w:hAnsi="Arial Narrow" w:cstheme="minorHAnsi"/>
          <w:sz w:val="20"/>
          <w:szCs w:val="20"/>
        </w:rPr>
        <w:t>: 12/24/2012</w:t>
      </w:r>
      <w:r w:rsidRPr="00734442">
        <w:rPr>
          <w:rFonts w:ascii="Arial Narrow" w:hAnsi="Arial Narrow" w:cstheme="minorHAnsi"/>
          <w:sz w:val="20"/>
          <w:szCs w:val="20"/>
        </w:rPr>
        <w:t>.</w:t>
      </w:r>
      <w:r>
        <w:rPr>
          <w:rFonts w:ascii="Arial Narrow" w:hAnsi="Arial Narrow" w:cstheme="minorHAnsi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Cette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content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peut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contenir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énoncés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prospectifs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prévisions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relatives à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l’économie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aux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marchés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financiers, aux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secteurs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industriels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à des titres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placements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particuliers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énoncés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contenus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dans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cette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présentation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peuvent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être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nature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prédictive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dépendre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hypothèses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que nous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avons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formulées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conditions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d’événements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futurs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peuvent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comprendre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termes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comme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« 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s’attendre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> », « 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penser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> », « 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prévoir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> », « 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croire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> », « 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estimer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 »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expressions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semblables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De plus, tout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énoncé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concernant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le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rendement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futur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stratégies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des perspectives,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mesures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plans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constitue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également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gramStart"/>
      <w:r w:rsidRPr="00734442">
        <w:rPr>
          <w:rFonts w:ascii="Arial Narrow" w:hAnsi="Arial Narrow" w:cs="Calibri"/>
          <w:color w:val="000000"/>
          <w:sz w:val="20"/>
          <w:szCs w:val="20"/>
        </w:rPr>
        <w:t>un</w:t>
      </w:r>
      <w:proofErr w:type="gram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énoncé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prospectif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prévisions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du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marché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énoncés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prospectifs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comportent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risques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incertitudes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d’autres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facteurs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connus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inconnus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pouvant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entraîner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un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écart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considérable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entre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résultats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le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rendement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événements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activités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réalisations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réels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ceux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qui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sont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exprimés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suggérés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dans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tels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énoncés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facteurs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comprennent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les conditions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économiques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politiques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gramStart"/>
      <w:r w:rsidRPr="00734442">
        <w:rPr>
          <w:rFonts w:ascii="Arial Narrow" w:hAnsi="Arial Narrow" w:cs="Calibri"/>
          <w:color w:val="000000"/>
          <w:sz w:val="20"/>
          <w:szCs w:val="20"/>
        </w:rPr>
        <w:t>et</w:t>
      </w:r>
      <w:proofErr w:type="gram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commerciales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générales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taux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d’intérêt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de change,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procédures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réglementaires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judiciaires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changements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technologiques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événements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catastrophiques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</w:t>
      </w:r>
      <w:proofErr w:type="gramStart"/>
      <w:r w:rsidRPr="00734442">
        <w:rPr>
          <w:rFonts w:ascii="Arial Narrow" w:hAnsi="Arial Narrow" w:cs="Calibri"/>
          <w:color w:val="000000"/>
          <w:sz w:val="20"/>
          <w:szCs w:val="20"/>
        </w:rPr>
        <w:t>Il</w:t>
      </w:r>
      <w:proofErr w:type="gram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faut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tenir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compte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facteurs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d’autres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avant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prendre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toute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décision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placement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se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fier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à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énoncés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prospectifs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Nous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n’avons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pas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l’intention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mettre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à jour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énoncés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prospectifs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que </w:t>
      </w:r>
      <w:proofErr w:type="spellStart"/>
      <w:proofErr w:type="gramStart"/>
      <w:r w:rsidRPr="00734442">
        <w:rPr>
          <w:rFonts w:ascii="Arial Narrow" w:hAnsi="Arial Narrow" w:cs="Calibri"/>
          <w:color w:val="000000"/>
          <w:sz w:val="20"/>
          <w:szCs w:val="20"/>
        </w:rPr>
        <w:t>ce</w:t>
      </w:r>
      <w:proofErr w:type="spellEnd"/>
      <w:proofErr w:type="gram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soit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en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raison de nouveaux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renseignements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d’événements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futurs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autres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à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moins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que la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loi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applicable ne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l’exige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 Les placements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dans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fonds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communs de placement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peuvent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donner lieu à des commissions, commissions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suivi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frais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gestion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gramStart"/>
      <w:r w:rsidRPr="00734442">
        <w:rPr>
          <w:rFonts w:ascii="Arial Narrow" w:hAnsi="Arial Narrow" w:cs="Calibri"/>
          <w:color w:val="000000"/>
          <w:sz w:val="20"/>
          <w:szCs w:val="20"/>
        </w:rPr>
        <w:t>et</w:t>
      </w:r>
      <w:proofErr w:type="gram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autres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frais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Veuillez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lire le prospectus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avant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d’investir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taux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rendement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indiqués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sont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rendements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totaux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historiques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gramStart"/>
      <w:r w:rsidRPr="00734442">
        <w:rPr>
          <w:rFonts w:ascii="Arial Narrow" w:hAnsi="Arial Narrow" w:cs="Calibri"/>
          <w:color w:val="000000"/>
          <w:sz w:val="20"/>
          <w:szCs w:val="20"/>
        </w:rPr>
        <w:t>et</w:t>
      </w:r>
      <w:proofErr w:type="gram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annuels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composés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Ils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comprennent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les variations de la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valeur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unitaire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le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réinvestissement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toutes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les distributions et ne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tiennent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pas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compte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frais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d’acquisition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frais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rachat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frais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distribution et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autres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frais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accessoires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ou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impôts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sur le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revenu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payables par le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porteur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parts et qui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viendraient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réduire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rendement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Les indices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boursiers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mentionnés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sont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régulièrement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utilisés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pour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évaluer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rendements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placements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dans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leurs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régions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secteurs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gramStart"/>
      <w:r w:rsidRPr="00734442">
        <w:rPr>
          <w:rFonts w:ascii="Arial Narrow" w:hAnsi="Arial Narrow" w:cs="Calibri"/>
          <w:color w:val="000000"/>
          <w:sz w:val="20"/>
          <w:szCs w:val="20"/>
        </w:rPr>
        <w:t>et</w:t>
      </w:r>
      <w:proofErr w:type="gram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catégories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d’actif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pertinents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</w:t>
      </w:r>
      <w:proofErr w:type="spellStart"/>
      <w:proofErr w:type="gramStart"/>
      <w:r w:rsidRPr="00734442">
        <w:rPr>
          <w:rFonts w:ascii="Arial Narrow" w:hAnsi="Arial Narrow" w:cs="Calibri"/>
          <w:color w:val="000000"/>
          <w:sz w:val="20"/>
          <w:szCs w:val="20"/>
        </w:rPr>
        <w:t>Ils</w:t>
      </w:r>
      <w:proofErr w:type="spellEnd"/>
      <w:proofErr w:type="gram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représentent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portefeuilles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placements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boursiers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non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gérés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et ne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sont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pas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nécessairement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indicatifs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du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rendement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futur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des placements.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fonds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communs de placement ne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sont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pas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garantis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,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leur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valeur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fluctue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fréquemment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gramStart"/>
      <w:r w:rsidRPr="00734442">
        <w:rPr>
          <w:rFonts w:ascii="Arial Narrow" w:hAnsi="Arial Narrow" w:cs="Calibri"/>
          <w:color w:val="000000"/>
          <w:sz w:val="20"/>
          <w:szCs w:val="20"/>
        </w:rPr>
        <w:t>et</w:t>
      </w:r>
      <w:proofErr w:type="gram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leur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rendement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passé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n’est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pas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garant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de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leur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rendement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futur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Rien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ne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peut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garantir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que les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avoirs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mentionnés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dans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cette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communication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seront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conservés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 au </w:t>
      </w:r>
      <w:proofErr w:type="spellStart"/>
      <w:r w:rsidRPr="00734442">
        <w:rPr>
          <w:rFonts w:ascii="Arial Narrow" w:hAnsi="Arial Narrow" w:cs="Calibri"/>
          <w:color w:val="000000"/>
          <w:sz w:val="20"/>
          <w:szCs w:val="20"/>
        </w:rPr>
        <w:t>portefeuille</w:t>
      </w:r>
      <w:proofErr w:type="spellEnd"/>
      <w:r w:rsidRPr="00734442">
        <w:rPr>
          <w:rFonts w:ascii="Arial Narrow" w:hAnsi="Arial Narrow" w:cs="Calibri"/>
          <w:color w:val="000000"/>
          <w:sz w:val="20"/>
          <w:szCs w:val="20"/>
        </w:rPr>
        <w:t xml:space="preserve">. </w:t>
      </w:r>
    </w:p>
    <w:sectPr w:rsidR="00734442" w:rsidRPr="007344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1B"/>
    <w:rsid w:val="0016211B"/>
    <w:rsid w:val="002F7A22"/>
    <w:rsid w:val="00734442"/>
    <w:rsid w:val="00EE6A16"/>
    <w:rsid w:val="00F3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18E1"/>
  <w15:docId w15:val="{1F3B71A1-7AF4-4AA1-A955-4FD680F2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7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.canoefinancial.com/l/361951/2022-01-21/682c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Lisovska</dc:creator>
  <cp:lastModifiedBy>Mary Lisovska</cp:lastModifiedBy>
  <cp:revision>3</cp:revision>
  <dcterms:created xsi:type="dcterms:W3CDTF">2022-01-21T19:54:00Z</dcterms:created>
  <dcterms:modified xsi:type="dcterms:W3CDTF">2022-01-21T20:05:00Z</dcterms:modified>
</cp:coreProperties>
</file>