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58CE1" w14:textId="77777777" w:rsidR="00417B24" w:rsidRPr="00764B42" w:rsidRDefault="0032795C" w:rsidP="00417B24">
      <w:pPr>
        <w:rPr>
          <w:b/>
        </w:rPr>
      </w:pPr>
      <w:r w:rsidRPr="00764B42">
        <w:t xml:space="preserve">Email Subject Line: </w:t>
      </w:r>
    </w:p>
    <w:p w14:paraId="1E33416F" w14:textId="3D2A786E" w:rsidR="0032795C" w:rsidRPr="00764B42" w:rsidRDefault="00C322E5">
      <w:r w:rsidRPr="00C322E5">
        <w:rPr>
          <w:b/>
        </w:rPr>
        <w:t>Profitez de l</w:t>
      </w:r>
      <w:r w:rsidR="0052667C">
        <w:rPr>
          <w:b/>
        </w:rPr>
        <w:t>’</w:t>
      </w:r>
      <w:r w:rsidRPr="00C322E5">
        <w:rPr>
          <w:b/>
        </w:rPr>
        <w:t>avenant Transformation partielle et transfert de la Temporaire RBC Assurances</w:t>
      </w:r>
    </w:p>
    <w:p w14:paraId="2F620635" w14:textId="77777777" w:rsidR="0032795C" w:rsidRPr="00764B42" w:rsidRDefault="0032795C">
      <w:pPr>
        <w:rPr>
          <w:i/>
        </w:rPr>
      </w:pPr>
      <w:r w:rsidRPr="00764B42">
        <w:rPr>
          <w:i/>
        </w:rPr>
        <w:t>[Growth Insurance Banner]</w:t>
      </w:r>
    </w:p>
    <w:p w14:paraId="5E94F2A6" w14:textId="68F3F4E6" w:rsidR="00584777" w:rsidRPr="00764B42" w:rsidRDefault="00764B42">
      <w:r w:rsidRPr="00764B42">
        <w:rPr>
          <w:noProof/>
          <w:lang w:eastAsia="fr-CA"/>
        </w:rPr>
        <mc:AlternateContent>
          <mc:Choice Requires="wps">
            <w:drawing>
              <wp:anchor distT="0" distB="0" distL="114300" distR="114300" simplePos="0" relativeHeight="251663360" behindDoc="0" locked="0" layoutInCell="1" allowOverlap="1" wp14:anchorId="6702BAAA" wp14:editId="7207074D">
                <wp:simplePos x="0" y="0"/>
                <wp:positionH relativeFrom="margin">
                  <wp:align>left</wp:align>
                </wp:positionH>
                <wp:positionV relativeFrom="paragraph">
                  <wp:posOffset>465455</wp:posOffset>
                </wp:positionV>
                <wp:extent cx="5607050" cy="1592580"/>
                <wp:effectExtent l="0" t="0" r="12700" b="26670"/>
                <wp:wrapNone/>
                <wp:docPr id="1" name="Rectangle 1"/>
                <wp:cNvGraphicFramePr/>
                <a:graphic xmlns:a="http://schemas.openxmlformats.org/drawingml/2006/main">
                  <a:graphicData uri="http://schemas.microsoft.com/office/word/2010/wordprocessingShape">
                    <wps:wsp>
                      <wps:cNvSpPr/>
                      <wps:spPr>
                        <a:xfrm>
                          <a:off x="0" y="0"/>
                          <a:ext cx="5607050" cy="1592580"/>
                        </a:xfrm>
                        <a:prstGeom prst="rect">
                          <a:avLst/>
                        </a:prstGeom>
                        <a:solidFill>
                          <a:srgbClr val="5B9BD5"/>
                        </a:solidFill>
                        <a:ln w="12700" cap="flat" cmpd="sng" algn="ctr">
                          <a:solidFill>
                            <a:srgbClr val="5B9BD5">
                              <a:shade val="50000"/>
                            </a:srgbClr>
                          </a:solidFill>
                          <a:prstDash val="solid"/>
                          <a:miter lim="800000"/>
                        </a:ln>
                        <a:effectLst/>
                      </wps:spPr>
                      <wps:txbx>
                        <w:txbxContent>
                          <w:p w14:paraId="1E85289D" w14:textId="74AB948D" w:rsidR="003758F0" w:rsidRDefault="003758F0" w:rsidP="003758F0">
                            <w:r>
                              <w:t>Vos clients ont maintenant trois façons de mettre à jour la couverture de leur Temporaire RBC en vigueur :</w:t>
                            </w:r>
                          </w:p>
                          <w:p w14:paraId="7573DC5C" w14:textId="4353D5A0" w:rsidR="003758F0" w:rsidRDefault="003758F0" w:rsidP="003758F0">
                            <w:pPr>
                              <w:pStyle w:val="Paragraphedeliste"/>
                              <w:numPr>
                                <w:ilvl w:val="0"/>
                                <w:numId w:val="2"/>
                              </w:numPr>
                            </w:pPr>
                            <w:r>
                              <w:rPr>
                                <w:b/>
                              </w:rPr>
                              <w:t>NOUVEAU – Transformation partielle et transfert de la Temporaire</w:t>
                            </w:r>
                            <w:r>
                              <w:t xml:space="preserve"> sans restriction quant à la répartition du capital assuré entre l’assurance vie avec participation et l’avenant d’assurance vie temporaire Pour</w:t>
                            </w:r>
                            <w:r>
                              <w:rPr>
                                <w:i/>
                              </w:rPr>
                              <w:t>Vous</w:t>
                            </w:r>
                            <w:r>
                              <w:rPr>
                                <w:vertAlign w:val="superscript"/>
                              </w:rPr>
                              <w:t>MC1</w:t>
                            </w:r>
                            <w:r>
                              <w:t xml:space="preserve"> </w:t>
                            </w:r>
                          </w:p>
                          <w:p w14:paraId="78D9A0A4" w14:textId="77777777" w:rsidR="003758F0" w:rsidRDefault="003758F0" w:rsidP="003758F0">
                            <w:pPr>
                              <w:pStyle w:val="Paragraphedeliste"/>
                              <w:numPr>
                                <w:ilvl w:val="0"/>
                                <w:numId w:val="2"/>
                              </w:numPr>
                            </w:pPr>
                            <w:r>
                              <w:t xml:space="preserve">Transformation complète </w:t>
                            </w:r>
                          </w:p>
                          <w:p w14:paraId="4FF4B115" w14:textId="77777777" w:rsidR="003758F0" w:rsidRDefault="003758F0" w:rsidP="003758F0">
                            <w:pPr>
                              <w:pStyle w:val="Paragraphedeliste"/>
                              <w:numPr>
                                <w:ilvl w:val="0"/>
                                <w:numId w:val="2"/>
                              </w:numPr>
                            </w:pPr>
                            <w:r>
                              <w:t>Transformation partielle et maintien de la police existante</w:t>
                            </w:r>
                          </w:p>
                          <w:p w14:paraId="793A560E" w14:textId="77777777" w:rsidR="003758F0" w:rsidRDefault="003758F0" w:rsidP="003758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02BAAA" id="Rectangle 1" o:spid="_x0000_s1026" style="position:absolute;margin-left:0;margin-top:36.65pt;width:441.5pt;height:125.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" fillcolor="#5b9bd5" strokecolor="#41719c" strokeweight="1pt">
                <v:textbox>
                  <w:txbxContent>
                    <w:p w14:paraId="1E85289D" w14:textId="74AB948D" w:rsidR="003758F0" w:rsidRDefault="003758F0" w:rsidP="003758F0">
                      <w:r>
                        <w:t>Vos clients ont maintenant trois façons de mettre à jour la couverture de leur Temporaire RBC en vigueur :</w:t>
                      </w:r>
                    </w:p>
                    <w:p w14:paraId="7573DC5C" w14:textId="4353D5A0" w:rsidR="003758F0" w:rsidRDefault="003758F0" w:rsidP="003758F0">
                      <w:pPr>
                        <w:pStyle w:val="Paragraphedeliste"/>
                        <w:numPr>
                          <w:ilvl w:val="0"/>
                          <w:numId w:val="2"/>
                        </w:numPr>
                      </w:pPr>
                      <w:r>
                        <w:rPr>
                          <w:b/>
                        </w:rPr>
                        <w:t>NOUVEAU – Transformation partielle et transfert de la Temporaire</w:t>
                      </w:r>
                      <w:r>
                        <w:t xml:space="preserve"> sans restriction quant à la répartition du capital assuré entre l’assurance vie avec participation et l’avenant d’assurance vie temporaire Pour</w:t>
                      </w:r>
                      <w:r>
                        <w:rPr>
                          <w:i/>
                        </w:rPr>
                        <w:t>Vous</w:t>
                      </w:r>
                      <w:r>
                        <w:rPr>
                          <w:vertAlign w:val="superscript"/>
                        </w:rPr>
                        <w:t>MC1</w:t>
                      </w:r>
                      <w:r>
                        <w:t xml:space="preserve"> </w:t>
                      </w:r>
                    </w:p>
                    <w:p w14:paraId="78D9A0A4" w14:textId="77777777" w:rsidR="003758F0" w:rsidRDefault="003758F0" w:rsidP="003758F0">
                      <w:pPr>
                        <w:pStyle w:val="Paragraphedeliste"/>
                        <w:numPr>
                          <w:ilvl w:val="0"/>
                          <w:numId w:val="2"/>
                        </w:numPr>
                      </w:pPr>
                      <w:r>
                        <w:t xml:space="preserve">Transformation complète </w:t>
                      </w:r>
                    </w:p>
                    <w:p w14:paraId="4FF4B115" w14:textId="77777777" w:rsidR="003758F0" w:rsidRDefault="003758F0" w:rsidP="003758F0">
                      <w:pPr>
                        <w:pStyle w:val="Paragraphedeliste"/>
                        <w:numPr>
                          <w:ilvl w:val="0"/>
                          <w:numId w:val="2"/>
                        </w:numPr>
                      </w:pPr>
                      <w:r>
                        <w:t>Transformation partielle et maintien de la police existante</w:t>
                      </w:r>
                    </w:p>
                    <w:p w14:paraId="793A560E" w14:textId="77777777" w:rsidR="003758F0" w:rsidRDefault="003758F0" w:rsidP="003758F0">
                      <w:pPr>
                        <w:jc w:val="center"/>
                      </w:pPr>
                    </w:p>
                  </w:txbxContent>
                </v:textbox>
                <w10:wrap anchorx="margin"/>
              </v:rect>
            </w:pict>
          </mc:Fallback>
        </mc:AlternateContent>
      </w:r>
      <w:r w:rsidR="00423F70" w:rsidRPr="00764B42">
        <w:t xml:space="preserve">Offrez à vos clients la possibilité d’obtenir une protection permanente et de prolonger leur assurance temporaire à un taux abordable, sans preuve d’assurabilité. </w:t>
      </w:r>
    </w:p>
    <w:p w14:paraId="132DAA84" w14:textId="02BB5D39" w:rsidR="003758F0" w:rsidRPr="00764B42" w:rsidRDefault="003758F0">
      <w:r w:rsidRPr="00764B42">
        <w:t xml:space="preserve">  </w:t>
      </w:r>
    </w:p>
    <w:p w14:paraId="59F3461F" w14:textId="77777777" w:rsidR="003758F0" w:rsidRPr="00764B42" w:rsidRDefault="003758F0"/>
    <w:p w14:paraId="64D5E7A1" w14:textId="77777777" w:rsidR="003758F0" w:rsidRPr="00764B42" w:rsidRDefault="003758F0"/>
    <w:p w14:paraId="7D23F98E" w14:textId="77777777" w:rsidR="003758F0" w:rsidRPr="00764B42" w:rsidRDefault="003758F0"/>
    <w:p w14:paraId="6829B644" w14:textId="77777777" w:rsidR="003758F0" w:rsidRPr="00764B42" w:rsidRDefault="003758F0"/>
    <w:p w14:paraId="23424E4F" w14:textId="77777777" w:rsidR="003758F0" w:rsidRPr="00764B42" w:rsidRDefault="003758F0"/>
    <w:p w14:paraId="41C2ECFD" w14:textId="215AF05A" w:rsidR="003758F0" w:rsidRPr="00764B42" w:rsidRDefault="003758F0">
      <w:r w:rsidRPr="00764B42">
        <w:t>Grâce à notre option Transformation partielle et transfert de la Temporaire, votre client peut transformer en partie sa police d’assurance temporaire en vigueur admissible en une Assurance Croissance RBC ou en une Assurance Croissance Plus RBC et transférer le solde dans un nouvel avenant d’assurance Pour</w:t>
      </w:r>
      <w:r w:rsidRPr="00764B42">
        <w:rPr>
          <w:i/>
        </w:rPr>
        <w:t>Vous</w:t>
      </w:r>
      <w:r w:rsidRPr="00764B42">
        <w:t> RBC. Aucune nouvelle tarification n’est requise et vous pouvez ajouter des options de dépôt sans restriction de limite.</w:t>
      </w:r>
    </w:p>
    <w:p w14:paraId="6830B998" w14:textId="423A1C52" w:rsidR="000A4EEB" w:rsidRPr="00764B42" w:rsidRDefault="007D5AE6" w:rsidP="004E4492">
      <w:r w:rsidRPr="00764B42">
        <w:t>La période d’assurance de l’avenant Pour</w:t>
      </w:r>
      <w:r w:rsidRPr="00764B42">
        <w:rPr>
          <w:i/>
        </w:rPr>
        <w:t>Vous</w:t>
      </w:r>
      <w:r w:rsidRPr="00764B42">
        <w:t> RBC n’a pas besoin de correspondre à celle de la police initiale. Le client peut choisir une nouvelle durée de 10, 15, 20 ou 25 ans</w:t>
      </w:r>
      <w:r w:rsidRPr="00764B42">
        <w:rPr>
          <w:vertAlign w:val="superscript"/>
        </w:rPr>
        <w:t>1</w:t>
      </w:r>
      <w:r w:rsidRPr="00764B42">
        <w:t xml:space="preserve">. </w:t>
      </w:r>
    </w:p>
    <w:p w14:paraId="22F38483" w14:textId="77777777" w:rsidR="00D631D9" w:rsidRPr="00764B42" w:rsidRDefault="00D631D9">
      <w:pPr>
        <w:rPr>
          <w:b/>
        </w:rPr>
      </w:pPr>
    </w:p>
    <w:p w14:paraId="732F5726" w14:textId="77777777" w:rsidR="003758F0" w:rsidRPr="00764B42" w:rsidRDefault="003758F0">
      <w:pPr>
        <w:rPr>
          <w:b/>
        </w:rPr>
      </w:pPr>
      <w:r w:rsidRPr="00764B42">
        <w:rPr>
          <w:b/>
        </w:rPr>
        <w:t>Appuyée par l’équipe de gestion de portefeuille chevronnée de RBC Assurances</w:t>
      </w:r>
    </w:p>
    <w:p w14:paraId="7A2F4A88" w14:textId="49D5F161" w:rsidR="003758F0" w:rsidRPr="00764B42" w:rsidRDefault="003758F0">
      <w:r w:rsidRPr="00764B42">
        <w:t xml:space="preserve">Donnez à vos clients l’occasion de toucher des participations avec l’Assurance Croissance RBC ou l’Assurance Croissance Plus RBC comprenant un </w:t>
      </w:r>
      <w:hyperlink r:id="rId8" w:history="1">
        <w:r w:rsidRPr="00764B42">
          <w:rPr>
            <w:rStyle w:val="Lienhypertexte"/>
          </w:rPr>
          <w:t xml:space="preserve">taux d’intérêt </w:t>
        </w:r>
        <w:r w:rsidR="006952B1">
          <w:rPr>
            <w:rStyle w:val="Lienhypertexte"/>
          </w:rPr>
          <w:t xml:space="preserve">du barème </w:t>
        </w:r>
        <w:r w:rsidRPr="00764B42">
          <w:rPr>
            <w:rStyle w:val="Lienhypertexte"/>
          </w:rPr>
          <w:t>des participations</w:t>
        </w:r>
      </w:hyperlink>
      <w:r w:rsidRPr="00764B42">
        <w:t xml:space="preserve"> </w:t>
      </w:r>
      <w:r w:rsidR="003C7473">
        <w:t>dur</w:t>
      </w:r>
      <w:r w:rsidR="00747AA2">
        <w:t>able</w:t>
      </w:r>
      <w:r w:rsidR="00747AA2" w:rsidRPr="00747AA2">
        <w:rPr>
          <w:vertAlign w:val="superscript"/>
        </w:rPr>
        <w:t>2</w:t>
      </w:r>
      <w:r w:rsidRPr="00764B42">
        <w:t>.</w:t>
      </w:r>
      <w:r w:rsidRPr="00764B42">
        <w:rPr>
          <w:vertAlign w:val="superscript"/>
        </w:rPr>
        <w:t xml:space="preserve"> </w:t>
      </w:r>
    </w:p>
    <w:p w14:paraId="034B3BD2" w14:textId="02D03BF6" w:rsidR="0032795C" w:rsidRPr="00764B42" w:rsidRDefault="0032795C">
      <w:pPr>
        <w:rPr>
          <w:rFonts w:cstheme="minorHAnsi"/>
        </w:rPr>
      </w:pPr>
      <w:r w:rsidRPr="00764B42">
        <w:t>Nos professionnels des placements de RBC Assurances comptent ensemble plus de 100 ans d’ex</w:t>
      </w:r>
      <w:bookmarkStart w:id="0" w:name="_GoBack"/>
      <w:bookmarkEnd w:id="0"/>
      <w:r w:rsidRPr="00764B42">
        <w:t>périence en gestion d’actifs, et ils suivent la même philosophie de placement que RBC Marchés des Capitaux® et RBC Gestion mondiale d’actifs®.</w:t>
      </w:r>
    </w:p>
    <w:p w14:paraId="784296DE" w14:textId="77777777" w:rsidR="00D631D9" w:rsidRPr="00764B42" w:rsidRDefault="00D631D9">
      <w:pPr>
        <w:rPr>
          <w:rFonts w:cstheme="minorHAnsi"/>
          <w:b/>
        </w:rPr>
      </w:pPr>
    </w:p>
    <w:p w14:paraId="2DA2A99B" w14:textId="5E49AC69" w:rsidR="0032795C" w:rsidRPr="00764B42" w:rsidRDefault="0032795C">
      <w:pPr>
        <w:rPr>
          <w:rFonts w:cstheme="minorHAnsi"/>
          <w:b/>
        </w:rPr>
      </w:pPr>
      <w:r w:rsidRPr="00764B42">
        <w:rPr>
          <w:b/>
        </w:rPr>
        <w:t>Assurance Croissance RBC et Assurance Croissance Plus RBC – une croissance sur laquelle vos clients et vous pouvez compter</w:t>
      </w:r>
    </w:p>
    <w:p w14:paraId="54515987" w14:textId="4E9135AA" w:rsidR="0032795C" w:rsidRPr="00764B42" w:rsidRDefault="00D901D6" w:rsidP="00D901D6">
      <w:pPr>
        <w:rPr>
          <w:rFonts w:cstheme="minorHAnsi"/>
        </w:rPr>
      </w:pPr>
      <w:r w:rsidRPr="00764B42">
        <w:t xml:space="preserve">Pour en savoir plus sur la transformation des polices d’assurance vie temporaire RBC en Assurance Croissance RBC ou Assurance Croissance Plus RBC, visitez notre </w:t>
      </w:r>
      <w:hyperlink r:id="rId9" w:history="1">
        <w:r w:rsidRPr="00764B42">
          <w:rPr>
            <w:rStyle w:val="Lienhypertexte"/>
          </w:rPr>
          <w:t>Centre des ressources</w:t>
        </w:r>
      </w:hyperlink>
      <w:r w:rsidRPr="00764B42">
        <w:t xml:space="preserve"> ou communiquez avec votre conseiller à la vente de RBC Assurances.</w:t>
      </w:r>
    </w:p>
    <w:p w14:paraId="4FE46F0D" w14:textId="77777777" w:rsidR="0032795C" w:rsidRPr="00764B42" w:rsidRDefault="0032795C">
      <w:pPr>
        <w:rPr>
          <w:rFonts w:cstheme="minorHAnsi"/>
        </w:rPr>
      </w:pPr>
    </w:p>
    <w:p w14:paraId="09852BDB" w14:textId="77777777" w:rsidR="0032795C" w:rsidRPr="00764B42" w:rsidRDefault="0032795C">
      <w:pPr>
        <w:rPr>
          <w:rFonts w:cstheme="minorHAnsi"/>
        </w:rPr>
      </w:pPr>
      <w:r w:rsidRPr="00764B42">
        <w:t>Notes de bas de page :</w:t>
      </w:r>
    </w:p>
    <w:p w14:paraId="54F013C6" w14:textId="171E07EA" w:rsidR="007E3385" w:rsidRPr="00764B42" w:rsidRDefault="00514146" w:rsidP="003D1AD6">
      <w:pPr>
        <w:pStyle w:val="NormalWeb"/>
        <w:spacing w:before="0" w:beforeAutospacing="0" w:after="0" w:afterAutospacing="0" w:line="225" w:lineRule="atLeast"/>
        <w:rPr>
          <w:rFonts w:asciiTheme="minorHAnsi" w:hAnsiTheme="minorHAnsi" w:cstheme="minorHAnsi"/>
          <w:color w:val="000000" w:themeColor="text1"/>
          <w:sz w:val="22"/>
          <w:szCs w:val="22"/>
        </w:rPr>
      </w:pPr>
      <w:r w:rsidRPr="00764B42">
        <w:rPr>
          <w:rFonts w:asciiTheme="minorHAnsi" w:hAnsiTheme="minorHAnsi"/>
          <w:sz w:val="22"/>
          <w:vertAlign w:val="superscript"/>
        </w:rPr>
        <w:lastRenderedPageBreak/>
        <w:t>1</w:t>
      </w:r>
      <w:r w:rsidRPr="00764B42">
        <w:rPr>
          <w:rFonts w:asciiTheme="minorHAnsi" w:hAnsiTheme="minorHAnsi"/>
          <w:sz w:val="22"/>
        </w:rPr>
        <w:t>Minimum de 25 000 $ pour l’Assurance Croissance RBC, de 250 000 $ pour l’Assurance Croissance Plus RBC et de 100 000 $ pour l’assurance vie temporaire Pour</w:t>
      </w:r>
      <w:r w:rsidRPr="00764B42">
        <w:rPr>
          <w:rFonts w:asciiTheme="minorHAnsi" w:hAnsiTheme="minorHAnsi"/>
          <w:i/>
          <w:sz w:val="22"/>
        </w:rPr>
        <w:t>Vous</w:t>
      </w:r>
      <w:r w:rsidRPr="00764B42">
        <w:rPr>
          <w:rFonts w:asciiTheme="minorHAnsi" w:hAnsiTheme="minorHAnsi"/>
          <w:sz w:val="22"/>
        </w:rPr>
        <w:t xml:space="preserve"> RBC. </w:t>
      </w:r>
      <w:r w:rsidRPr="00764B42">
        <w:rPr>
          <w:rFonts w:asciiTheme="minorHAnsi" w:hAnsiTheme="minorHAnsi"/>
          <w:color w:val="000000" w:themeColor="text1"/>
          <w:sz w:val="22"/>
        </w:rPr>
        <w:t>Les durées d’assurance disponibles sont en fonction de l’âge actuel de l’assuré.</w:t>
      </w:r>
    </w:p>
    <w:p w14:paraId="19337B02" w14:textId="5D887499" w:rsidR="0032795C" w:rsidRPr="00764B42" w:rsidRDefault="00514146" w:rsidP="003D1AD6">
      <w:pPr>
        <w:rPr>
          <w:rFonts w:cstheme="minorHAnsi"/>
        </w:rPr>
      </w:pPr>
      <w:r w:rsidRPr="00764B42">
        <w:rPr>
          <w:vertAlign w:val="superscript"/>
        </w:rPr>
        <w:t>2</w:t>
      </w:r>
      <w:r w:rsidRPr="00764B42">
        <w:t>Les participations ne sont pas garanties.</w:t>
      </w:r>
    </w:p>
    <w:sectPr w:rsidR="0032795C" w:rsidRPr="00764B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26666" w14:textId="77777777" w:rsidR="0052667C" w:rsidRDefault="0052667C" w:rsidP="0052667C">
      <w:pPr>
        <w:spacing w:after="0" w:line="240" w:lineRule="auto"/>
      </w:pPr>
      <w:r>
        <w:separator/>
      </w:r>
    </w:p>
  </w:endnote>
  <w:endnote w:type="continuationSeparator" w:id="0">
    <w:p w14:paraId="20ABFBB5" w14:textId="77777777" w:rsidR="0052667C" w:rsidRDefault="0052667C" w:rsidP="0052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ACFF" w:usb2="0000000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B02DE" w14:textId="77777777" w:rsidR="0052667C" w:rsidRDefault="0052667C" w:rsidP="0052667C">
      <w:pPr>
        <w:spacing w:after="0" w:line="240" w:lineRule="auto"/>
      </w:pPr>
      <w:r>
        <w:separator/>
      </w:r>
    </w:p>
  </w:footnote>
  <w:footnote w:type="continuationSeparator" w:id="0">
    <w:p w14:paraId="702008FD" w14:textId="77777777" w:rsidR="0052667C" w:rsidRDefault="0052667C" w:rsidP="00526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D9D"/>
    <w:multiLevelType w:val="hybridMultilevel"/>
    <w:tmpl w:val="9B6A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CD2"/>
    <w:multiLevelType w:val="hybridMultilevel"/>
    <w:tmpl w:val="9B6A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B3743"/>
    <w:multiLevelType w:val="hybridMultilevel"/>
    <w:tmpl w:val="17B24B8C"/>
    <w:lvl w:ilvl="0" w:tplc="AF98EF0A">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F0"/>
    <w:rsid w:val="00042795"/>
    <w:rsid w:val="00053522"/>
    <w:rsid w:val="000A4EEB"/>
    <w:rsid w:val="002970AE"/>
    <w:rsid w:val="002A709F"/>
    <w:rsid w:val="00314013"/>
    <w:rsid w:val="0032795C"/>
    <w:rsid w:val="003758F0"/>
    <w:rsid w:val="003A51A2"/>
    <w:rsid w:val="003C7473"/>
    <w:rsid w:val="003D1AD6"/>
    <w:rsid w:val="00417B24"/>
    <w:rsid w:val="00423F70"/>
    <w:rsid w:val="004E4492"/>
    <w:rsid w:val="00514146"/>
    <w:rsid w:val="0052667C"/>
    <w:rsid w:val="00584777"/>
    <w:rsid w:val="006952B1"/>
    <w:rsid w:val="00741193"/>
    <w:rsid w:val="00747AA2"/>
    <w:rsid w:val="00764B42"/>
    <w:rsid w:val="007C6566"/>
    <w:rsid w:val="007D5AE6"/>
    <w:rsid w:val="007E3385"/>
    <w:rsid w:val="00856720"/>
    <w:rsid w:val="00875180"/>
    <w:rsid w:val="008A7BE4"/>
    <w:rsid w:val="0097606E"/>
    <w:rsid w:val="00A0382F"/>
    <w:rsid w:val="00A853E5"/>
    <w:rsid w:val="00B12853"/>
    <w:rsid w:val="00B37269"/>
    <w:rsid w:val="00B50BE2"/>
    <w:rsid w:val="00BB594D"/>
    <w:rsid w:val="00BC336D"/>
    <w:rsid w:val="00C322E5"/>
    <w:rsid w:val="00D631D9"/>
    <w:rsid w:val="00D901D6"/>
    <w:rsid w:val="00DD65AD"/>
    <w:rsid w:val="00DE46AE"/>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87AE"/>
  <w15:chartTrackingRefBased/>
  <w15:docId w15:val="{47B2246D-D1CA-4D85-A9FC-9561F56D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58F0"/>
    <w:pPr>
      <w:ind w:left="720"/>
      <w:contextualSpacing/>
    </w:pPr>
  </w:style>
  <w:style w:type="character" w:styleId="Lienhypertexte">
    <w:name w:val="Hyperlink"/>
    <w:basedOn w:val="Policepardfaut"/>
    <w:uiPriority w:val="99"/>
    <w:unhideWhenUsed/>
    <w:rsid w:val="0032795C"/>
    <w:rPr>
      <w:color w:val="0563C1" w:themeColor="hyperlink"/>
      <w:u w:val="single"/>
    </w:rPr>
  </w:style>
  <w:style w:type="paragraph" w:styleId="Textedebulles">
    <w:name w:val="Balloon Text"/>
    <w:basedOn w:val="Normal"/>
    <w:link w:val="TextedebullesCar"/>
    <w:uiPriority w:val="99"/>
    <w:semiHidden/>
    <w:unhideWhenUsed/>
    <w:rsid w:val="0087518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5180"/>
    <w:rPr>
      <w:rFonts w:ascii="Segoe UI" w:hAnsi="Segoe UI" w:cs="Segoe UI"/>
      <w:sz w:val="18"/>
      <w:szCs w:val="18"/>
      <w:lang w:val="fr-CA"/>
    </w:rPr>
  </w:style>
  <w:style w:type="character" w:styleId="Marquedecommentaire">
    <w:name w:val="annotation reference"/>
    <w:basedOn w:val="Policepardfaut"/>
    <w:uiPriority w:val="99"/>
    <w:semiHidden/>
    <w:unhideWhenUsed/>
    <w:rsid w:val="00A0382F"/>
    <w:rPr>
      <w:sz w:val="16"/>
      <w:szCs w:val="16"/>
    </w:rPr>
  </w:style>
  <w:style w:type="paragraph" w:styleId="Commentaire">
    <w:name w:val="annotation text"/>
    <w:basedOn w:val="Normal"/>
    <w:link w:val="CommentaireCar"/>
    <w:uiPriority w:val="99"/>
    <w:semiHidden/>
    <w:unhideWhenUsed/>
    <w:rsid w:val="00A0382F"/>
    <w:pPr>
      <w:spacing w:line="240" w:lineRule="auto"/>
    </w:pPr>
    <w:rPr>
      <w:sz w:val="20"/>
      <w:szCs w:val="20"/>
    </w:rPr>
  </w:style>
  <w:style w:type="character" w:customStyle="1" w:styleId="CommentaireCar">
    <w:name w:val="Commentaire Car"/>
    <w:basedOn w:val="Policepardfaut"/>
    <w:link w:val="Commentaire"/>
    <w:uiPriority w:val="99"/>
    <w:semiHidden/>
    <w:rsid w:val="00A0382F"/>
    <w:rPr>
      <w:sz w:val="20"/>
      <w:szCs w:val="20"/>
      <w:lang w:val="fr-CA"/>
    </w:rPr>
  </w:style>
  <w:style w:type="paragraph" w:styleId="Objetducommentaire">
    <w:name w:val="annotation subject"/>
    <w:basedOn w:val="Commentaire"/>
    <w:next w:val="Commentaire"/>
    <w:link w:val="ObjetducommentaireCar"/>
    <w:uiPriority w:val="99"/>
    <w:semiHidden/>
    <w:unhideWhenUsed/>
    <w:rsid w:val="00A0382F"/>
    <w:rPr>
      <w:b/>
      <w:bCs/>
    </w:rPr>
  </w:style>
  <w:style w:type="character" w:customStyle="1" w:styleId="ObjetducommentaireCar">
    <w:name w:val="Objet du commentaire Car"/>
    <w:basedOn w:val="CommentaireCar"/>
    <w:link w:val="Objetducommentaire"/>
    <w:uiPriority w:val="99"/>
    <w:semiHidden/>
    <w:rsid w:val="00A0382F"/>
    <w:rPr>
      <w:b/>
      <w:bCs/>
      <w:sz w:val="20"/>
      <w:szCs w:val="20"/>
      <w:lang w:val="fr-CA"/>
    </w:rPr>
  </w:style>
  <w:style w:type="paragraph" w:styleId="NormalWeb">
    <w:name w:val="Normal (Web)"/>
    <w:basedOn w:val="Normal"/>
    <w:uiPriority w:val="99"/>
    <w:unhideWhenUsed/>
    <w:rsid w:val="004E4492"/>
    <w:pPr>
      <w:spacing w:before="100" w:beforeAutospacing="1" w:after="100" w:afterAutospacing="1" w:line="240" w:lineRule="auto"/>
    </w:pPr>
    <w:rPr>
      <w:rFonts w:ascii="Times New Roman" w:hAnsi="Times New Roman" w:cs="Times New Roman"/>
      <w:sz w:val="24"/>
      <w:szCs w:val="24"/>
    </w:rPr>
  </w:style>
  <w:style w:type="paragraph" w:styleId="Rvision">
    <w:name w:val="Revision"/>
    <w:hidden/>
    <w:uiPriority w:val="99"/>
    <w:semiHidden/>
    <w:rsid w:val="002970AE"/>
    <w:pPr>
      <w:spacing w:after="0" w:line="240" w:lineRule="auto"/>
    </w:pPr>
  </w:style>
  <w:style w:type="paragraph" w:styleId="En-tte">
    <w:name w:val="header"/>
    <w:basedOn w:val="Normal"/>
    <w:link w:val="En-tteCar"/>
    <w:uiPriority w:val="99"/>
    <w:unhideWhenUsed/>
    <w:rsid w:val="0052667C"/>
    <w:pPr>
      <w:tabs>
        <w:tab w:val="center" w:pos="4320"/>
        <w:tab w:val="right" w:pos="8640"/>
      </w:tabs>
      <w:spacing w:after="0" w:line="240" w:lineRule="auto"/>
    </w:pPr>
  </w:style>
  <w:style w:type="character" w:customStyle="1" w:styleId="En-tteCar">
    <w:name w:val="En-tête Car"/>
    <w:basedOn w:val="Policepardfaut"/>
    <w:link w:val="En-tte"/>
    <w:uiPriority w:val="99"/>
    <w:rsid w:val="0052667C"/>
  </w:style>
  <w:style w:type="paragraph" w:styleId="Pieddepage">
    <w:name w:val="footer"/>
    <w:basedOn w:val="Normal"/>
    <w:link w:val="PieddepageCar"/>
    <w:uiPriority w:val="99"/>
    <w:unhideWhenUsed/>
    <w:rsid w:val="0052667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797349">
      <w:bodyDiv w:val="1"/>
      <w:marLeft w:val="0"/>
      <w:marRight w:val="0"/>
      <w:marTop w:val="0"/>
      <w:marBottom w:val="0"/>
      <w:divBdr>
        <w:top w:val="none" w:sz="0" w:space="0" w:color="auto"/>
        <w:left w:val="none" w:sz="0" w:space="0" w:color="auto"/>
        <w:bottom w:val="none" w:sz="0" w:space="0" w:color="auto"/>
        <w:right w:val="none" w:sz="0" w:space="0" w:color="auto"/>
      </w:divBdr>
    </w:div>
    <w:div w:id="15548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cinsurance.com/life-insurance/_assets-custom/pdfs/rb-participating-life-2022-2023-dividend-scale-e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bcinsurance.com/sales-resource-centre/individual-life/conver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E14B6-75C2-4F4F-B6CA-D77DBC24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362</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Tania</dc:creator>
  <cp:keywords/>
  <dc:description/>
  <cp:lastModifiedBy>Richard Gendron</cp:lastModifiedBy>
  <cp:revision>10</cp:revision>
  <dcterms:created xsi:type="dcterms:W3CDTF">2022-03-10T17:36:00Z</dcterms:created>
  <dcterms:modified xsi:type="dcterms:W3CDTF">2022-03-11T17:16:00Z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TT_RBC_Internal</vt:lpwstr>
  </property>
</Properties>
</file>