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013" w:rsidRDefault="00583013" w:rsidP="00583013">
      <w:pPr>
        <w:rPr>
          <w:rFonts w:cstheme="minorHAnsi"/>
        </w:rPr>
      </w:pPr>
      <w:r w:rsidRPr="00583013">
        <w:rPr>
          <w:rFonts w:cstheme="minorHAnsi"/>
        </w:rPr>
        <w:t>Subject: The Canoe North American Equity lineup – consistent outperformers</w:t>
      </w:r>
    </w:p>
    <w:p w:rsidR="00282244" w:rsidRPr="00583013" w:rsidRDefault="00282244" w:rsidP="00583013">
      <w:pPr>
        <w:rPr>
          <w:rFonts w:cstheme="minorHAnsi"/>
        </w:rPr>
      </w:pPr>
      <w:bookmarkStart w:id="0" w:name="_GoBack"/>
      <w:bookmarkEnd w:id="0"/>
    </w:p>
    <w:p w:rsidR="003B6558" w:rsidRPr="003B6558" w:rsidRDefault="00F90AC1" w:rsidP="003B6558">
      <w:pPr>
        <w:jc w:val="center"/>
        <w:rPr>
          <w:rFonts w:cstheme="minorHAnsi"/>
          <w:b/>
        </w:rPr>
      </w:pPr>
      <w:r w:rsidRPr="00583013">
        <w:rPr>
          <w:rFonts w:cstheme="minorHAnsi"/>
          <w:b/>
        </w:rPr>
        <w:t>Numbers speak louder than words</w:t>
      </w:r>
      <w:proofErr w:type="gramStart"/>
      <w:r w:rsidRPr="00583013">
        <w:rPr>
          <w:rFonts w:cstheme="minorHAnsi"/>
          <w:b/>
        </w:rPr>
        <w:t>…</w:t>
      </w:r>
      <w:r w:rsidR="003B6558">
        <w:rPr>
          <w:rFonts w:cstheme="minorHAnsi"/>
          <w:b/>
        </w:rPr>
        <w:t xml:space="preserve"> </w:t>
      </w:r>
      <w:r w:rsidR="003B6558">
        <w:rPr>
          <w:rFonts w:cstheme="minorHAnsi"/>
          <w:b/>
        </w:rPr>
        <w:br/>
      </w:r>
      <w:r w:rsidR="003326E9" w:rsidRPr="00583013">
        <w:rPr>
          <w:rFonts w:cstheme="minorHAnsi"/>
        </w:rPr>
        <w:t>…and</w:t>
      </w:r>
      <w:proofErr w:type="gramEnd"/>
      <w:r w:rsidR="003326E9" w:rsidRPr="00583013">
        <w:rPr>
          <w:rFonts w:cstheme="minorHAnsi"/>
        </w:rPr>
        <w:t xml:space="preserve"> these numbers speak loudest of all. </w:t>
      </w:r>
    </w:p>
    <w:p w:rsidR="003326E9" w:rsidRPr="005179BC" w:rsidRDefault="003326E9" w:rsidP="003326E9">
      <w:pPr>
        <w:jc w:val="center"/>
        <w:rPr>
          <w:rFonts w:cstheme="minorHAnsi"/>
          <w:b/>
          <w:i/>
        </w:rPr>
      </w:pPr>
      <w:r w:rsidRPr="005179BC">
        <w:rPr>
          <w:rFonts w:cstheme="minorHAnsi"/>
          <w:b/>
          <w:i/>
        </w:rPr>
        <w:t>Canoe North American Equity lineup</w:t>
      </w:r>
    </w:p>
    <w:tbl>
      <w:tblPr>
        <w:tblW w:w="5000" w:type="pct"/>
        <w:tblLayout w:type="fixed"/>
        <w:tblLook w:val="04A0" w:firstRow="1" w:lastRow="0" w:firstColumn="1" w:lastColumn="0" w:noHBand="0" w:noVBand="1"/>
      </w:tblPr>
      <w:tblGrid>
        <w:gridCol w:w="3958"/>
        <w:gridCol w:w="1174"/>
        <w:gridCol w:w="846"/>
        <w:gridCol w:w="846"/>
        <w:gridCol w:w="846"/>
        <w:gridCol w:w="846"/>
        <w:gridCol w:w="844"/>
      </w:tblGrid>
      <w:tr w:rsidR="005179BC" w:rsidRPr="005179BC" w:rsidTr="00282244">
        <w:trPr>
          <w:trHeight w:val="300"/>
        </w:trPr>
        <w:tc>
          <w:tcPr>
            <w:tcW w:w="2114" w:type="pct"/>
            <w:tcBorders>
              <w:top w:val="nil"/>
              <w:left w:val="nil"/>
              <w:bottom w:val="single" w:sz="4" w:space="0" w:color="auto"/>
              <w:right w:val="nil"/>
            </w:tcBorders>
            <w:shd w:val="clear" w:color="auto" w:fill="auto"/>
            <w:vAlign w:val="center"/>
            <w:hideMark/>
          </w:tcPr>
          <w:p w:rsidR="005179BC" w:rsidRPr="005179BC" w:rsidRDefault="005179BC" w:rsidP="005179BC">
            <w:pPr>
              <w:spacing w:after="0" w:line="240" w:lineRule="auto"/>
              <w:rPr>
                <w:rFonts w:ascii="Verdana" w:eastAsia="Times New Roman" w:hAnsi="Verdana" w:cs="Calibri"/>
                <w:b/>
                <w:bCs/>
                <w:color w:val="000000"/>
                <w:sz w:val="16"/>
                <w:szCs w:val="20"/>
                <w:lang w:eastAsia="en-CA"/>
              </w:rPr>
            </w:pPr>
          </w:p>
        </w:tc>
        <w:tc>
          <w:tcPr>
            <w:tcW w:w="627" w:type="pct"/>
            <w:tcBorders>
              <w:top w:val="nil"/>
              <w:left w:val="nil"/>
              <w:bottom w:val="single" w:sz="4" w:space="0" w:color="auto"/>
              <w:right w:val="nil"/>
            </w:tcBorders>
            <w:shd w:val="clear" w:color="auto" w:fill="auto"/>
            <w:vAlign w:val="center"/>
            <w:hideMark/>
          </w:tcPr>
          <w:p w:rsidR="005179BC" w:rsidRPr="005179BC" w:rsidRDefault="005179BC" w:rsidP="005179BC">
            <w:pPr>
              <w:spacing w:after="0" w:line="240" w:lineRule="auto"/>
              <w:jc w:val="center"/>
              <w:rPr>
                <w:rFonts w:ascii="Verdana" w:eastAsia="Times New Roman" w:hAnsi="Verdana" w:cs="Calibri"/>
                <w:b/>
                <w:bCs/>
                <w:color w:val="000000"/>
                <w:sz w:val="16"/>
                <w:szCs w:val="20"/>
                <w:lang w:eastAsia="en-CA"/>
              </w:rPr>
            </w:pPr>
          </w:p>
        </w:tc>
        <w:tc>
          <w:tcPr>
            <w:tcW w:w="452" w:type="pct"/>
            <w:tcBorders>
              <w:top w:val="nil"/>
              <w:left w:val="nil"/>
              <w:bottom w:val="single" w:sz="4" w:space="0" w:color="auto"/>
              <w:right w:val="nil"/>
            </w:tcBorders>
            <w:shd w:val="clear" w:color="auto" w:fill="C00000"/>
            <w:vAlign w:val="center"/>
            <w:hideMark/>
          </w:tcPr>
          <w:p w:rsidR="005179BC" w:rsidRPr="00282244" w:rsidRDefault="005179BC" w:rsidP="005179BC">
            <w:pPr>
              <w:spacing w:after="0" w:line="240" w:lineRule="auto"/>
              <w:jc w:val="center"/>
              <w:rPr>
                <w:rFonts w:ascii="Verdana" w:eastAsia="Times New Roman" w:hAnsi="Verdana" w:cs="Calibri"/>
                <w:b/>
                <w:bCs/>
                <w:color w:val="FFFFFF" w:themeColor="background1"/>
                <w:sz w:val="16"/>
                <w:szCs w:val="20"/>
                <w:lang w:eastAsia="en-CA"/>
              </w:rPr>
            </w:pPr>
            <w:r w:rsidRPr="00282244">
              <w:rPr>
                <w:rFonts w:ascii="Verdana" w:eastAsia="Times New Roman" w:hAnsi="Verdana" w:cs="Calibri"/>
                <w:b/>
                <w:bCs/>
                <w:color w:val="FFFFFF" w:themeColor="background1"/>
                <w:sz w:val="16"/>
                <w:szCs w:val="20"/>
                <w:lang w:eastAsia="en-CA"/>
              </w:rPr>
              <w:t xml:space="preserve">1 </w:t>
            </w:r>
            <w:proofErr w:type="spellStart"/>
            <w:r w:rsidRPr="00282244">
              <w:rPr>
                <w:rFonts w:ascii="Verdana" w:eastAsia="Times New Roman" w:hAnsi="Verdana" w:cs="Calibri"/>
                <w:b/>
                <w:bCs/>
                <w:color w:val="FFFFFF" w:themeColor="background1"/>
                <w:sz w:val="16"/>
                <w:szCs w:val="20"/>
                <w:lang w:eastAsia="en-CA"/>
              </w:rPr>
              <w:t>yr</w:t>
            </w:r>
            <w:proofErr w:type="spellEnd"/>
          </w:p>
        </w:tc>
        <w:tc>
          <w:tcPr>
            <w:tcW w:w="452" w:type="pct"/>
            <w:tcBorders>
              <w:top w:val="nil"/>
              <w:left w:val="nil"/>
              <w:bottom w:val="single" w:sz="4" w:space="0" w:color="auto"/>
              <w:right w:val="nil"/>
            </w:tcBorders>
            <w:shd w:val="clear" w:color="auto" w:fill="C00000"/>
            <w:vAlign w:val="center"/>
            <w:hideMark/>
          </w:tcPr>
          <w:p w:rsidR="005179BC" w:rsidRPr="00282244" w:rsidRDefault="005179BC" w:rsidP="005179BC">
            <w:pPr>
              <w:spacing w:after="0" w:line="240" w:lineRule="auto"/>
              <w:jc w:val="center"/>
              <w:rPr>
                <w:rFonts w:ascii="Verdana" w:eastAsia="Times New Roman" w:hAnsi="Verdana" w:cs="Calibri"/>
                <w:b/>
                <w:bCs/>
                <w:color w:val="FFFFFF" w:themeColor="background1"/>
                <w:sz w:val="16"/>
                <w:szCs w:val="20"/>
                <w:lang w:eastAsia="en-CA"/>
              </w:rPr>
            </w:pPr>
            <w:r w:rsidRPr="00282244">
              <w:rPr>
                <w:rFonts w:ascii="Verdana" w:eastAsia="Times New Roman" w:hAnsi="Verdana" w:cs="Calibri"/>
                <w:b/>
                <w:bCs/>
                <w:color w:val="FFFFFF" w:themeColor="background1"/>
                <w:sz w:val="16"/>
                <w:szCs w:val="20"/>
                <w:lang w:eastAsia="en-CA"/>
              </w:rPr>
              <w:t xml:space="preserve">3 </w:t>
            </w:r>
            <w:proofErr w:type="spellStart"/>
            <w:r w:rsidRPr="00282244">
              <w:rPr>
                <w:rFonts w:ascii="Verdana" w:eastAsia="Times New Roman" w:hAnsi="Verdana" w:cs="Calibri"/>
                <w:b/>
                <w:bCs/>
                <w:color w:val="FFFFFF" w:themeColor="background1"/>
                <w:sz w:val="16"/>
                <w:szCs w:val="20"/>
                <w:lang w:eastAsia="en-CA"/>
              </w:rPr>
              <w:t>yr</w:t>
            </w:r>
            <w:proofErr w:type="spellEnd"/>
          </w:p>
        </w:tc>
        <w:tc>
          <w:tcPr>
            <w:tcW w:w="452" w:type="pct"/>
            <w:tcBorders>
              <w:top w:val="nil"/>
              <w:left w:val="nil"/>
              <w:bottom w:val="single" w:sz="4" w:space="0" w:color="auto"/>
              <w:right w:val="nil"/>
            </w:tcBorders>
            <w:shd w:val="clear" w:color="auto" w:fill="C00000"/>
            <w:vAlign w:val="center"/>
            <w:hideMark/>
          </w:tcPr>
          <w:p w:rsidR="005179BC" w:rsidRPr="00282244" w:rsidRDefault="005179BC" w:rsidP="005179BC">
            <w:pPr>
              <w:spacing w:after="0" w:line="240" w:lineRule="auto"/>
              <w:jc w:val="center"/>
              <w:rPr>
                <w:rFonts w:ascii="Verdana" w:eastAsia="Times New Roman" w:hAnsi="Verdana" w:cs="Calibri"/>
                <w:b/>
                <w:bCs/>
                <w:color w:val="FFFFFF" w:themeColor="background1"/>
                <w:sz w:val="16"/>
                <w:szCs w:val="20"/>
                <w:lang w:eastAsia="en-CA"/>
              </w:rPr>
            </w:pPr>
            <w:r w:rsidRPr="00282244">
              <w:rPr>
                <w:rFonts w:ascii="Verdana" w:eastAsia="Times New Roman" w:hAnsi="Verdana" w:cs="Calibri"/>
                <w:b/>
                <w:bCs/>
                <w:color w:val="FFFFFF" w:themeColor="background1"/>
                <w:sz w:val="16"/>
                <w:szCs w:val="20"/>
                <w:lang w:eastAsia="en-CA"/>
              </w:rPr>
              <w:t xml:space="preserve">5 </w:t>
            </w:r>
            <w:proofErr w:type="spellStart"/>
            <w:r w:rsidRPr="00282244">
              <w:rPr>
                <w:rFonts w:ascii="Verdana" w:eastAsia="Times New Roman" w:hAnsi="Verdana" w:cs="Calibri"/>
                <w:b/>
                <w:bCs/>
                <w:color w:val="FFFFFF" w:themeColor="background1"/>
                <w:sz w:val="16"/>
                <w:szCs w:val="20"/>
                <w:lang w:eastAsia="en-CA"/>
              </w:rPr>
              <w:t>yr</w:t>
            </w:r>
            <w:proofErr w:type="spellEnd"/>
          </w:p>
        </w:tc>
        <w:tc>
          <w:tcPr>
            <w:tcW w:w="452" w:type="pct"/>
            <w:tcBorders>
              <w:top w:val="nil"/>
              <w:left w:val="nil"/>
              <w:bottom w:val="single" w:sz="4" w:space="0" w:color="auto"/>
              <w:right w:val="nil"/>
            </w:tcBorders>
            <w:shd w:val="clear" w:color="auto" w:fill="C00000"/>
            <w:vAlign w:val="center"/>
            <w:hideMark/>
          </w:tcPr>
          <w:p w:rsidR="005179BC" w:rsidRPr="00282244" w:rsidRDefault="005179BC" w:rsidP="005179BC">
            <w:pPr>
              <w:spacing w:after="0" w:line="240" w:lineRule="auto"/>
              <w:jc w:val="center"/>
              <w:rPr>
                <w:rFonts w:ascii="Verdana" w:eastAsia="Times New Roman" w:hAnsi="Verdana" w:cs="Calibri"/>
                <w:b/>
                <w:bCs/>
                <w:color w:val="FFFFFF" w:themeColor="background1"/>
                <w:sz w:val="16"/>
                <w:szCs w:val="20"/>
                <w:lang w:eastAsia="en-CA"/>
              </w:rPr>
            </w:pPr>
            <w:r w:rsidRPr="00282244">
              <w:rPr>
                <w:rFonts w:ascii="Verdana" w:eastAsia="Times New Roman" w:hAnsi="Verdana" w:cs="Calibri"/>
                <w:b/>
                <w:bCs/>
                <w:color w:val="FFFFFF" w:themeColor="background1"/>
                <w:sz w:val="16"/>
                <w:szCs w:val="20"/>
                <w:lang w:eastAsia="en-CA"/>
              </w:rPr>
              <w:t xml:space="preserve">10 </w:t>
            </w:r>
            <w:proofErr w:type="spellStart"/>
            <w:r w:rsidRPr="00282244">
              <w:rPr>
                <w:rFonts w:ascii="Verdana" w:eastAsia="Times New Roman" w:hAnsi="Verdana" w:cs="Calibri"/>
                <w:b/>
                <w:bCs/>
                <w:color w:val="FFFFFF" w:themeColor="background1"/>
                <w:sz w:val="16"/>
                <w:szCs w:val="20"/>
                <w:lang w:eastAsia="en-CA"/>
              </w:rPr>
              <w:t>yr</w:t>
            </w:r>
            <w:proofErr w:type="spellEnd"/>
          </w:p>
        </w:tc>
        <w:tc>
          <w:tcPr>
            <w:tcW w:w="451" w:type="pct"/>
            <w:tcBorders>
              <w:top w:val="nil"/>
              <w:left w:val="nil"/>
              <w:bottom w:val="single" w:sz="4" w:space="0" w:color="auto"/>
              <w:right w:val="nil"/>
            </w:tcBorders>
            <w:shd w:val="clear" w:color="auto" w:fill="C00000"/>
            <w:vAlign w:val="center"/>
            <w:hideMark/>
          </w:tcPr>
          <w:p w:rsidR="005179BC" w:rsidRPr="00282244" w:rsidRDefault="005179BC" w:rsidP="005179BC">
            <w:pPr>
              <w:spacing w:after="0" w:line="240" w:lineRule="auto"/>
              <w:jc w:val="center"/>
              <w:rPr>
                <w:rFonts w:ascii="Verdana" w:eastAsia="Times New Roman" w:hAnsi="Verdana" w:cs="Calibri"/>
                <w:b/>
                <w:bCs/>
                <w:color w:val="FFFFFF" w:themeColor="background1"/>
                <w:sz w:val="16"/>
                <w:szCs w:val="20"/>
                <w:lang w:eastAsia="en-CA"/>
              </w:rPr>
            </w:pPr>
            <w:r w:rsidRPr="00282244">
              <w:rPr>
                <w:rFonts w:ascii="Verdana" w:eastAsia="Times New Roman" w:hAnsi="Verdana" w:cs="Calibri"/>
                <w:b/>
                <w:bCs/>
                <w:color w:val="FFFFFF" w:themeColor="background1"/>
                <w:sz w:val="16"/>
                <w:szCs w:val="20"/>
                <w:lang w:eastAsia="en-CA"/>
              </w:rPr>
              <w:t>SI</w:t>
            </w:r>
          </w:p>
        </w:tc>
      </w:tr>
      <w:tr w:rsidR="001A774D" w:rsidRPr="005179BC" w:rsidTr="00282244">
        <w:trPr>
          <w:trHeight w:val="300"/>
        </w:trPr>
        <w:tc>
          <w:tcPr>
            <w:tcW w:w="2114" w:type="pct"/>
            <w:vMerge w:val="restart"/>
            <w:tcBorders>
              <w:top w:val="single" w:sz="4" w:space="0" w:color="auto"/>
              <w:left w:val="nil"/>
              <w:right w:val="nil"/>
            </w:tcBorders>
            <w:shd w:val="clear" w:color="auto" w:fill="auto"/>
            <w:noWrap/>
            <w:vAlign w:val="center"/>
            <w:hideMark/>
          </w:tcPr>
          <w:p w:rsidR="001A774D" w:rsidRPr="005179BC" w:rsidRDefault="001A774D" w:rsidP="005179BC">
            <w:pPr>
              <w:spacing w:after="0" w:line="240" w:lineRule="auto"/>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Canoe Equity Portfolio Class</w:t>
            </w:r>
          </w:p>
        </w:tc>
        <w:tc>
          <w:tcPr>
            <w:tcW w:w="627" w:type="pct"/>
            <w:tcBorders>
              <w:top w:val="single" w:sz="4" w:space="0" w:color="auto"/>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Quartile</w:t>
            </w:r>
          </w:p>
        </w:tc>
        <w:tc>
          <w:tcPr>
            <w:tcW w:w="452" w:type="pct"/>
            <w:tcBorders>
              <w:top w:val="single" w:sz="4" w:space="0" w:color="auto"/>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auto"/>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auto"/>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auto"/>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1" w:type="pct"/>
            <w:tcBorders>
              <w:top w:val="single" w:sz="4" w:space="0" w:color="auto"/>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r>
      <w:tr w:rsidR="001A774D" w:rsidRPr="005179BC" w:rsidTr="00282244">
        <w:trPr>
          <w:trHeight w:val="300"/>
        </w:trPr>
        <w:tc>
          <w:tcPr>
            <w:tcW w:w="2114" w:type="pct"/>
            <w:vMerge/>
            <w:tcBorders>
              <w:left w:val="nil"/>
              <w:bottom w:val="single" w:sz="4" w:space="0" w:color="FDB5AD"/>
              <w:right w:val="nil"/>
            </w:tcBorders>
            <w:shd w:val="clear" w:color="auto" w:fill="auto"/>
            <w:vAlign w:val="center"/>
            <w:hideMark/>
          </w:tcPr>
          <w:p w:rsidR="001A774D" w:rsidRPr="005179BC" w:rsidRDefault="001A774D" w:rsidP="005179BC">
            <w:pPr>
              <w:spacing w:after="0" w:line="240" w:lineRule="auto"/>
              <w:rPr>
                <w:rFonts w:ascii="Calibri" w:eastAsia="Times New Roman" w:hAnsi="Calibri" w:cs="Calibri"/>
                <w:b/>
                <w:bCs/>
                <w:color w:val="000000"/>
                <w:sz w:val="16"/>
                <w:lang w:eastAsia="en-CA"/>
              </w:rPr>
            </w:pPr>
          </w:p>
        </w:tc>
        <w:tc>
          <w:tcPr>
            <w:tcW w:w="627" w:type="pct"/>
            <w:tcBorders>
              <w:top w:val="nil"/>
              <w:left w:val="nil"/>
              <w:bottom w:val="single" w:sz="4" w:space="0" w:color="FDB5AD"/>
              <w:right w:val="nil"/>
            </w:tcBorders>
            <w:shd w:val="clear" w:color="auto" w:fill="auto"/>
            <w:vAlign w:val="center"/>
            <w:hideMark/>
          </w:tcPr>
          <w:p w:rsidR="001A774D" w:rsidRPr="005179BC" w:rsidRDefault="001A774D" w:rsidP="005179BC">
            <w:pPr>
              <w:spacing w:after="0" w:line="240" w:lineRule="auto"/>
              <w:jc w:val="center"/>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Return</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41.8%</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21.7%</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12.3%</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11.2%</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8.9%</w:t>
            </w:r>
          </w:p>
        </w:tc>
      </w:tr>
      <w:tr w:rsidR="005179BC" w:rsidRPr="005179BC" w:rsidTr="00282244">
        <w:trPr>
          <w:trHeight w:val="300"/>
        </w:trPr>
        <w:tc>
          <w:tcPr>
            <w:tcW w:w="2114" w:type="pct"/>
            <w:tcBorders>
              <w:top w:val="single" w:sz="4" w:space="0" w:color="FDB5AD"/>
              <w:left w:val="nil"/>
              <w:bottom w:val="single" w:sz="4" w:space="0" w:color="C00000"/>
              <w:right w:val="nil"/>
            </w:tcBorders>
            <w:shd w:val="clear" w:color="auto" w:fill="auto"/>
            <w:vAlign w:val="center"/>
            <w:hideMark/>
          </w:tcPr>
          <w:p w:rsidR="005179BC" w:rsidRPr="005179BC" w:rsidRDefault="005179BC" w:rsidP="005179BC">
            <w:pPr>
              <w:spacing w:after="0" w:line="240" w:lineRule="auto"/>
              <w:rPr>
                <w:rFonts w:ascii="Verdana" w:eastAsia="Times New Roman" w:hAnsi="Verdana" w:cs="Calibri"/>
                <w:color w:val="000000"/>
                <w:sz w:val="16"/>
                <w:szCs w:val="20"/>
                <w:lang w:eastAsia="en-CA"/>
              </w:rPr>
            </w:pPr>
            <w:r>
              <w:rPr>
                <w:rFonts w:ascii="Verdana" w:eastAsia="Times New Roman" w:hAnsi="Verdana" w:cs="Calibri"/>
                <w:color w:val="000000"/>
                <w:sz w:val="16"/>
                <w:szCs w:val="20"/>
                <w:lang w:eastAsia="en-CA"/>
              </w:rPr>
              <w:t>Benchmark</w:t>
            </w:r>
          </w:p>
        </w:tc>
        <w:tc>
          <w:tcPr>
            <w:tcW w:w="627" w:type="pct"/>
            <w:tcBorders>
              <w:top w:val="single" w:sz="4" w:space="0" w:color="FDB5AD"/>
              <w:left w:val="nil"/>
              <w:bottom w:val="single" w:sz="4" w:space="0" w:color="C00000"/>
              <w:right w:val="nil"/>
            </w:tcBorders>
            <w:shd w:val="clear" w:color="auto" w:fill="auto"/>
            <w:vAlign w:val="center"/>
            <w:hideMark/>
          </w:tcPr>
          <w:p w:rsidR="005179BC" w:rsidRPr="005179BC" w:rsidRDefault="005179BC" w:rsidP="005179BC">
            <w:pPr>
              <w:spacing w:after="0" w:line="240" w:lineRule="auto"/>
              <w:jc w:val="center"/>
              <w:rPr>
                <w:rFonts w:ascii="Verdana" w:eastAsia="Times New Roman" w:hAnsi="Verdana" w:cs="Calibri"/>
                <w:color w:val="000000"/>
                <w:sz w:val="16"/>
                <w:szCs w:val="20"/>
                <w:lang w:eastAsia="en-CA"/>
              </w:rPr>
            </w:pP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25.1%</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17.5%</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10.0%</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9.1%</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7.0%</w:t>
            </w:r>
          </w:p>
        </w:tc>
      </w:tr>
      <w:tr w:rsidR="001A774D" w:rsidRPr="005179BC" w:rsidTr="00282244">
        <w:trPr>
          <w:trHeight w:val="300"/>
        </w:trPr>
        <w:tc>
          <w:tcPr>
            <w:tcW w:w="2114" w:type="pct"/>
            <w:vMerge w:val="restart"/>
            <w:tcBorders>
              <w:top w:val="single" w:sz="4" w:space="0" w:color="C00000"/>
              <w:left w:val="nil"/>
              <w:right w:val="nil"/>
            </w:tcBorders>
            <w:shd w:val="clear" w:color="000000" w:fill="FFFFFF"/>
            <w:noWrap/>
            <w:vAlign w:val="center"/>
            <w:hideMark/>
          </w:tcPr>
          <w:p w:rsidR="001A774D" w:rsidRPr="005179BC" w:rsidRDefault="001A774D" w:rsidP="005179BC">
            <w:pPr>
              <w:spacing w:after="0" w:line="240" w:lineRule="auto"/>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Canoe Asset Allocation Portfolio Class</w:t>
            </w:r>
          </w:p>
        </w:tc>
        <w:tc>
          <w:tcPr>
            <w:tcW w:w="627" w:type="pct"/>
            <w:tcBorders>
              <w:top w:val="single" w:sz="4" w:space="0" w:color="C00000"/>
              <w:left w:val="nil"/>
              <w:bottom w:val="nil"/>
              <w:right w:val="nil"/>
            </w:tcBorders>
            <w:shd w:val="clear" w:color="000000" w:fill="FFFFFF"/>
            <w:noWrap/>
            <w:vAlign w:val="center"/>
            <w:hideMark/>
          </w:tcPr>
          <w:p w:rsidR="001A774D" w:rsidRPr="005179BC" w:rsidRDefault="001A774D" w:rsidP="005179BC">
            <w:pPr>
              <w:spacing w:after="0" w:line="240" w:lineRule="auto"/>
              <w:jc w:val="center"/>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Quartile</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r>
      <w:tr w:rsidR="001A774D" w:rsidRPr="005179BC" w:rsidTr="00282244">
        <w:trPr>
          <w:trHeight w:val="300"/>
        </w:trPr>
        <w:tc>
          <w:tcPr>
            <w:tcW w:w="2114" w:type="pct"/>
            <w:vMerge/>
            <w:tcBorders>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rPr>
                <w:rFonts w:ascii="Calibri" w:eastAsia="Times New Roman" w:hAnsi="Calibri" w:cs="Calibri"/>
                <w:b/>
                <w:bCs/>
                <w:color w:val="000000"/>
                <w:sz w:val="16"/>
                <w:lang w:eastAsia="en-CA"/>
              </w:rPr>
            </w:pPr>
          </w:p>
        </w:tc>
        <w:tc>
          <w:tcPr>
            <w:tcW w:w="627"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Return</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30.0%</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16.4%</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9.8%</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8.8%</w:t>
            </w:r>
          </w:p>
        </w:tc>
        <w:tc>
          <w:tcPr>
            <w:tcW w:w="451"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7.0%</w:t>
            </w:r>
          </w:p>
        </w:tc>
      </w:tr>
      <w:tr w:rsidR="005179BC" w:rsidRPr="005179BC" w:rsidTr="00282244">
        <w:trPr>
          <w:trHeight w:val="300"/>
        </w:trPr>
        <w:tc>
          <w:tcPr>
            <w:tcW w:w="2114" w:type="pct"/>
            <w:tcBorders>
              <w:top w:val="single" w:sz="4" w:space="0" w:color="FDB5AD"/>
              <w:left w:val="nil"/>
              <w:bottom w:val="single" w:sz="4" w:space="0" w:color="C00000"/>
              <w:right w:val="nil"/>
            </w:tcBorders>
            <w:shd w:val="clear" w:color="auto" w:fill="auto"/>
            <w:vAlign w:val="center"/>
            <w:hideMark/>
          </w:tcPr>
          <w:p w:rsidR="005179BC" w:rsidRPr="005179BC" w:rsidRDefault="005179BC" w:rsidP="005179BC">
            <w:pPr>
              <w:spacing w:after="0" w:line="240" w:lineRule="auto"/>
              <w:rPr>
                <w:rFonts w:ascii="Verdana" w:eastAsia="Times New Roman" w:hAnsi="Verdana" w:cs="Calibri"/>
                <w:color w:val="000000"/>
                <w:sz w:val="16"/>
                <w:szCs w:val="20"/>
                <w:lang w:eastAsia="en-CA"/>
              </w:rPr>
            </w:pPr>
            <w:r>
              <w:rPr>
                <w:rFonts w:ascii="Verdana" w:eastAsia="Times New Roman" w:hAnsi="Verdana" w:cs="Calibri"/>
                <w:color w:val="000000"/>
                <w:sz w:val="16"/>
                <w:szCs w:val="20"/>
                <w:lang w:eastAsia="en-CA"/>
              </w:rPr>
              <w:t>Benchmark</w:t>
            </w:r>
          </w:p>
        </w:tc>
        <w:tc>
          <w:tcPr>
            <w:tcW w:w="627" w:type="pct"/>
            <w:tcBorders>
              <w:top w:val="single" w:sz="4" w:space="0" w:color="FDB5AD"/>
              <w:left w:val="nil"/>
              <w:bottom w:val="single" w:sz="4" w:space="0" w:color="C00000"/>
              <w:right w:val="nil"/>
            </w:tcBorders>
            <w:shd w:val="clear" w:color="auto" w:fill="auto"/>
            <w:vAlign w:val="center"/>
            <w:hideMark/>
          </w:tcPr>
          <w:p w:rsidR="005179BC" w:rsidRPr="005179BC" w:rsidRDefault="005179BC" w:rsidP="005179BC">
            <w:pPr>
              <w:spacing w:after="0" w:line="240" w:lineRule="auto"/>
              <w:jc w:val="center"/>
              <w:rPr>
                <w:rFonts w:ascii="Verdana" w:eastAsia="Times New Roman" w:hAnsi="Verdana" w:cs="Calibri"/>
                <w:color w:val="000000"/>
                <w:sz w:val="16"/>
                <w:szCs w:val="20"/>
                <w:lang w:eastAsia="en-CA"/>
              </w:rPr>
            </w:pP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14.8%</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13.0%</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7.9%</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7.2%</w:t>
            </w:r>
          </w:p>
        </w:tc>
        <w:tc>
          <w:tcPr>
            <w:tcW w:w="451"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6.1%</w:t>
            </w:r>
          </w:p>
        </w:tc>
      </w:tr>
      <w:tr w:rsidR="001A774D" w:rsidRPr="005179BC" w:rsidTr="00282244">
        <w:trPr>
          <w:trHeight w:val="300"/>
        </w:trPr>
        <w:tc>
          <w:tcPr>
            <w:tcW w:w="2114" w:type="pct"/>
            <w:vMerge w:val="restart"/>
            <w:tcBorders>
              <w:top w:val="single" w:sz="4" w:space="0" w:color="C00000"/>
              <w:left w:val="nil"/>
              <w:right w:val="nil"/>
            </w:tcBorders>
            <w:shd w:val="clear" w:color="auto" w:fill="auto"/>
            <w:noWrap/>
            <w:vAlign w:val="center"/>
            <w:hideMark/>
          </w:tcPr>
          <w:p w:rsidR="001A774D" w:rsidRPr="005179BC" w:rsidRDefault="001A774D" w:rsidP="005179BC">
            <w:pPr>
              <w:spacing w:after="0" w:line="240" w:lineRule="auto"/>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Canoe North American Monthly Income Portfolio Class</w:t>
            </w:r>
          </w:p>
        </w:tc>
        <w:tc>
          <w:tcPr>
            <w:tcW w:w="627"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Qua</w:t>
            </w:r>
            <w:r>
              <w:rPr>
                <w:rFonts w:ascii="Verdana" w:eastAsia="Times New Roman" w:hAnsi="Verdana" w:cs="Calibri"/>
                <w:b/>
                <w:bCs/>
                <w:color w:val="000000"/>
                <w:sz w:val="16"/>
                <w:szCs w:val="20"/>
                <w:lang w:eastAsia="en-CA"/>
              </w:rPr>
              <w:t>r</w:t>
            </w:r>
            <w:r w:rsidRPr="005179BC">
              <w:rPr>
                <w:rFonts w:ascii="Verdana" w:eastAsia="Times New Roman" w:hAnsi="Verdana" w:cs="Calibri"/>
                <w:b/>
                <w:bCs/>
                <w:color w:val="000000"/>
                <w:sz w:val="16"/>
                <w:szCs w:val="20"/>
                <w:lang w:eastAsia="en-CA"/>
              </w:rPr>
              <w:t>tile</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c>
          <w:tcPr>
            <w:tcW w:w="452"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p>
        </w:tc>
        <w:tc>
          <w:tcPr>
            <w:tcW w:w="451" w:type="pct"/>
            <w:tcBorders>
              <w:top w:val="single" w:sz="4" w:space="0" w:color="C00000"/>
              <w:left w:val="nil"/>
              <w:bottom w:val="nil"/>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w:t>
            </w:r>
          </w:p>
        </w:tc>
      </w:tr>
      <w:tr w:rsidR="001A774D" w:rsidRPr="005179BC" w:rsidTr="00282244">
        <w:trPr>
          <w:trHeight w:val="300"/>
        </w:trPr>
        <w:tc>
          <w:tcPr>
            <w:tcW w:w="2114" w:type="pct"/>
            <w:vMerge/>
            <w:tcBorders>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rPr>
                <w:rFonts w:ascii="Calibri" w:eastAsia="Times New Roman" w:hAnsi="Calibri" w:cs="Calibri"/>
                <w:b/>
                <w:bCs/>
                <w:color w:val="000000"/>
                <w:sz w:val="16"/>
                <w:lang w:eastAsia="en-CA"/>
              </w:rPr>
            </w:pPr>
          </w:p>
        </w:tc>
        <w:tc>
          <w:tcPr>
            <w:tcW w:w="627"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Verdana" w:eastAsia="Times New Roman" w:hAnsi="Verdana" w:cs="Calibri"/>
                <w:b/>
                <w:bCs/>
                <w:color w:val="000000"/>
                <w:sz w:val="16"/>
                <w:szCs w:val="20"/>
                <w:lang w:eastAsia="en-CA"/>
              </w:rPr>
            </w:pPr>
            <w:r w:rsidRPr="005179BC">
              <w:rPr>
                <w:rFonts w:ascii="Verdana" w:eastAsia="Times New Roman" w:hAnsi="Verdana" w:cs="Calibri"/>
                <w:b/>
                <w:bCs/>
                <w:color w:val="000000"/>
                <w:sz w:val="16"/>
                <w:szCs w:val="20"/>
                <w:lang w:eastAsia="en-CA"/>
              </w:rPr>
              <w:t>Return</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19.4%</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11.9%</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7.7%</w:t>
            </w:r>
          </w:p>
        </w:tc>
        <w:tc>
          <w:tcPr>
            <w:tcW w:w="452"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p>
        </w:tc>
        <w:tc>
          <w:tcPr>
            <w:tcW w:w="451" w:type="pct"/>
            <w:tcBorders>
              <w:top w:val="nil"/>
              <w:left w:val="nil"/>
              <w:bottom w:val="single" w:sz="4" w:space="0" w:color="FDB5AD"/>
              <w:right w:val="nil"/>
            </w:tcBorders>
            <w:shd w:val="clear" w:color="auto" w:fill="auto"/>
            <w:noWrap/>
            <w:vAlign w:val="center"/>
            <w:hideMark/>
          </w:tcPr>
          <w:p w:rsidR="001A774D" w:rsidRPr="005179BC" w:rsidRDefault="001A774D" w:rsidP="005179BC">
            <w:pPr>
              <w:spacing w:after="0" w:line="240" w:lineRule="auto"/>
              <w:jc w:val="center"/>
              <w:rPr>
                <w:rFonts w:ascii="Calibri" w:eastAsia="Times New Roman" w:hAnsi="Calibri" w:cs="Calibri"/>
                <w:b/>
                <w:bCs/>
                <w:color w:val="000000"/>
                <w:sz w:val="16"/>
                <w:lang w:eastAsia="en-CA"/>
              </w:rPr>
            </w:pPr>
            <w:r w:rsidRPr="005179BC">
              <w:rPr>
                <w:rFonts w:ascii="Calibri" w:eastAsia="Times New Roman" w:hAnsi="Calibri" w:cs="Calibri"/>
                <w:b/>
                <w:bCs/>
                <w:color w:val="000000"/>
                <w:sz w:val="16"/>
                <w:lang w:eastAsia="en-CA"/>
              </w:rPr>
              <w:t>8.8%</w:t>
            </w:r>
          </w:p>
        </w:tc>
      </w:tr>
      <w:tr w:rsidR="005179BC" w:rsidRPr="005179BC" w:rsidTr="00282244">
        <w:trPr>
          <w:trHeight w:val="300"/>
        </w:trPr>
        <w:tc>
          <w:tcPr>
            <w:tcW w:w="2114" w:type="pct"/>
            <w:tcBorders>
              <w:top w:val="single" w:sz="4" w:space="0" w:color="FDB5AD"/>
              <w:left w:val="nil"/>
              <w:bottom w:val="single" w:sz="4" w:space="0" w:color="C00000"/>
              <w:right w:val="nil"/>
            </w:tcBorders>
            <w:shd w:val="clear" w:color="auto" w:fill="auto"/>
            <w:vAlign w:val="center"/>
            <w:hideMark/>
          </w:tcPr>
          <w:p w:rsidR="005179BC" w:rsidRPr="005179BC" w:rsidRDefault="005179BC" w:rsidP="005179BC">
            <w:pPr>
              <w:spacing w:after="0" w:line="240" w:lineRule="auto"/>
              <w:rPr>
                <w:rFonts w:ascii="Verdana" w:eastAsia="Times New Roman" w:hAnsi="Verdana" w:cs="Calibri"/>
                <w:color w:val="000000"/>
                <w:sz w:val="16"/>
                <w:szCs w:val="20"/>
                <w:lang w:eastAsia="en-CA"/>
              </w:rPr>
            </w:pPr>
            <w:r>
              <w:rPr>
                <w:rFonts w:ascii="Verdana" w:eastAsia="Times New Roman" w:hAnsi="Verdana" w:cs="Calibri"/>
                <w:color w:val="000000"/>
                <w:sz w:val="16"/>
                <w:szCs w:val="20"/>
                <w:lang w:eastAsia="en-CA"/>
              </w:rPr>
              <w:t>Benchmark</w:t>
            </w:r>
          </w:p>
        </w:tc>
        <w:tc>
          <w:tcPr>
            <w:tcW w:w="627" w:type="pct"/>
            <w:tcBorders>
              <w:top w:val="single" w:sz="4" w:space="0" w:color="FDB5AD"/>
              <w:left w:val="nil"/>
              <w:bottom w:val="single" w:sz="4" w:space="0" w:color="C00000"/>
              <w:right w:val="nil"/>
            </w:tcBorders>
            <w:shd w:val="clear" w:color="auto" w:fill="auto"/>
            <w:vAlign w:val="center"/>
            <w:hideMark/>
          </w:tcPr>
          <w:p w:rsidR="005179BC" w:rsidRPr="005179BC" w:rsidRDefault="005179BC" w:rsidP="005179BC">
            <w:pPr>
              <w:spacing w:after="0" w:line="240" w:lineRule="auto"/>
              <w:jc w:val="center"/>
              <w:rPr>
                <w:rFonts w:ascii="Verdana" w:eastAsia="Times New Roman" w:hAnsi="Verdana" w:cs="Calibri"/>
                <w:color w:val="000000"/>
                <w:sz w:val="16"/>
                <w:szCs w:val="20"/>
                <w:lang w:eastAsia="en-CA"/>
              </w:rPr>
            </w:pP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10.6%</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11.0%</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6.9%</w:t>
            </w:r>
          </w:p>
        </w:tc>
        <w:tc>
          <w:tcPr>
            <w:tcW w:w="452"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p>
        </w:tc>
        <w:tc>
          <w:tcPr>
            <w:tcW w:w="451" w:type="pct"/>
            <w:tcBorders>
              <w:top w:val="single" w:sz="4" w:space="0" w:color="FDB5AD"/>
              <w:left w:val="nil"/>
              <w:bottom w:val="single" w:sz="4" w:space="0" w:color="C00000"/>
              <w:right w:val="nil"/>
            </w:tcBorders>
            <w:shd w:val="clear" w:color="auto" w:fill="auto"/>
            <w:noWrap/>
            <w:vAlign w:val="center"/>
            <w:hideMark/>
          </w:tcPr>
          <w:p w:rsidR="005179BC" w:rsidRPr="005179BC" w:rsidRDefault="005179BC" w:rsidP="005179BC">
            <w:pPr>
              <w:spacing w:after="0" w:line="240" w:lineRule="auto"/>
              <w:jc w:val="center"/>
              <w:rPr>
                <w:rFonts w:ascii="Calibri" w:eastAsia="Times New Roman" w:hAnsi="Calibri" w:cs="Calibri"/>
                <w:color w:val="000000"/>
                <w:sz w:val="16"/>
                <w:lang w:eastAsia="en-CA"/>
              </w:rPr>
            </w:pPr>
            <w:r w:rsidRPr="005179BC">
              <w:rPr>
                <w:rFonts w:ascii="Calibri" w:eastAsia="Times New Roman" w:hAnsi="Calibri" w:cs="Calibri"/>
                <w:color w:val="000000"/>
                <w:sz w:val="16"/>
                <w:lang w:eastAsia="en-CA"/>
              </w:rPr>
              <w:t>6.4%</w:t>
            </w:r>
          </w:p>
        </w:tc>
      </w:tr>
    </w:tbl>
    <w:p w:rsidR="005179BC" w:rsidRDefault="005179BC" w:rsidP="00583013">
      <w:pPr>
        <w:jc w:val="center"/>
        <w:rPr>
          <w:rFonts w:cstheme="minorHAnsi"/>
          <w:b/>
          <w:i/>
        </w:rPr>
      </w:pPr>
    </w:p>
    <w:p w:rsidR="00F90AC1" w:rsidRPr="00583013" w:rsidRDefault="00583013" w:rsidP="00583013">
      <w:pPr>
        <w:jc w:val="center"/>
        <w:rPr>
          <w:rFonts w:cstheme="minorHAnsi"/>
          <w:b/>
          <w:i/>
        </w:rPr>
      </w:pPr>
      <w:r w:rsidRPr="00583013">
        <w:rPr>
          <w:rFonts w:cstheme="minorHAnsi"/>
          <w:b/>
          <w:i/>
        </w:rPr>
        <w:t>Opportunistic stock picking outperforms</w:t>
      </w:r>
    </w:p>
    <w:p w:rsidR="00F90AC1" w:rsidRPr="00AC0BC4" w:rsidRDefault="00C6448F" w:rsidP="00607042">
      <w:pPr>
        <w:rPr>
          <w:rFonts w:cstheme="minorHAnsi"/>
        </w:rPr>
      </w:pPr>
      <w:r w:rsidRPr="00AC0BC4">
        <w:rPr>
          <w:rFonts w:cstheme="minorHAnsi"/>
        </w:rPr>
        <w:t>Chief Investment Officer and Portfolio manager Rob Taylor</w:t>
      </w:r>
      <w:r w:rsidR="003326E9" w:rsidRPr="00AC0BC4">
        <w:rPr>
          <w:rFonts w:cstheme="minorHAnsi"/>
        </w:rPr>
        <w:t xml:space="preserve"> believes </w:t>
      </w:r>
      <w:r w:rsidRPr="00AC0BC4">
        <w:rPr>
          <w:rFonts w:cstheme="minorHAnsi"/>
        </w:rPr>
        <w:t>low interest rates have resulted in an overvalued, top-heavy equity index. With one of the widest gaps between expensive and undervalued equities, now more than ever, stock picking is key.</w:t>
      </w:r>
    </w:p>
    <w:p w:rsidR="00C6448F" w:rsidRPr="00AC0BC4" w:rsidRDefault="00C6448F" w:rsidP="00607042">
      <w:pPr>
        <w:rPr>
          <w:rFonts w:cstheme="minorHAnsi"/>
        </w:rPr>
      </w:pPr>
      <w:r w:rsidRPr="00AC0BC4">
        <w:rPr>
          <w:rFonts w:cstheme="minorHAnsi"/>
        </w:rPr>
        <w:t>A proven stock picker, Rob has opportunistically navigated equity markets to construct core portfolios and deliver consistent category-leading returns.</w:t>
      </w:r>
    </w:p>
    <w:p w:rsidR="00C6448F" w:rsidRDefault="00C6448F" w:rsidP="00607042">
      <w:pPr>
        <w:rPr>
          <w:rStyle w:val="Hyperlink"/>
          <w:rFonts w:cstheme="minorHAnsi"/>
        </w:rPr>
      </w:pPr>
      <w:r w:rsidRPr="00583013">
        <w:rPr>
          <w:rFonts w:cstheme="minorHAnsi"/>
        </w:rPr>
        <w:t xml:space="preserve">Contact your Canoe Financial wholesaler </w:t>
      </w:r>
      <w:r w:rsidR="00583013">
        <w:rPr>
          <w:rFonts w:cstheme="minorHAnsi"/>
        </w:rPr>
        <w:t xml:space="preserve">or </w:t>
      </w:r>
      <w:hyperlink r:id="rId4" w:history="1">
        <w:r w:rsidR="00583013" w:rsidRPr="00583013">
          <w:rPr>
            <w:rStyle w:val="Hyperlink"/>
            <w:rFonts w:cstheme="minorHAnsi"/>
          </w:rPr>
          <w:t xml:space="preserve">click here to </w:t>
        </w:r>
        <w:r w:rsidRPr="00583013">
          <w:rPr>
            <w:rStyle w:val="Hyperlink"/>
            <w:rFonts w:cstheme="minorHAnsi"/>
          </w:rPr>
          <w:t>learn more.</w:t>
        </w:r>
      </w:hyperlink>
    </w:p>
    <w:p w:rsidR="003B6558" w:rsidRDefault="003B6558" w:rsidP="003326E9">
      <w:pPr>
        <w:jc w:val="center"/>
        <w:rPr>
          <w:rFonts w:cstheme="minorHAnsi"/>
        </w:rPr>
      </w:pPr>
    </w:p>
    <w:p w:rsidR="003B6558" w:rsidRPr="005179BC" w:rsidRDefault="001A774D" w:rsidP="005179BC">
      <w:pPr>
        <w:jc w:val="both"/>
        <w:rPr>
          <w:rFonts w:ascii="Arial Narrow" w:hAnsi="Arial Narrow" w:cs="Calibri"/>
          <w:color w:val="000000"/>
          <w:sz w:val="20"/>
          <w:szCs w:val="20"/>
        </w:rPr>
      </w:pPr>
      <w:r w:rsidRPr="001A774D">
        <w:rPr>
          <w:rFonts w:ascii="Arial Narrow" w:hAnsi="Arial Narrow" w:cstheme="minorHAnsi"/>
          <w:sz w:val="20"/>
          <w:szCs w:val="20"/>
        </w:rPr>
        <w:t>Source: Morningstar, Series F returns, as of 12/31/2021. Canoe Equity Portfolio Class benchmark: S&amp;P/TSX Composite index, inception date: 02/14/2011. Canoe Asset Allocation Portfolio Class benchmark: 65% S&amp;P/TSX Composite index, 35% FTSE/TMX Canada Universe Bond index; inception date: 02/14/2011. Canoe North American Monthly Income Class benchmark: 50% S&amp;P/TSX Composite index, 50% FTSE/TMX Canada Universe Bond index; inception date: 12/24/2012.</w:t>
      </w:r>
      <w:r w:rsidR="005179BC">
        <w:rPr>
          <w:rFonts w:ascii="Arial Narrow" w:hAnsi="Arial Narrow" w:cstheme="minorHAnsi"/>
          <w:sz w:val="20"/>
          <w:szCs w:val="20"/>
        </w:rPr>
        <w:t xml:space="preserve">  </w:t>
      </w:r>
      <w:r w:rsidR="003B6558" w:rsidRPr="005179BC">
        <w:rPr>
          <w:rFonts w:ascii="Arial Narrow" w:hAnsi="Arial Narrow" w:cs="Calibri"/>
          <w:color w:val="000000"/>
          <w:sz w:val="20"/>
          <w:szCs w:val="20"/>
        </w:rPr>
        <w:t xml:space="preserve">This content may contain forward-looking statements and predictions about the economy, the financial markets, industry sectors, and individual securities or investments. Statements made in the content herein may be predictive in nature and depend upon assumptions we have made or refer to future events or conditions and may include such words as "expects", "think", "plans", "anticipates", "believes", "estimates" or other similar expressions. In addition, any statement regarding future performance, strategies, prospects, action or plans is also a forward-looking statement. Market predictions and forward-looking statements are subject to known and unknown risks and uncertainties and other factors that may cause actual results, performance, events, activity and achievements to differ materially from those expressed or implied by such statements. Such factors include general economic, political and market conditions, interest and foreign exchange rates, regulatory or judicial proceedings, technological change and catastrophic events. You should consider these and other factors carefully before making any investment decisions and before relying on forward-looking statements. We have no specific intention of updating any forward-looking statements whether </w:t>
      </w:r>
      <w:proofErr w:type="gramStart"/>
      <w:r w:rsidR="003B6558" w:rsidRPr="005179BC">
        <w:rPr>
          <w:rFonts w:ascii="Arial Narrow" w:hAnsi="Arial Narrow" w:cs="Calibri"/>
          <w:color w:val="000000"/>
          <w:sz w:val="20"/>
          <w:szCs w:val="20"/>
        </w:rPr>
        <w:t>as a result</w:t>
      </w:r>
      <w:proofErr w:type="gramEnd"/>
      <w:r w:rsidR="003B6558" w:rsidRPr="005179BC">
        <w:rPr>
          <w:rFonts w:ascii="Arial Narrow" w:hAnsi="Arial Narrow" w:cs="Calibri"/>
          <w:color w:val="000000"/>
          <w:sz w:val="20"/>
          <w:szCs w:val="20"/>
        </w:rPr>
        <w:t xml:space="preserve"> of new information, future events or otherwise, unless required by applicable law.</w:t>
      </w:r>
      <w:r w:rsidR="00104BDB" w:rsidRPr="005179BC">
        <w:rPr>
          <w:rFonts w:ascii="Arial Narrow" w:hAnsi="Arial Narrow" w:cs="Calibri"/>
          <w:color w:val="000000"/>
          <w:sz w:val="20"/>
          <w:szCs w:val="20"/>
        </w:rPr>
        <w:t xml:space="preserve"> </w:t>
      </w:r>
      <w:r w:rsidR="003B6558" w:rsidRPr="005179BC">
        <w:rPr>
          <w:rFonts w:ascii="Arial Narrow" w:hAnsi="Arial Narrow" w:cs="Calibri"/>
          <w:color w:val="000000"/>
          <w:sz w:val="20"/>
          <w:szCs w:val="20"/>
        </w:rPr>
        <w:t xml:space="preserve">Commissions, trailing commissions, management fees and expenses all may be associated with mutual fund investments.  Please read the prospectus before investing.  The indicated rates of return are the historical annual compounded total returns including changes in unit value and reinvestment of all </w:t>
      </w:r>
      <w:r w:rsidR="003B6558" w:rsidRPr="005179BC">
        <w:rPr>
          <w:rFonts w:ascii="Arial Narrow" w:hAnsi="Arial Narrow" w:cs="Calibri"/>
          <w:color w:val="000000"/>
          <w:sz w:val="20"/>
          <w:szCs w:val="20"/>
        </w:rPr>
        <w:lastRenderedPageBreak/>
        <w:t xml:space="preserve">distributions and do not take into account sales, redemption, distribution or optional charges or income taxes payable by any unitholder that would have reduced returns.  Mutual funds </w:t>
      </w:r>
      <w:proofErr w:type="gramStart"/>
      <w:r w:rsidR="003B6558" w:rsidRPr="005179BC">
        <w:rPr>
          <w:rFonts w:ascii="Arial Narrow" w:hAnsi="Arial Narrow" w:cs="Calibri"/>
          <w:color w:val="000000"/>
          <w:sz w:val="20"/>
          <w:szCs w:val="20"/>
        </w:rPr>
        <w:t>are not guaranteed</w:t>
      </w:r>
      <w:proofErr w:type="gramEnd"/>
      <w:r w:rsidR="003B6558" w:rsidRPr="005179BC">
        <w:rPr>
          <w:rFonts w:ascii="Arial Narrow" w:hAnsi="Arial Narrow" w:cs="Calibri"/>
          <w:color w:val="000000"/>
          <w:sz w:val="20"/>
          <w:szCs w:val="20"/>
        </w:rPr>
        <w:t>, their values change frequently and past performance may not be repeated.</w:t>
      </w:r>
    </w:p>
    <w:sectPr w:rsidR="003B6558" w:rsidRPr="00517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C1"/>
    <w:rsid w:val="00104BDB"/>
    <w:rsid w:val="00142BED"/>
    <w:rsid w:val="001A774D"/>
    <w:rsid w:val="00282244"/>
    <w:rsid w:val="003326E9"/>
    <w:rsid w:val="003B6558"/>
    <w:rsid w:val="004F5F48"/>
    <w:rsid w:val="005179BC"/>
    <w:rsid w:val="00583013"/>
    <w:rsid w:val="00607042"/>
    <w:rsid w:val="00984AAF"/>
    <w:rsid w:val="00A82324"/>
    <w:rsid w:val="00AC0BC4"/>
    <w:rsid w:val="00B47B0B"/>
    <w:rsid w:val="00C6448F"/>
    <w:rsid w:val="00F509F9"/>
    <w:rsid w:val="00F54E49"/>
    <w:rsid w:val="00F90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BFD4"/>
  <w15:chartTrackingRefBased/>
  <w15:docId w15:val="{EF51C60E-52AD-422D-8B37-C374911D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0AC1"/>
    <w:rPr>
      <w:sz w:val="16"/>
      <w:szCs w:val="16"/>
    </w:rPr>
  </w:style>
  <w:style w:type="paragraph" w:styleId="CommentText">
    <w:name w:val="annotation text"/>
    <w:basedOn w:val="Normal"/>
    <w:link w:val="CommentTextChar"/>
    <w:uiPriority w:val="99"/>
    <w:semiHidden/>
    <w:unhideWhenUsed/>
    <w:rsid w:val="00F90AC1"/>
    <w:pPr>
      <w:spacing w:line="240" w:lineRule="auto"/>
    </w:pPr>
    <w:rPr>
      <w:sz w:val="20"/>
      <w:szCs w:val="20"/>
    </w:rPr>
  </w:style>
  <w:style w:type="character" w:customStyle="1" w:styleId="CommentTextChar">
    <w:name w:val="Comment Text Char"/>
    <w:basedOn w:val="DefaultParagraphFont"/>
    <w:link w:val="CommentText"/>
    <w:uiPriority w:val="99"/>
    <w:semiHidden/>
    <w:rsid w:val="00F90AC1"/>
    <w:rPr>
      <w:sz w:val="20"/>
      <w:szCs w:val="20"/>
    </w:rPr>
  </w:style>
  <w:style w:type="paragraph" w:styleId="CommentSubject">
    <w:name w:val="annotation subject"/>
    <w:basedOn w:val="CommentText"/>
    <w:next w:val="CommentText"/>
    <w:link w:val="CommentSubjectChar"/>
    <w:uiPriority w:val="99"/>
    <w:semiHidden/>
    <w:unhideWhenUsed/>
    <w:rsid w:val="00F90AC1"/>
    <w:rPr>
      <w:b/>
      <w:bCs/>
    </w:rPr>
  </w:style>
  <w:style w:type="character" w:customStyle="1" w:styleId="CommentSubjectChar">
    <w:name w:val="Comment Subject Char"/>
    <w:basedOn w:val="CommentTextChar"/>
    <w:link w:val="CommentSubject"/>
    <w:uiPriority w:val="99"/>
    <w:semiHidden/>
    <w:rsid w:val="00F90AC1"/>
    <w:rPr>
      <w:b/>
      <w:bCs/>
      <w:sz w:val="20"/>
      <w:szCs w:val="20"/>
    </w:rPr>
  </w:style>
  <w:style w:type="paragraph" w:styleId="BalloonText">
    <w:name w:val="Balloon Text"/>
    <w:basedOn w:val="Normal"/>
    <w:link w:val="BalloonTextChar"/>
    <w:uiPriority w:val="99"/>
    <w:semiHidden/>
    <w:unhideWhenUsed/>
    <w:rsid w:val="00F90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AC1"/>
    <w:rPr>
      <w:rFonts w:ascii="Segoe UI" w:hAnsi="Segoe UI" w:cs="Segoe UI"/>
      <w:sz w:val="18"/>
      <w:szCs w:val="18"/>
    </w:rPr>
  </w:style>
  <w:style w:type="character" w:styleId="Hyperlink">
    <w:name w:val="Hyperlink"/>
    <w:basedOn w:val="DefaultParagraphFont"/>
    <w:uiPriority w:val="99"/>
    <w:unhideWhenUsed/>
    <w:rsid w:val="00583013"/>
    <w:rPr>
      <w:color w:val="0563C1" w:themeColor="hyperlink"/>
      <w:u w:val="single"/>
    </w:rPr>
  </w:style>
  <w:style w:type="character" w:customStyle="1" w:styleId="UnresolvedMention">
    <w:name w:val="Unresolved Mention"/>
    <w:basedOn w:val="DefaultParagraphFont"/>
    <w:uiPriority w:val="99"/>
    <w:semiHidden/>
    <w:unhideWhenUsed/>
    <w:rsid w:val="00583013"/>
    <w:rPr>
      <w:color w:val="605E5C"/>
      <w:shd w:val="clear" w:color="auto" w:fill="E1DFDD"/>
    </w:rPr>
  </w:style>
  <w:style w:type="character" w:customStyle="1" w:styleId="apple-converted-space">
    <w:name w:val="apple-converted-space"/>
    <w:basedOn w:val="DefaultParagraphFont"/>
    <w:rsid w:val="003B6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823">
      <w:bodyDiv w:val="1"/>
      <w:marLeft w:val="0"/>
      <w:marRight w:val="0"/>
      <w:marTop w:val="0"/>
      <w:marBottom w:val="0"/>
      <w:divBdr>
        <w:top w:val="none" w:sz="0" w:space="0" w:color="auto"/>
        <w:left w:val="none" w:sz="0" w:space="0" w:color="auto"/>
        <w:bottom w:val="none" w:sz="0" w:space="0" w:color="auto"/>
        <w:right w:val="none" w:sz="0" w:space="0" w:color="auto"/>
      </w:divBdr>
    </w:div>
    <w:div w:id="308022646">
      <w:bodyDiv w:val="1"/>
      <w:marLeft w:val="0"/>
      <w:marRight w:val="0"/>
      <w:marTop w:val="0"/>
      <w:marBottom w:val="0"/>
      <w:divBdr>
        <w:top w:val="none" w:sz="0" w:space="0" w:color="auto"/>
        <w:left w:val="none" w:sz="0" w:space="0" w:color="auto"/>
        <w:bottom w:val="none" w:sz="0" w:space="0" w:color="auto"/>
        <w:right w:val="none" w:sz="0" w:space="0" w:color="auto"/>
      </w:divBdr>
    </w:div>
    <w:div w:id="472676525">
      <w:bodyDiv w:val="1"/>
      <w:marLeft w:val="0"/>
      <w:marRight w:val="0"/>
      <w:marTop w:val="0"/>
      <w:marBottom w:val="0"/>
      <w:divBdr>
        <w:top w:val="none" w:sz="0" w:space="0" w:color="auto"/>
        <w:left w:val="none" w:sz="0" w:space="0" w:color="auto"/>
        <w:bottom w:val="none" w:sz="0" w:space="0" w:color="auto"/>
        <w:right w:val="none" w:sz="0" w:space="0" w:color="auto"/>
      </w:divBdr>
    </w:div>
    <w:div w:id="1862889533">
      <w:bodyDiv w:val="1"/>
      <w:marLeft w:val="0"/>
      <w:marRight w:val="0"/>
      <w:marTop w:val="0"/>
      <w:marBottom w:val="0"/>
      <w:divBdr>
        <w:top w:val="none" w:sz="0" w:space="0" w:color="auto"/>
        <w:left w:val="none" w:sz="0" w:space="0" w:color="auto"/>
        <w:bottom w:val="none" w:sz="0" w:space="0" w:color="auto"/>
        <w:right w:val="none" w:sz="0" w:space="0" w:color="auto"/>
      </w:divBdr>
    </w:div>
    <w:div w:id="1988052893">
      <w:bodyDiv w:val="1"/>
      <w:marLeft w:val="0"/>
      <w:marRight w:val="0"/>
      <w:marTop w:val="0"/>
      <w:marBottom w:val="0"/>
      <w:divBdr>
        <w:top w:val="none" w:sz="0" w:space="0" w:color="auto"/>
        <w:left w:val="none" w:sz="0" w:space="0" w:color="auto"/>
        <w:bottom w:val="none" w:sz="0" w:space="0" w:color="auto"/>
        <w:right w:val="none" w:sz="0" w:space="0" w:color="auto"/>
      </w:divBdr>
    </w:div>
    <w:div w:id="204042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o.canoefinancial.com/l/361951/2022-01-21/682c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McCorquodale</dc:creator>
  <cp:keywords/>
  <dc:description/>
  <cp:lastModifiedBy>Mary Lisovska</cp:lastModifiedBy>
  <cp:revision>7</cp:revision>
  <dcterms:created xsi:type="dcterms:W3CDTF">2022-01-21T16:55:00Z</dcterms:created>
  <dcterms:modified xsi:type="dcterms:W3CDTF">2022-01-21T19:53:00Z</dcterms:modified>
</cp:coreProperties>
</file>