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BodyText"/>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BodyText"/>
        <w:bidi w:val="0"/>
        <w:jc w:val="center"/>
        <w:rPr>
          <w:rFonts w:ascii="Times New Roman" w:hAnsi="Times New Roman"/>
        </w:rPr>
      </w:pPr>
      <w:r>
        <w:rPr>
          <w:rFonts w:ascii="Times New Roman" w:hAnsi="Times New Roman"/>
        </w:rPr>
      </w:r>
    </w:p>
    <w:p>
      <w:pPr>
        <w:pStyle w:val="BodyText"/>
        <w:rPr/>
      </w:pPr>
      <w:r>
        <w:rPr/>
      </w:r>
    </w:p>
    <w:p>
      <w:pPr>
        <w:pStyle w:val="BodyText"/>
        <w:rPr/>
      </w:pPr>
      <w:r>
        <w:rPr/>
        <w:t>I, David Laeer, attest that all of the materials which I am submitting for this assignment are my own and were written solely by me. I have cited in this report any sources, other than the class materials, which I used in creating any part of this assignment. Furthermore, this work adheres to the policy on generative artificial intelligence as documented in the instructions.</w:t>
      </w:r>
    </w:p>
    <w:p>
      <w:pPr>
        <w:pStyle w:val="BodyText"/>
        <w:rPr/>
      </w:pPr>
      <w:r>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hanging="0" w:left="0"/>
        <w:jc w:val="left"/>
        <w:rPr/>
      </w:pPr>
      <w:bookmarkStart w:id="0" w:name="__RefHeading___Toc1_1913926204"/>
      <w:bookmarkEnd w:id="0"/>
      <w:r>
        <w:rPr/>
        <w:t>Executive Summary</w:t>
      </w:r>
    </w:p>
    <w:p>
      <w:pPr>
        <w:pStyle w:val="Subtitle"/>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suppressLineNumbers/>
            <w:ind w:hanging="0" w:left="0"/>
            <w:rPr>
              <w:rFonts w:ascii="Calibri" w:hAnsi="Calibri"/>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TOC1"/>
            <w:rPr/>
          </w:pPr>
          <w:hyperlink w:anchor="__RefHeading___Toc5_1913926204">
            <w:r>
              <w:rPr>
                <w:rStyle w:val="IndexLink"/>
              </w:rPr>
              <w:t>Design Proposal and General Approach</w:t>
              <w:tab/>
              <w:t>4</w:t>
            </w:r>
          </w:hyperlink>
        </w:p>
        <w:p>
          <w:pPr>
            <w:pStyle w:val="TOC2"/>
            <w:rPr/>
          </w:pPr>
          <w:hyperlink w:anchor="__RefHeading___Toc7_1913926204">
            <w:r>
              <w:rPr>
                <w:rStyle w:val="IndexLink"/>
              </w:rPr>
              <w:t>1. Memory Safety</w:t>
              <w:tab/>
              <w:t>4</w:t>
            </w:r>
          </w:hyperlink>
        </w:p>
        <w:p>
          <w:pPr>
            <w:pStyle w:val="TOC2"/>
            <w:rPr/>
          </w:pPr>
          <w:hyperlink w:anchor="__RefHeading___Toc330_1913926204">
            <w:r>
              <w:rPr>
                <w:rStyle w:val="IndexLink"/>
              </w:rPr>
              <w:t>2. Exception Handling/Safety</w:t>
              <w:tab/>
              <w:t>5</w:t>
            </w:r>
          </w:hyperlink>
        </w:p>
        <w:p>
          <w:pPr>
            <w:pStyle w:val="TOC2"/>
            <w:rPr/>
          </w:pPr>
          <w:hyperlink w:anchor="__RefHeading___Toc336_1913926204">
            <w:r>
              <w:rPr>
                <w:rStyle w:val="IndexLink"/>
              </w:rPr>
              <w:t>3. Undefined Behavior</w:t>
              <w:tab/>
              <w:t>6</w:t>
            </w:r>
          </w:hyperlink>
        </w:p>
        <w:p>
          <w:pPr>
            <w:pStyle w:val="TOC2"/>
            <w:rPr/>
          </w:pPr>
          <w:hyperlink w:anchor="__RefHeading___Toc115_811789285">
            <w:r>
              <w:rPr>
                <w:rStyle w:val="IndexLink"/>
              </w:rPr>
              <w:t>4. Efficiency</w:t>
              <w:tab/>
              <w:t>6</w:t>
            </w:r>
          </w:hyperlink>
        </w:p>
        <w:p>
          <w:pPr>
            <w:pStyle w:val="TOC2"/>
            <w:rPr/>
          </w:pPr>
          <w:hyperlink w:anchor="__RefHeading___Toc117_811789285">
            <w:r>
              <w:rPr>
                <w:rStyle w:val="IndexLink"/>
              </w:rPr>
              <w:t>5. User-friendly Design</w:t>
              <w:tab/>
              <w:t>7</w:t>
            </w:r>
          </w:hyperlink>
        </w:p>
        <w:p>
          <w:pPr>
            <w:pStyle w:val="TOC2"/>
            <w:rPr/>
          </w:pPr>
          <w:hyperlink w:anchor="__RefHeading___Toc119_811789285">
            <w:r>
              <w:rPr>
                <w:rStyle w:val="IndexLink"/>
              </w:rPr>
              <w:t>6. NFR and FR Compliance</w:t>
              <w:tab/>
              <w:t>7</w:t>
            </w:r>
          </w:hyperlink>
        </w:p>
        <w:p>
          <w:pPr>
            <w:pStyle w:val="TOC3"/>
            <w:tabs>
              <w:tab w:val="clear" w:pos="9071"/>
              <w:tab w:val="right" w:pos="9638" w:leader="dot"/>
            </w:tabs>
            <w:rPr/>
          </w:pPr>
          <w:hyperlink w:anchor="__RefHeading___Toc121_811789285">
            <w:r>
              <w:rPr>
                <w:rStyle w:val="IndexLink"/>
              </w:rPr>
              <w:t>FR Compliance</w:t>
              <w:tab/>
              <w:t>7</w:t>
            </w:r>
          </w:hyperlink>
        </w:p>
        <w:p>
          <w:pPr>
            <w:pStyle w:val="TOC3"/>
            <w:tabs>
              <w:tab w:val="clear" w:pos="9071"/>
              <w:tab w:val="right" w:pos="9638" w:leader="dot"/>
            </w:tabs>
            <w:rPr/>
          </w:pPr>
          <w:hyperlink w:anchor="__RefHeading___Toc123_811789285">
            <w:r>
              <w:rPr>
                <w:rStyle w:val="IndexLink"/>
              </w:rPr>
              <w:t>NFR Compliance</w:t>
              <w:tab/>
              <w:t>7</w:t>
            </w:r>
          </w:hyperlink>
        </w:p>
        <w:p>
          <w:pPr>
            <w:pStyle w:val="TOC2"/>
            <w:rPr/>
          </w:pPr>
          <w:hyperlink w:anchor="__RefHeading___Toc187_409626923">
            <w:r>
              <w:rPr>
                <w:rStyle w:val="IndexLink"/>
              </w:rPr>
              <w:t>7. General Design</w:t>
              <w:tab/>
              <w:t>8</w:t>
            </w:r>
          </w:hyperlink>
          <w:r>
            <w:rPr>
              <w:rStyle w:val="IndexLink"/>
            </w:rPr>
            <w:fldChar w:fldCharType="end"/>
          </w:r>
        </w:p>
      </w:sdtContent>
    </w:sdt>
    <w:p>
      <w:pPr>
        <w:pStyle w:val="BodyText"/>
        <w:bidi w:val="0"/>
        <w:jc w:val="left"/>
        <w:rPr/>
      </w:pPr>
      <w:r>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hanging="0" w:left="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pPr>
      <w:r>
        <w:rPr/>
      </w:r>
    </w:p>
    <w:p>
      <w:pPr>
        <w:pStyle w:val="Heading1"/>
        <w:numPr>
          <w:ilvl w:val="0"/>
          <w:numId w:val="1"/>
        </w:numPr>
        <w:bidi w:val="0"/>
        <w:ind w:hanging="0" w:left="0"/>
        <w:jc w:val="left"/>
        <w:rPr/>
      </w:pPr>
      <w:bookmarkStart w:id="1" w:name="__RefHeading___Toc5_1913926204"/>
      <w:bookmarkEnd w:id="1"/>
      <w:r>
        <w:rPr/>
        <w:t>Design Proposal and General Approach</w:t>
      </w:r>
    </w:p>
    <w:p>
      <w:pPr>
        <w:pStyle w:val="BodyText"/>
        <w:bidi w:val="0"/>
        <w:spacing w:lineRule="auto" w:line="360"/>
        <w:jc w:val="left"/>
        <w:rPr>
          <w:rFonts w:ascii="Calibri" w:hAnsi="Calibri"/>
        </w:rPr>
      </w:pPr>
      <w:r>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BodyText"/>
        <w:numPr>
          <w:ilvl w:val="0"/>
          <w:numId w:val="2"/>
        </w:numPr>
        <w:bidi w:val="0"/>
        <w:spacing w:lineRule="auto" w:line="360"/>
        <w:jc w:val="left"/>
        <w:rPr>
          <w:rFonts w:ascii="Calibri" w:hAnsi="Calibri"/>
        </w:rPr>
      </w:pPr>
      <w:r>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BodyText"/>
        <w:numPr>
          <w:ilvl w:val="0"/>
          <w:numId w:val="2"/>
        </w:numPr>
        <w:bidi w:val="0"/>
        <w:spacing w:lineRule="auto" w:line="360"/>
        <w:jc w:val="left"/>
        <w:rPr>
          <w:rFonts w:ascii="Calibri" w:hAnsi="Calibri"/>
        </w:rPr>
      </w:pPr>
      <w:r>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BodyText"/>
        <w:numPr>
          <w:ilvl w:val="0"/>
          <w:numId w:val="2"/>
        </w:numPr>
        <w:bidi w:val="0"/>
        <w:spacing w:lineRule="auto" w:line="360"/>
        <w:jc w:val="left"/>
        <w:rPr>
          <w:rFonts w:ascii="Calibri" w:hAnsi="Calibri"/>
        </w:rPr>
      </w:pPr>
      <w:r>
        <w:rPr/>
        <w:t>Undefined behavior: Such behavior is undesirable and is to be avoided entirely.</w:t>
      </w:r>
    </w:p>
    <w:p>
      <w:pPr>
        <w:pStyle w:val="BodyText"/>
        <w:numPr>
          <w:ilvl w:val="0"/>
          <w:numId w:val="2"/>
        </w:numPr>
        <w:bidi w:val="0"/>
        <w:spacing w:lineRule="auto" w:line="360"/>
        <w:jc w:val="left"/>
        <w:rPr>
          <w:rFonts w:ascii="Calibri" w:hAnsi="Calibri"/>
        </w:rPr>
      </w:pPr>
      <w:r>
        <w:rPr/>
        <w:t>Efficiency: Algorithms and data structures used in the design of this program should leave no room for wasteful memory usage or computation.</w:t>
      </w:r>
    </w:p>
    <w:p>
      <w:pPr>
        <w:pStyle w:val="BodyText"/>
        <w:numPr>
          <w:ilvl w:val="0"/>
          <w:numId w:val="2"/>
        </w:numPr>
        <w:bidi w:val="0"/>
        <w:spacing w:lineRule="auto" w:line="360"/>
        <w:jc w:val="left"/>
        <w:rPr>
          <w:rFonts w:ascii="Calibri" w:hAnsi="Calibri"/>
        </w:rPr>
      </w:pPr>
      <w:r>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BodyText"/>
        <w:numPr>
          <w:ilvl w:val="0"/>
          <w:numId w:val="2"/>
        </w:numPr>
        <w:bidi w:val="0"/>
        <w:spacing w:lineRule="auto" w:line="360"/>
        <w:jc w:val="left"/>
        <w:rPr>
          <w:rFonts w:ascii="Calibri" w:hAnsi="Calibri"/>
        </w:rPr>
      </w:pPr>
      <w:r>
        <w:rPr/>
        <w:t xml:space="preserve">NFR (Non-Functional Requirement) and FR (Functional Requirement) compliance: The program should comply with all given FRs and NFRs, and should implement additional features when feasible given the existing time constraints. </w:t>
      </w:r>
    </w:p>
    <w:p>
      <w:pPr>
        <w:pStyle w:val="BodyText"/>
        <w:numPr>
          <w:ilvl w:val="0"/>
          <w:numId w:val="2"/>
        </w:numPr>
        <w:bidi w:val="0"/>
        <w:spacing w:lineRule="auto" w:line="360"/>
        <w:jc w:val="left"/>
        <w:rPr>
          <w:rFonts w:ascii="Calibri" w:hAnsi="Calibri"/>
        </w:rPr>
      </w:pPr>
      <w:r>
        <w:rPr/>
        <w:t>Additional Features: The parsing algorithm used by this software has capabilities beyond those outlined in the list of FRs.</w:t>
      </w:r>
    </w:p>
    <w:p>
      <w:pPr>
        <w:pStyle w:val="Heading2"/>
        <w:numPr>
          <w:ilvl w:val="1"/>
          <w:numId w:val="1"/>
        </w:numPr>
        <w:bidi w:val="0"/>
        <w:ind w:hanging="0" w:left="0"/>
        <w:jc w:val="left"/>
        <w:rPr/>
      </w:pPr>
      <w:bookmarkStart w:id="2" w:name="__RefHeading___Toc7_1913926204"/>
      <w:bookmarkEnd w:id="2"/>
      <w:r>
        <w:rPr/>
        <w:t>1. Memory Safety</w:t>
      </w:r>
    </w:p>
    <w:p>
      <w:pPr>
        <w:pStyle w:val="BodyText"/>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Reference"/>
        </w:rPr>
        <w:footnoteReference w:id="2"/>
      </w:r>
      <w:r>
        <w:rPr/>
        <w:t>: non-owning and owning references (pointers)</w:t>
      </w:r>
      <w:r>
        <w:rPr>
          <w:rStyle w:val="FootnoteReference"/>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numPr>
          <w:ilvl w:val="1"/>
          <w:numId w:val="1"/>
        </w:numPr>
        <w:bidi w:val="0"/>
        <w:ind w:hanging="0" w:left="0"/>
        <w:jc w:val="left"/>
        <w:rPr/>
      </w:pPr>
      <w:bookmarkStart w:id="3" w:name="__RefHeading___Toc330_1913926204"/>
      <w:bookmarkEnd w:id="3"/>
      <w:r>
        <w:rPr/>
        <w:t>2. Exception Handling/Safety</w:t>
      </w:r>
    </w:p>
    <w:p>
      <w:pPr>
        <w:pStyle w:val="BodyText"/>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numPr>
          <w:ilvl w:val="1"/>
          <w:numId w:val="1"/>
        </w:numPr>
        <w:bidi w:val="0"/>
        <w:ind w:hanging="0" w:left="0"/>
        <w:jc w:val="left"/>
        <w:rPr/>
      </w:pPr>
      <w:bookmarkStart w:id="4" w:name="__RefHeading___Toc336_1913926204"/>
      <w:bookmarkEnd w:id="4"/>
      <w:r>
        <w:rPr/>
        <w:t>3. Undefined Behavior</w:t>
      </w:r>
    </w:p>
    <w:p>
      <w:pPr>
        <w:pStyle w:val="BodyText"/>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hanging="0" w:left="0"/>
        <w:jc w:val="left"/>
        <w:rPr/>
      </w:pPr>
      <w:bookmarkStart w:id="5" w:name="__RefHeading___Toc115_811789285"/>
      <w:bookmarkEnd w:id="5"/>
      <w:r>
        <w:rPr/>
        <w:t>4. Efficiency</w:t>
      </w:r>
    </w:p>
    <w:p>
      <w:pPr>
        <w:pStyle w:val="BodyText"/>
        <w:bidi w:val="0"/>
        <w:jc w:val="left"/>
        <w:rPr/>
      </w:pPr>
      <w:r>
        <w:rPr/>
        <w:t xml:space="preserve">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 </w:t>
      </w:r>
      <w:r>
        <w:rPr/>
        <w:t>The following data structures are used in the implementation of the software:</w:t>
      </w:r>
    </w:p>
    <w:p>
      <w:pPr>
        <w:pStyle w:val="BodyText"/>
        <w:numPr>
          <w:ilvl w:val="0"/>
          <w:numId w:val="5"/>
        </w:numPr>
        <w:bidi w:val="0"/>
        <w:jc w:val="left"/>
        <w:rPr/>
      </w:pPr>
      <w:r>
        <w:rPr/>
        <w:t xml:space="preserve">Binary Tree: a type of binary tree is used to implement the evaluation of equations in the spreadsheet. Each cell containing an equation holds a pointer to the root node of a binary tree representing the equation in that cell. This eliminates the need for repeated parsing, as well as simplifying the use of references to other cells. </w:t>
      </w:r>
    </w:p>
    <w:p>
      <w:pPr>
        <w:pStyle w:val="BodyText"/>
        <w:numPr>
          <w:ilvl w:val="0"/>
          <w:numId w:val="5"/>
        </w:numPr>
        <w:bidi w:val="0"/>
        <w:jc w:val="left"/>
        <w:rPr/>
      </w:pPr>
      <w:r>
        <w:rPr/>
        <w:t>Stack: stacks are used in the implementation of the shunting yard algorithm, a simple and efficient way of converting equations from infix notation to postfix notation.</w:t>
      </w:r>
    </w:p>
    <w:p>
      <w:pPr>
        <w:pStyle w:val="BodyText"/>
        <w:numPr>
          <w:ilvl w:val="0"/>
          <w:numId w:val="5"/>
        </w:numPr>
        <w:bidi w:val="0"/>
        <w:jc w:val="left"/>
        <w:rPr/>
      </w:pPr>
      <w:r>
        <w:rPr/>
        <w:t>Queue: queues are used in the implementation of the shunting yard algorithm, specifically to reverse the direction of the input stack using “push_back” and “pop_front” operations.</w:t>
      </w:r>
    </w:p>
    <w:p>
      <w:pPr>
        <w:pStyle w:val="BodyText"/>
        <w:numPr>
          <w:ilvl w:val="0"/>
          <w:numId w:val="5"/>
        </w:numPr>
        <w:bidi w:val="0"/>
        <w:jc w:val="left"/>
        <w:rPr/>
      </w:pPr>
      <w:r>
        <w:rPr/>
        <w:t xml:space="preserve">Array: a 2-dimensional array is used to store cell data, since this data structure corresponds most closely to the “natural” way of storing the data. </w:t>
      </w:r>
    </w:p>
    <w:p>
      <w:pPr>
        <w:pStyle w:val="BodyText"/>
        <w:numPr>
          <w:ilvl w:val="0"/>
          <w:numId w:val="5"/>
        </w:numPr>
        <w:bidi w:val="0"/>
        <w:jc w:val="left"/>
        <w:rPr/>
      </w:pPr>
      <w:r>
        <w:rPr/>
        <w:t>Struct: structs are used extensively throughout the program, both to represent nodes in the binary tree, and to store cell data. This aggregate data structure allows the program to follow a somewhat object-oriented design with constructor-destructor patterns, further enhancing memory safety as described in point 1 above.</w:t>
      </w:r>
    </w:p>
    <w:p>
      <w:pPr>
        <w:pStyle w:val="BodyText"/>
        <w:numPr>
          <w:ilvl w:val="0"/>
          <w:numId w:val="5"/>
        </w:numPr>
        <w:bidi w:val="0"/>
        <w:jc w:val="left"/>
        <w:rPr/>
      </w:pPr>
      <w:r>
        <w:rPr/>
        <w:t>Enum: enums are used extensively within struct definitions to represent flags representing the struct’s current state. This allows for variable behavior at runtime based on the state, while representing state in a readable, simple manner.</w:t>
      </w:r>
    </w:p>
    <w:p>
      <w:pPr>
        <w:pStyle w:val="Heading2"/>
        <w:numPr>
          <w:ilvl w:val="1"/>
          <w:numId w:val="1"/>
        </w:numPr>
        <w:bidi w:val="0"/>
        <w:ind w:hanging="0" w:left="0"/>
        <w:jc w:val="left"/>
        <w:rPr/>
      </w:pPr>
      <w:bookmarkStart w:id="6" w:name="__RefHeading___Toc117_811789285"/>
      <w:bookmarkEnd w:id="6"/>
      <w:r>
        <w:rPr/>
        <w:t>5. User-friendly Design</w:t>
      </w:r>
    </w:p>
    <w:p>
      <w:pPr>
        <w:pStyle w:val="BodyText"/>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numPr>
          <w:ilvl w:val="1"/>
          <w:numId w:val="1"/>
        </w:numPr>
        <w:bidi w:val="0"/>
        <w:ind w:hanging="0" w:left="0"/>
        <w:jc w:val="left"/>
        <w:rPr/>
      </w:pPr>
      <w:bookmarkStart w:id="7" w:name="__RefHeading___Toc119_811789285"/>
      <w:bookmarkEnd w:id="7"/>
      <w:r>
        <w:rPr/>
        <w:t>6. NFR and FR Compliance</w:t>
      </w:r>
    </w:p>
    <w:p>
      <w:pPr>
        <w:pStyle w:val="BodyText"/>
        <w:bidi w:val="0"/>
        <w:jc w:val="left"/>
        <w:rPr/>
      </w:pPr>
      <w:r>
        <w:rPr/>
        <w:t>The software complies with all given Functional and Non-Functional Requirements.</w:t>
      </w:r>
    </w:p>
    <w:p>
      <w:pPr>
        <w:pStyle w:val="Heading3"/>
        <w:numPr>
          <w:ilvl w:val="2"/>
          <w:numId w:val="1"/>
        </w:numPr>
        <w:bidi w:val="0"/>
        <w:ind w:hanging="0" w:left="0"/>
        <w:jc w:val="left"/>
        <w:rPr/>
      </w:pPr>
      <w:bookmarkStart w:id="8" w:name="__RefHeading___Toc121_811789285"/>
      <w:bookmarkEnd w:id="8"/>
      <w:r>
        <w:rPr/>
        <w:t>FR Compliance</w:t>
      </w:r>
    </w:p>
    <w:p>
      <w:pPr>
        <w:pStyle w:val="BodyText"/>
        <w:numPr>
          <w:ilvl w:val="0"/>
          <w:numId w:val="4"/>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BodyText"/>
        <w:numPr>
          <w:ilvl w:val="0"/>
          <w:numId w:val="4"/>
        </w:numPr>
        <w:bidi w:val="0"/>
        <w:jc w:val="left"/>
        <w:rPr/>
      </w:pPr>
      <w:r>
        <w:rPr/>
        <w:t>When a user enters a new value, it is interpreted as either text, a number, or a formula: this FR is fulfilled. The software detects which type of input was entered (basic string, number, or formula), and acts accordingly.</w:t>
      </w:r>
    </w:p>
    <w:p>
      <w:pPr>
        <w:pStyle w:val="BodyText"/>
        <w:numPr>
          <w:ilvl w:val="0"/>
          <w:numId w:val="4"/>
        </w:numPr>
        <w:bidi w:val="0"/>
        <w:jc w:val="left"/>
        <w:rPr/>
      </w:pPr>
      <w:r>
        <w:rPr/>
        <w:t xml:space="preserve"> </w:t>
      </w:r>
      <w:r>
        <w:rPr/>
        <w:t xml:space="preserve">When a user navigates to a cell, a textual representation of its value is shown in an editable field. This FR is fulfilled: all cells internally store a string representation of the input they were last assigned. This means formulas and numbers are stored as character strings which are displayed when they enter “edit mode”. </w:t>
      </w:r>
    </w:p>
    <w:p>
      <w:pPr>
        <w:pStyle w:val="BodyText"/>
        <w:numPr>
          <w:ilvl w:val="0"/>
          <w:numId w:val="4"/>
        </w:numPr>
        <w:bidi w:val="0"/>
        <w:jc w:val="left"/>
        <w:rPr/>
      </w:pPr>
      <w:r>
        <w:rPr/>
        <w:t xml:space="preserve">When the value of a cell changes, the displayed contents of all formula cells is updated. This FR is fulfilled: all formula cells are updated when any one cell is modified. </w:t>
      </w:r>
    </w:p>
    <w:p>
      <w:pPr>
        <w:pStyle w:val="Heading3"/>
        <w:numPr>
          <w:ilvl w:val="2"/>
          <w:numId w:val="1"/>
        </w:numPr>
        <w:bidi w:val="0"/>
        <w:ind w:hanging="0" w:left="0"/>
        <w:jc w:val="left"/>
        <w:rPr/>
      </w:pPr>
      <w:bookmarkStart w:id="9" w:name="__RefHeading___Toc123_811789285"/>
      <w:bookmarkEnd w:id="9"/>
      <w:r>
        <w:rPr/>
        <w:t>NFR Compliance</w:t>
      </w:r>
    </w:p>
    <w:p>
      <w:pPr>
        <w:pStyle w:val="BodyText"/>
        <w:numPr>
          <w:ilvl w:val="0"/>
          <w:numId w:val="3"/>
        </w:numPr>
        <w:bidi w:val="0"/>
        <w:jc w:val="left"/>
        <w:rPr/>
      </w:pPr>
      <w:r>
        <w:rPr/>
        <w:t xml:space="preserve">For each algorithm implemented, it should not be possible to achieve a better time complexity: </w:t>
      </w:r>
      <w:r>
        <w:rPr/>
        <w:t>the algorithms used in the implementation of this software (shunting yard algorithm, binary tree-based expression evaluation, queue operations, stack operations) are to be implemented in the most efficient manner possible, according to the manner they were taught in the context of ELEC278.</w:t>
      </w:r>
    </w:p>
    <w:p>
      <w:pPr>
        <w:pStyle w:val="BodyText"/>
        <w:numPr>
          <w:ilvl w:val="0"/>
          <w:numId w:val="3"/>
        </w:numPr>
        <w:bidi w:val="0"/>
        <w:jc w:val="left"/>
        <w:rPr/>
      </w:pPr>
      <w:r>
        <w:rPr/>
        <w:t>Dynamic memory allocation/de-allocation: dynamic memory is to be freed when no longer need, such that no memory leaks stem from those parts of the program that were implemented. Memory leaks are detected with a tool such as Valgrind MemCheck.</w:t>
      </w:r>
    </w:p>
    <w:p>
      <w:pPr>
        <w:pStyle w:val="BodyText"/>
        <w:numPr>
          <w:ilvl w:val="0"/>
          <w:numId w:val="3"/>
        </w:numPr>
        <w:bidi w:val="0"/>
        <w:jc w:val="left"/>
        <w:rPr/>
      </w:pPr>
      <w:r>
        <w:rPr/>
        <w:t>Comments: each function and structure definition is accompanied by a comment block explaining its purpose and possible side effects / failure modes.</w:t>
      </w:r>
    </w:p>
    <w:p>
      <w:pPr>
        <w:pStyle w:val="Heading1"/>
        <w:numPr>
          <w:ilvl w:val="0"/>
          <w:numId w:val="1"/>
        </w:numPr>
        <w:ind w:hanging="0" w:left="0"/>
        <w:rPr/>
      </w:pPr>
      <w:r>
        <w:rPr/>
        <w:t>Implementation</w:t>
      </w:r>
    </w:p>
    <w:p>
      <w:pPr>
        <w:pStyle w:val="BodyText"/>
        <w:rPr/>
      </w:pPr>
      <w:r>
        <w:rPr/>
        <w:t xml:space="preserve">The general layout of this program is as follows: a 7x11 2-dimensional array of “cell” data structures is used to store all data pertaining to the cells in the spreadsheet. Equations are represented as binary trees, where each node consists of a “treeNode” struct. The shunting yard algorithm is used to convert tokenized strings from infix to postfix notation, which can then be used to construct the corresponding binary tree. </w:t>
      </w:r>
    </w:p>
    <w:p>
      <w:pPr>
        <w:pStyle w:val="Heading2"/>
        <w:numPr>
          <w:ilvl w:val="1"/>
          <w:numId w:val="1"/>
        </w:numPr>
        <w:ind w:hanging="0" w:left="0"/>
        <w:rPr/>
      </w:pPr>
      <w:r>
        <w:rPr/>
        <w:t>The Cell Array</w:t>
      </w:r>
    </w:p>
    <w:p>
      <w:pPr>
        <w:pStyle w:val="BodyText"/>
        <w:rPr/>
      </w:pPr>
      <w:r>
        <w:rPr/>
        <w:t>Spreadsheet data is represented internally as a 2-dimensional, globally allocated array of “cell” structures. The definition of struct cell follows below.</w:t>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typedef struct </w:t>
      </w:r>
      <w:r>
        <w:rPr>
          <w:rFonts w:ascii="JetBrains Mono" w:hAnsi="JetBrains Mono"/>
          <w:b w:val="false"/>
          <w:i w:val="false"/>
          <w:color w:val="B5B6E3"/>
          <w:sz w:val="20"/>
        </w:rPr>
        <w:t xml:space="preserve">cell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9373A5"/>
          <w:sz w:val="20"/>
        </w:rPr>
        <w:t>numval</w:t>
      </w:r>
      <w:r>
        <w:rPr>
          <w:rFonts w:ascii="JetBrains Mono" w:hAnsi="JetBrains Mono"/>
          <w:b w:val="false"/>
          <w:i w:val="false"/>
          <w:color w:val="BCBEC4"/>
          <w:sz w:val="20"/>
        </w:rPr>
        <w:t>;</w:t>
        <w:br/>
        <w:t xml:space="preserve">    </w:t>
      </w:r>
      <w:r>
        <w:rPr>
          <w:rFonts w:ascii="JetBrains Mono" w:hAnsi="JetBrains Mono"/>
          <w:b w:val="false"/>
          <w:i w:val="false"/>
          <w:color w:val="B9BCD1"/>
          <w:sz w:val="20"/>
        </w:rPr>
        <w:t xml:space="preserve">treeNode </w:t>
      </w:r>
      <w:r>
        <w:rPr>
          <w:rFonts w:ascii="JetBrains Mono" w:hAnsi="JetBrains Mono"/>
          <w:b w:val="false"/>
          <w:i w:val="false"/>
          <w:color w:val="BCBEC4"/>
          <w:sz w:val="20"/>
        </w:rPr>
        <w:t>*</w:t>
      </w:r>
      <w:r>
        <w:rPr>
          <w:rFonts w:ascii="JetBrains Mono" w:hAnsi="JetBrains Mono"/>
          <w:b w:val="false"/>
          <w:i w:val="false"/>
          <w:color w:val="9373A5"/>
          <w:sz w:val="20"/>
        </w:rPr>
        <w:t>expression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char </w:t>
      </w:r>
      <w:r>
        <w:rPr>
          <w:rFonts w:ascii="JetBrains Mono" w:hAnsi="JetBrains Mono"/>
          <w:b w:val="false"/>
          <w:i w:val="false"/>
          <w:color w:val="BCBEC4"/>
          <w:sz w:val="20"/>
        </w:rPr>
        <w:t>*</w:t>
      </w:r>
      <w:r>
        <w:rPr>
          <w:rFonts w:ascii="JetBrains Mono" w:hAnsi="JetBrains Mono"/>
          <w:b w:val="false"/>
          <w:i w:val="false"/>
          <w:color w:val="9373A5"/>
          <w:sz w:val="20"/>
        </w:rPr>
        <w:t>strval</w:t>
      </w:r>
      <w:r>
        <w:rPr>
          <w:rFonts w:ascii="JetBrains Mono" w:hAnsi="JetBrains Mono"/>
          <w:b w:val="false"/>
          <w:i w:val="false"/>
          <w:color w:val="BCBEC4"/>
          <w:sz w:val="20"/>
        </w:rPr>
        <w:t>;</w:t>
        <w:br/>
        <w:t xml:space="preserve">    </w:t>
      </w:r>
      <w:r>
        <w:rPr>
          <w:rFonts w:ascii="JetBrains Mono" w:hAnsi="JetBrains Mono"/>
          <w:b w:val="false"/>
          <w:i w:val="false"/>
          <w:color w:val="B9BCD1"/>
          <w:sz w:val="20"/>
        </w:rPr>
        <w:t xml:space="preserve">CELL_TYPE </w:t>
      </w:r>
      <w:r>
        <w:rPr>
          <w:rFonts w:ascii="JetBrains Mono" w:hAnsi="JetBrains Mono"/>
          <w:b w:val="false"/>
          <w:i w:val="false"/>
          <w:color w:val="9373A5"/>
          <w:sz w:val="20"/>
        </w:rPr>
        <w:t>type</w:t>
      </w:r>
      <w:r>
        <w:rPr>
          <w:rFonts w:ascii="JetBrains Mono" w:hAnsi="JetBrains Mono"/>
          <w:b w:val="false"/>
          <w:i w:val="false"/>
          <w:color w:val="BCBEC4"/>
          <w:sz w:val="20"/>
        </w:rPr>
        <w:t>;</w:t>
        <w:br/>
        <w:t xml:space="preserve">    </w:t>
      </w:r>
      <w:r>
        <w:rPr>
          <w:rFonts w:ascii="JetBrains Mono" w:hAnsi="JetBrains Mono"/>
          <w:b w:val="false"/>
          <w:i w:val="false"/>
          <w:color w:val="908B25"/>
          <w:sz w:val="20"/>
        </w:rPr>
        <w:t xml:space="preserve">bool </w:t>
      </w:r>
      <w:r>
        <w:rPr>
          <w:rFonts w:ascii="JetBrains Mono" w:hAnsi="JetBrains Mono"/>
          <w:b w:val="false"/>
          <w:i w:val="false"/>
          <w:color w:val="9373A5"/>
          <w:sz w:val="20"/>
        </w:rPr>
        <w:t>isValid</w:t>
      </w:r>
      <w:r>
        <w:rPr>
          <w:rFonts w:ascii="JetBrains Mono" w:hAnsi="JetBrains Mono"/>
          <w:b w:val="false"/>
          <w:i w:val="false"/>
          <w:color w:val="BCBEC4"/>
          <w:sz w:val="20"/>
        </w:rPr>
        <w:t>;</w:t>
        <w:br/>
        <w:t xml:space="preserve">} </w:t>
      </w:r>
      <w:r>
        <w:rPr>
          <w:rFonts w:ascii="JetBrains Mono" w:hAnsi="JetBrains Mono"/>
          <w:b w:val="false"/>
          <w:i w:val="false"/>
          <w:color w:val="B9BCD1"/>
          <w:sz w:val="20"/>
        </w:rPr>
        <w:t>cell</w:t>
      </w:r>
      <w:r>
        <w:rPr>
          <w:rFonts w:ascii="JetBrains Mono" w:hAnsi="JetBrains Mono"/>
          <w:b w:val="false"/>
          <w:i w:val="false"/>
          <w:color w:val="BCBEC4"/>
          <w:sz w:val="20"/>
        </w:rPr>
        <w:t>;</w:t>
      </w:r>
    </w:p>
    <w:p>
      <w:pPr>
        <w:pStyle w:val="Normal"/>
        <w:rPr/>
      </w:pPr>
      <w:r>
        <w:rPr/>
      </w:r>
    </w:p>
    <w:p>
      <w:pPr>
        <w:pStyle w:val="BodyText"/>
        <w:rPr/>
      </w:pPr>
      <w:r>
        <w:rPr/>
        <w:t>The CELL_TYPE enumerated variable is a flag holding one of “NONE”, “STR”, “EQN”, “NUM”, indicating the type of data being stored in the cell (the naming convention of which is fairly self-explanatory). This helps tie back into the concept of ownership, where a non-corrupted cell’s strval pointer is guaranteed to refer to valid memory if its type variable holds any value but “NONE”. The cell data structure is initialized with a constructor “init_cell(ROW row, COL col)”. This constructor allocates “MAXLEN” (256) bytes to the strval pointer using calloc, setting the type to STR, isValid to false, and expression to NULL. Memory allocated to strval is freed by the cell’s destructor “clear_cell(ROW row, COL col)”.</w:t>
      </w:r>
    </w:p>
    <w:p>
      <w:pPr>
        <w:pStyle w:val="BodyText"/>
        <w:bidi w:val="0"/>
        <w:spacing w:before="0" w:after="140"/>
        <w:jc w:val="left"/>
        <w:rPr/>
      </w:pPr>
      <w:r>
        <w:rPr/>
      </w:r>
    </w:p>
    <w:p>
      <w:pPr>
        <w:pStyle w:val="BodyText"/>
        <w:bidi w:val="0"/>
        <w:spacing w:before="0" w:after="140"/>
        <w:jc w:val="left"/>
        <w:rPr/>
      </w:pPr>
      <w:r>
        <w:rPr/>
      </w:r>
    </w:p>
    <w:p>
      <w:pPr>
        <w:pStyle w:val="BodyText"/>
        <w:bidi w:val="0"/>
        <w:spacing w:before="0" w:after="140"/>
        <w:jc w:val="lef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Text"/>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rFonts w:ascii="Calibri" w:hAnsi="Calibri"/>
      <w:b/>
      <w:bCs/>
      <w:sz w:val="36"/>
      <w:szCs w:val="36"/>
    </w:rPr>
  </w:style>
  <w:style w:type="paragraph" w:styleId="Heading2">
    <w:name w:val="Heading 2"/>
    <w:basedOn w:val="Heading"/>
    <w:next w:val="BodyText"/>
    <w:qFormat/>
    <w:pPr>
      <w:numPr>
        <w:ilvl w:val="1"/>
        <w:numId w:val="1"/>
      </w:numPr>
      <w:spacing w:before="200" w:after="120"/>
      <w:outlineLvl w:val="1"/>
    </w:pPr>
    <w:rPr>
      <w:rFonts w:ascii="Calibri" w:hAnsi="Calibri"/>
      <w:b/>
      <w:bCs/>
      <w:sz w:val="32"/>
      <w:szCs w:val="32"/>
    </w:rPr>
  </w:style>
  <w:style w:type="paragraph" w:styleId="Heading3">
    <w:name w:val="Heading 3"/>
    <w:basedOn w:val="Heading"/>
    <w:next w:val="BodyText"/>
    <w:qFormat/>
    <w:pPr>
      <w:numPr>
        <w:ilvl w:val="2"/>
        <w:numId w:val="1"/>
      </w:numPr>
      <w:spacing w:before="140" w:after="120"/>
      <w:outlineLvl w:val="2"/>
    </w:pPr>
    <w:rPr>
      <w:rFonts w:ascii="Calibri" w:hAnsi="Calibri"/>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pPr>
    <w:rPr>
      <w:rFonts w:ascii="Calibri" w:hAnsi="Calibri"/>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rFonts w:ascii="Calibri" w:hAnsi="Calibri"/>
      <w:b/>
      <w:bCs/>
      <w:sz w:val="56"/>
      <w:szCs w:val="56"/>
    </w:rPr>
  </w:style>
  <w:style w:type="paragraph" w:styleId="Subtitle">
    <w:name w:val="Subtitle"/>
    <w:basedOn w:val="Heading"/>
    <w:next w:val="BodyText"/>
    <w:qFormat/>
    <w:pPr>
      <w:spacing w:before="60" w:after="120"/>
      <w:jc w:val="center"/>
    </w:pPr>
    <w:rPr>
      <w:rFonts w:ascii="Calibri" w:hAnsi="Calibri"/>
      <w:sz w:val="36"/>
      <w:szCs w:val="3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rFonts w:ascii="Calibri" w:hAnsi="Calibri"/>
      <w:b/>
      <w:bCs/>
      <w:sz w:val="32"/>
      <w:szCs w:val="32"/>
    </w:rPr>
  </w:style>
  <w:style w:type="paragraph" w:styleId="TOC1">
    <w:name w:val="TOC 1"/>
    <w:basedOn w:val="Index"/>
    <w:pPr>
      <w:tabs>
        <w:tab w:val="clear" w:pos="709"/>
        <w:tab w:val="right" w:pos="9638" w:leader="dot"/>
      </w:tabs>
      <w:ind w:hanging="0" w:left="0"/>
    </w:pPr>
    <w:rPr>
      <w:rFonts w:ascii="Calibri" w:hAnsi="Calibri"/>
    </w:rPr>
  </w:style>
  <w:style w:type="paragraph" w:styleId="TOC2">
    <w:name w:val="TOC 2"/>
    <w:basedOn w:val="Index"/>
    <w:pPr>
      <w:tabs>
        <w:tab w:val="clear" w:pos="709"/>
        <w:tab w:val="right" w:pos="9638" w:leader="dot"/>
      </w:tabs>
      <w:ind w:hanging="0" w:left="283"/>
    </w:pPr>
    <w:rPr>
      <w:rFonts w:ascii="Calibri" w:hAnsi="Calibri"/>
    </w:rPr>
  </w:style>
  <w:style w:type="paragraph" w:styleId="FootnoteText">
    <w:name w:val="Footnote Text"/>
    <w:basedOn w:val="Normal"/>
    <w:pPr>
      <w:suppressLineNumbers/>
      <w:ind w:hanging="340" w:left="340"/>
    </w:pPr>
    <w:rPr>
      <w:rFonts w:ascii="Calibri" w:hAnsi="Calibri"/>
      <w:sz w:val="20"/>
      <w:szCs w:val="20"/>
    </w:rPr>
  </w:style>
  <w:style w:type="paragraph" w:styleId="TOC3">
    <w:name w:val="TOC 3"/>
    <w:basedOn w:val="Index"/>
    <w:pPr>
      <w:tabs>
        <w:tab w:val="clear" w:pos="709"/>
        <w:tab w:val="right" w:pos="9071" w:leader="dot"/>
      </w:tabs>
      <w:ind w:hanging="0" w:left="567"/>
    </w:pPr>
    <w:rPr>
      <w:rFonts w:ascii="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1000</TotalTime>
  <Application>LibreOffice/7.6.2.1$Linux_X86_64 LibreOffice_project/60$Build-1</Application>
  <AppVersion>15.0000</AppVersion>
  <Pages>8</Pages>
  <Words>2191</Words>
  <Characters>11596</Characters>
  <CharactersWithSpaces>13742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2023-12-05T17:32:49Z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