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video: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https://youtu.be/BelwDjwAlg8</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ubicación: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https://www.google.cl/maps/search/the+grand+palace+canc%C3%BAn/@21.0662359,-86.8680412,12z/data=!3m1!4b1</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Descripción: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El máximo nivel del lujo lo encontrarás sólo aquí, imagina días llenos de descanso, combinando elegancia, tecnología y comodidad, donde todos tus caprichos serán atendidos al momento, terminando siempre en noches llenas de magia. Ahora imagina que todo esto sucede en una playa que parece haber salido de una postal. No lo sigas imaginando, estás en The Grand at Moon Palace Cancun.</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Trasciende sobre los límites y alcanza un nuevo nivel de comodidad. Esta es la esencia que define nuestras lujosas habitaciones, suites y villas. Disfruta del Wi-Fi incluido, llamadas ilimitadas, Smart TV, una botella de vino de bienvenida, Jacuzzi doble y servicio a tu habitación las 24 horas. Porque cuando entras a tu habitación, llegas a un mundo de posibilidades.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Otro día en el paraíso también puede significar hasta $1,500 USD. Hospédate de 5 a 8 noches y añade más magia a tu estadía con $1,500 USD para usar en relajantes tratamientos de spa, juegos de golf, tours exóticos, cenas románticas, buceo, nado con delfines y más. Recibe más Resort Credit al hospedarte más tiempo, aunque el Resort Crdit también se encuentra disponible para estadías más cortas. Aprovecha al máximo la experiencia en The Grand con tu Resort Credit y descubre un nuevo nivel de diversión.</w:t>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C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