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https://www.youtube.com/watch?v=qXUMSdKuQqg</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https://goo.gl/maps/TRS9sJgem1y</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Combinando el encanto de la cultura Cubana con las ventajas de lujo, el servicio excepcional y la increíble atención al detalle, el Royalton Cayo Hicacos ofrece a sus huéspedes una experiencia vacacional inolvidable sólo para adultos.  Pintorescas instalaciones, cálido personal, cultura insuperable y cocina de categoría mundial, son los componentes ideales para crear una inolvidable experiencia All-In Luxury®.  Diseñado para los viajeros más exigentes, este hotel ofrece el concepto Diamond Club™ con un nivel superior de servicio, una tranquila piscina, zona de playa exclusiva y restaurante para huéspedes mayores de 18 años exclusivamente.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En Royalton Hicacos, un pintoresco resort todo incluido, los huéspedes disfrutan de una auténtica experiencia de vacaciones frente al mar, con paradisiacas cabañas con techo de paja, variados puentes, pequeñas fuentes y la hermosa vegetación tropical de sus alrededores. Este lujoso resort, sólo para adultos, está por encima de otros hoteles en Varadero por sus exclusivas instalaciones todo incluido diseñado para crear un ambiente perfecto para unas vacaciones inolvidables.</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C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