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Video pendiente (no publicar)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https://goo.gl/maps/xf7euDHrsqT2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cercano Starfish Las Palmas ofrece una combinación única de arquitectura fresca de concepto abierto con la vitalidad de la ciudad y en las proximidades de la inmaculada playa de Varadero.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