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Calibri" w:cs="Calibri" w:eastAsia="Calibri" w:hAnsi="Calibri"/>
          <w:b/>
          <w:bCs/>
          <w:color w:val="2E5E8C"/>
          <w:spacing w:val="40"/>
          <w:sz w:val="22"/>
          <w:szCs w:val="22"/>
        </w:rPr>
        <w:t xml:space="preserve">INNOVATION PORTFOLIO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Mnemox — bob-llmwiki-knowledge-manager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Opportunity Spaces · Scored Candidates · Concept Briefs · Three-Horizon Roadmap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MECE-structured innovation scan — three independent evidence streams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Snapshot audited: 2026-07-19 · Prepared for David Leconte</w:t>
      </w:r>
    </w:p>
    <w:p>
      <w:pPr>
        <w:spacing w:before="3000"/>
        <w:jc w:val="center"/>
      </w:pPr>
      <w:r>
        <w:rPr>
          <w:rFonts w:ascii="Calibri" w:cs="Calibri" w:eastAsia="Calibri" w:hAnsi="Calibri"/>
          <w:i/>
          <w:iCs/>
          <w:color w:val="999999"/>
          <w:sz w:val="17"/>
          <w:szCs w:val="17"/>
        </w:rPr>
        <w:t xml:space="preserve">Confidential working document — findings cite file:line evidence against the audited snapshot</w:t>
      </w:r>
    </w:p>
    <w:p/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1.1 Governing thought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2025–2026 evolution of the field has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validated Mnemox's architectural bets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files-as-memory received first-party endorsement (Anthropic's memory tool and Agent Skills, the AGENTS.md standard), and graph-plus-PageRank retrieval received academic validation (HippoRAG 2, ICML 2025). Meanwhile,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no major vendor ships what Mnemox is structurally positioned to offer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: git-native, review-gated, provenance-disciplined, retrievable team memory. Every competitor forces a choice between auto-captured memory that is per-user and unauditable (Claude Code MEMORY.md, Cursor Memories, Windsurf local files) and shared rules that are static and lifeless (Copilot instructions, Amazon Q rules). The innovation portfolio therefore does not need to change Mnemox's direction; it needs to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finish the loop the field has now mapped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reconciliation at write time, consolidation between sessions, learning from failure, trust tiers against poisoning — and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distribute the result everywhere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through an optional MCP surface and the watsonx ecosystem.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1.2 Situation — Complication — Question — Answer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Situation.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Mnemox holds differentiated assets: a schema-disciplined 110-document KB, a validation harness with retraction discipline that is rare in the industry, a pure-Python knowledge graph, dual embedding backends, a delegation pipeline, and a deep CI. The counter-audit established that several of these assets are built but unwired.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Complication.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The field is moving fast around four capabilities Mnemox lacks — failure-derived memory (Google ReasoningBank), write-time conflict reconciliation (Mem0's ADD/UPDATE/DELETE/NOOP), temporal supersession (Zep/Graphiti), and memory-poisoning defense (OWASP ASI06, MINJA &gt;95% attack success) — while enterprise buying criteria consolidate around exactly the properties git provides: audit trails, review gates, rollback, residency. Separately, ETH Zurich's AGENTbench showed naive context files can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reduce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agent success by 3% while raising cost 20%+: unvalidated memory is now a documented liability, which makes Mnemox's measurement discipline a marketable moat rather than an internal virtue.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Question.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Which innovations add the most value, in what order, and how should each be validated?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Answer.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 24-candidate portfolio organized into six MECE opportunity spaces, sequenced in three horizons: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H1 (weeks)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ship the MCP server surface, the compact cold-start index, the Docling ingestion bridge, the retrieval-excellence pack, and the trust/quarantine tier, all of which are S/M-effort extensions of existing assets;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H2 (1–3 months)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the memory-lifecycle intelligence layer (sleep-time consolidation, write-time reconciliation, temporal supersession, pitfalls memory, golden-set CI);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H3 (frontier)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self-improving retrieval, lakehouse KB analytics, enterprise vector backends, Orchestrate publication, and standards-track portable memory. Three counter-audit remediations (retrieval wiring, index deletion lifecycle, review-gated writes) are hard prerequisites and are treated as such throughout.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1.3 The five headline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Mnemox MCP Server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expose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kb_search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get_note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traverse_graph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propose_memory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(write-gated) as an MCP server. S-effort: every capability is already a JSON-emitting function behind one facade, and the team already operates MCP servers (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.bob/mcp.json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). It makes the KB consumable by Claude Code, Cursor, and every MCP client — the git repo itself becomes the cross-assistant memory broker that OpenMemory-class products simulate with a SaaS vector store — and it can ship semantic retrieval on day one, quietly closing the audit's flagship wiring gap in the new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Compact Cold-Start Index ("3k-token boot")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the audit measured a ~12–13k-token fixed cold-start. Per-document ≤200-character descriptions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already exist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kb-graph.json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; generating a compact, llms.txt-grammar index from them is nearly free, with RAPTOR-style lazy cluster summaries as tier two. Directly monetizable in Bobcoin terms and provable by the existing validation harness.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Docling Ingestion Bridge ("documents in, governed knowledge out")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five working Docling scripts already sit in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.bob/skills/ibm-docling/scripts/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; wiring them to the KB templates, frontmatter tooling, and near-duplicate check turns a markdown-only KB into a document-ingesting one. The strongest capability-per-line-of-new-code jump available, and maximally IBM-native: OpenRAG stops at retrieval — nobody ships document→curated-governed-note with page-level provenance.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Memory-Lifecycle Intelligence ("the Gardener")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a sleep-time consolidation agent implementing Karpathy's lint operation: Mem0-style ADD/UPDATE/DELETE/NOOP reconciliation at write time, near-duplicate merging (the all-pairs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doc_sim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map is computed today and discarded), episodic→semantic distillation of the 65-document research tier, temporal supersession frontmatter, and salience decay. This is the part of the LLM-wiki pattern that separates compounding wikis from rotting ones, and the field's consensus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Trust-Tiered Memory ("the only memory layer whose write path is a security control")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provenance frontmatter, a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quarantined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status excluded from retrieval promotion, poisoning null-tests in the validation harness, and PR-reviewed memory writes. Memory poisoning is OWASP ASI06 with demonstrated &gt;95% injection success in academic attacks; no shipping coding-assistant memory carries provenance or write validation. For IBM's FedRAMP/HIPAA/PCI-positioned Bob, this is the default-win enterprise claim.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1.4 Portfolio at a glance</w:t>
      </w:r>
    </w:p>
    <w:tbl>
      <w:tblPr>
        <w:tblW w:type="dxa" w:w="9026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2792"/>
        <w:gridCol w:w="1000"/>
        <w:gridCol w:w="1047"/>
        <w:gridCol w:w="4187"/>
      </w:tblGrid>
      <w:tr>
        <w:trPr>
          <w:tblHeader/>
        </w:trPr>
        <w:tc>
          <w:tcPr>
            <w:tcW w:type="dxa" w:w="279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Horizon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Candidates</w:t>
            </w:r>
          </w:p>
        </w:tc>
        <w:tc>
          <w:tcPr>
            <w:tcW w:type="dxa" w:w="10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Effort envelope</w:t>
            </w:r>
          </w:p>
        </w:tc>
        <w:tc>
          <w:tcPr>
            <w:tcW w:type="dxa" w:w="418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 — Ship on existing assets (weeks)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1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S–M each</w:t>
            </w:r>
          </w:p>
        </w:tc>
        <w:tc>
          <w:tcPr>
            <w:tcW w:type="dxa" w:w="4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Distribution, cold-start economics, ingestion, retrieval quality, trust floor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 — Lifecycle intelligence (1–3 months)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1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M–L each</w:t>
            </w:r>
          </w:p>
        </w:tc>
        <w:tc>
          <w:tcPr>
            <w:tcW w:type="dxa" w:w="4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Consolidation, reconciliation, temporal knowledge, failure memory, evaluation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H3 — Frontier bets (3–6+ months)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L–XL each</w:t>
            </w:r>
          </w:p>
        </w:tc>
        <w:tc>
          <w:tcPr>
            <w:tcW w:type="dxa" w:w="4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Self-improving retrieval, lakehouse analytics, enterprise backends, standards, federation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Methodology and Evidence Base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Three independent streams were executed in parallel: (1) a state-of-the-art research sweep across agent-memory systems (Letta/MemGPT, Mem0, Zep/Graphiti, LangMem, A-Mem, HippoRAG 1/2, MemoryBank, ReasoningBank, Memp), advanced RAG patterns (GraphRAG/LazyGraphRAG, RAPTOR, Self-RAG/CRAG, contextual retrieval, hybrid fusion), and token-economics practice; (2) a competitive and ecosystem scan covering the memory features of every major coding assistant, the MCP memory-server landscape, the AGENTS.md/llms.txt standardization picture, and the watsonx integration surfaces (watsonx.data/Milvus, OpenSearch+JVector, Docling, OpenRAG, Granite, Orchestrate); (3) a codebase feasibility pass mapping twelve candidate directions to existing modules, with effort classes and hidden enablers/blockers identified at file level. All external claims carry source URLs (Appendix B); all feasibility claims carry repository paths. Candidates were scored 1–5 on four criteria — client value, competitive differentiation, feasibility (asset leverage), and strategic fit with the chosen posture — and assembled into a MECE portfolio by value-creation mechanism.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MECE opportunity-space decomposition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(by mechanism, so no candidate belongs to two spaces):</w:t>
      </w:r>
    </w:p>
    <w:tbl>
      <w:tblPr>
        <w:tblW w:type="dxa" w:w="9026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2741"/>
        <w:gridCol w:w="2273"/>
        <w:gridCol w:w="4012"/>
      </w:tblGrid>
      <w:tr>
        <w:trPr>
          <w:tblHeader/>
        </w:trPr>
        <w:tc>
          <w:tcPr>
            <w:tcW w:type="dxa" w:w="274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  <w:tc>
          <w:tcPr>
            <w:tcW w:type="dxa" w:w="227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40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 it answers</w:t>
            </w:r>
          </w:p>
        </w:tc>
      </w:tr>
      <w:tr>
        <w:tc>
          <w:tcPr>
            <w:tcW w:type="dxa" w:w="2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OS-1 Retrieval &amp; context excellence</w:t>
            </w:r>
          </w:p>
        </w:tc>
        <w:tc>
          <w:tcPr>
            <w:tcW w:type="dxa" w:w="2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Improve the read path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Does the right knowledge reach the model at minimal token cost?</w:t>
            </w:r>
          </w:p>
        </w:tc>
      </w:tr>
      <w:tr>
        <w:tc>
          <w:tcPr>
            <w:tcW w:type="dxa" w:w="2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OS-2 Memory-lifecycle intelligence</w:t>
            </w:r>
          </w:p>
        </w:tc>
        <w:tc>
          <w:tcPr>
            <w:tcW w:type="dxa" w:w="2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Improve the store itself over time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Does the KB get better, not just bigger?</w:t>
            </w:r>
          </w:p>
        </w:tc>
      </w:tr>
      <w:tr>
        <w:tc>
          <w:tcPr>
            <w:tcW w:type="dxa" w:w="2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OS-3 Learning from experience</w:t>
            </w:r>
          </w:p>
        </w:tc>
        <w:tc>
          <w:tcPr>
            <w:tcW w:type="dxa" w:w="2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Acquire new classes of knowledge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Does the system learn from what happened, including failure?</w:t>
            </w:r>
          </w:p>
        </w:tc>
      </w:tr>
      <w:tr>
        <w:tc>
          <w:tcPr>
            <w:tcW w:type="dxa" w:w="2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OS-4 Trust &amp; memory safety</w:t>
            </w:r>
          </w:p>
        </w:tc>
        <w:tc>
          <w:tcPr>
            <w:tcW w:type="dxa" w:w="2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Protect the write path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 the team trust what memory says?</w:t>
            </w:r>
          </w:p>
        </w:tc>
      </w:tr>
      <w:tr>
        <w:tc>
          <w:tcPr>
            <w:tcW w:type="dxa" w:w="2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OS-5 Reach &amp; interoperability</w:t>
            </w:r>
          </w:p>
        </w:tc>
        <w:tc>
          <w:tcPr>
            <w:tcW w:type="dxa" w:w="2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Distribute the capability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 every assistant and standard consume it?</w:t>
            </w:r>
          </w:p>
        </w:tc>
      </w:tr>
      <w:tr>
        <w:tc>
          <w:tcPr>
            <w:tcW w:type="dxa" w:w="2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OS-6 Enterprise scale &amp; watsonx ecosystem</w:t>
            </w:r>
          </w:p>
        </w:tc>
        <w:tc>
          <w:tcPr>
            <w:tcW w:type="dxa" w:w="2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Scale and monetize in IBM's stack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Does it win enterprise deals and challenge juries?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Strategic Context: Where the Field Landed, Where Mnemox Stands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3.1 Convergent validation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Three of Mnemox's foundational choices are now industry- or academically-endorsed. Plain files as memory: Anthropic ships a file-based memory tool and folder-based Agent Skills with progressive disclosure; AGENTS.md became the de facto cross-vendor standard. Graph-augmented retrieval: HippoRAG 2 (ICML 2025) demonstrates that Personalized PageRank over a knowledge graph is a state-of-the-art memory substrate — direct validation of Mnemox's graph layer, with a specific upgrade path (query-seeded PPR instead of global PageRank). Curated-KB-over-RAG: the "Claude Code doesn't index" debate resolved toward hybrid — semantic index for discovery, agentic reading for precision — which is precisely the cost-curve position a curated wiki occupies.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3.2 The competitive white space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cross-vendor pattern is a two-quadrant trap: git-versioned static rules (shareable, no lifecycle, no retrieval) versus SaaS/local auto-memories (lifecycle, but unshareable, unauditable, locked-in). Windsurf's own documentation tells users to move durable knowledge out of its memories into version control. Devin's approval-gated Knowledge is the only governance gesture among major vendors, and it is SaaS-resident. Nobody offers: memory rollback ("when did the agent learn the wrong thing?" — git bisect gives it for free), PR-reviewable memory diffs, poisoning-hardened write paths, or knowledge-utilization analytics. Standardization of portable agent memory is embryonic (a Merkle-DAG proposal on arXiv, May 2026; a W3C community group proposed 2026-05-18 and not yet launched) — git+markdown+frontmatter is arguably the most portable memory format shipping today, and Mnemox can claim the standards-track early-mover position with an exporter.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3.3 The gaps that matter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Against the research frontier, Mnemox lacks four capabilities, all cheap in a git/markdown substrate: failure-derived memory (ReasoningBank's pitfall distillation — the highest-leverage neglected memory class), write-time reconciliation (Mem0's four-operation merge loop), temporal supersession (Graphiti's bi-temporal invalidation — git already provides the transaction-time axis), and poisoning defense (trust tiers + provenance + quarantine). One empirical result reframes the whole product: ETH Zurich's AGENTbench found LLM-generated context files reduced agent success 3% and raised cost 20%+ —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unvalidated memory is a liability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 Mnemox's manifest-backed validation harness is thus not compliance overhead; it is the differentiator that makes "validated context" a product claim no competitor can currently make.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The Opportunity Spaces and Their Candidates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candidate: value / differentiation / feasibility / fit scored 1–5; effort S/M/L/XL; key leverage assets by path. Full register in Appendix 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OS-1 — Retrieval &amp; context excellence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C1. Retrieval-Excellence Pack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(V5 D3 F4 fit5 · effort M). Three compounding upgrades to the (post-audit-wiring) query path: (a)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query-seeded Personalized PageRank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bias the graph walk from entities matched in the query (HippoRAG 2's load-bearing idea) instead of global PageRank; (b)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three-signal RRF fusion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BM25-over-markdown + MiniLM dense + graph-PPR fused by reciprocal rank fusion, three cheap pure-Python channels approximating a rerank stack without a cross-encoder; (c)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metadata-contextualized chunk embedding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prepend title/category/parent-concept/date to each chunk before embedding (Anthropic's contextual-retrieval result, up to 67% retrieval-failure reduction, achievable here with zero LLM calls because the situating metadata already exists as frontmatter). Leverage: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src/graph/ranker.py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src/embeddings/chunker.py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src/tools/kb_query.py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C2. Compact Cold-Start Index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(V5 D4 F5 fit5 · S–M). See concept brief §5.2.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C3. Retrieval-confidence gate (CRAG-style)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D3 F3 fit4 · M). Score retrieved chunks; below threshold, fall back to agentic grep over raw sources and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log the miss as a KB gap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for the maintainer loop — converting retrieval failures into a work queue.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C4. Cache-aligned context assembly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D3 F4 fit4 · S). Deterministic, stable ordering of assembled context (schema → index → hot pages → volatile turn data) so the team shares one cached KB prefix; cache-read pricing is ~10% of base input price, making a team-shared prefix a direct Bobcoin multiplier. Measure hit rate as a KPI.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OS-2 — Memory-lifecycle intelligence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C5. Sleep-Time Consolidation Agent ("Gardener")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(V5 D5 F3 fit5 · M–L). See concept brief §5.4.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C6. Write-time reconciliation (ADD/UPDATE/DELETE/NOOP)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(V5 D4 F3 fit5 · M). Before filing a new document, retrieve nearest existing claims (the embedding index) and emit a merge decision as a git diff instead of appending near-duplicates — Mem0's state machine, applied to markdown. Gated on: index deletion lifecycle (audit R8).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C7. Temporal supersession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D4 F4 fit5 · M).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observed_at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superseded_by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frontmatter;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supersedes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typed edges (the graph's free-form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edge_type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accepts them today); lint treats contradiction as supersession, keeping history queryable — Graphiti's bi-temporal model, git-native.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C8. RAPTOR-style lazy cluster summaries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(V3 D3 F4 fit4 · M). Detect KB regions with no concept page (clusters in the semantic graph lacking a summarizing node — "missing abstraction detection") and generate summary pages lazily on first need, cached as KB pages (LazyGraphRAG's cost lesson: don't pre-summarize).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C9. Salience &amp; decay scoring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(V3 D3 F3 fit4 · M). Access-count and last-retrieved tracking per page feeding an Ebbinghaus-style decay score; rarely-retrieved stale pages are flagged for archive/merge; frequently-retrieved pages become promotion candidates toward AGENTS.md. Depends on C13 logging.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OS-3 — Learning from experience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C10. Pitfalls memory (failure distillation)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(V5 D5 F3 fit5 · M). A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pitfalls/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page type distilled from failed runs — one insight per page ("verify X before Y"), injected for matching task types. ReasoningBank showed +8.3% WebArena / +4.6% SWE-Bench-Verified and ~3 fewer steps per task from exactly this memory class; it is the most neglected, highest-leverage knowledge type for a team assistant.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C11. Procedural memory with execution counters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D4 F4 fit4 · M). Guides carry success/failure counters; a failed execution triggers a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revision pass on the existing page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rather than a new page (Memp's lifecycle); recurring how-to guides get promoted into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.bob/skills/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with skill-style "when to load me" frontmatter — closing the declarative→procedural loop on the existing 26-guide corpus and 30-skill layer.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C12. Trajectory distillation v1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D4 F3 fit4 · M). Upgrade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scripts/mnemox-lessons.sh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(git-log → templated note — v0 exists with a designed in-session LLM slot) into a session-end pipeline producing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candidate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pages that enter quarantine (C15) pending review; compaction events near context limits also write episodic pages instead of throwaway scratch files.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C13. Retrieval feedback logging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D4 F4 fit5 · S–M). Append-only log of (query, pages served, score components, task outcome). The query JSON already carries per-result score breakdowns, so the log format is nearly free; it is the substrate for C9 salience, C14 golden-set expansion, and H3 self-improving retrieval.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C14. Golden retrieval set in CI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D3 F4 fit5 · M). Versioned query→expected-page pairs per KB category, recall@k asserted by the existing validation harness on every KB commit — this also repairs the audit's CLM-06 (p@3 without committed provenance) and operationalizes the "validated context" claim.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OS-4 — Trust &amp; memory safety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C15. Trust-tiered memory &amp; quarantine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(V5 D5 F4 fit5 · M). See concept brief §5.5.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C16. Poisoning red-team suite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(V3 D4 F3 fit4 · M). Extend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evaluation/scripts/redteam_scenarios.py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evaluation/data/redteam/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into memory-poisoning null-tests: planted quarantined content must never surface in top-k or be promoted to AGENTS.md; MINJA-style injection scenarios asserted red in CI.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C17. Memory rollback &amp; time-travel UX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(V3 D4 F4 fit4 · S). Productize what git already gives: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mnemox bisect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("when did the agent learn the wrong thing?"), point-in-time KB checkout for reproducing past agent behavior, signed commits for attributable writes. Zero competitors offer deterministic memory rollback; this is packaging, not research.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OS-5 — Reach &amp; interoperability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C18. Mnemox MCP Server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(V5 D5 F5 fit5 · S). See concept brief §5.1.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C19. llms.txt-grammar index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(V3 D3 F5 fit4 · S). Emit the compact index in llms.txt grammar (H2 sections, link + one-line description) so external tools consume the KB entry point natively; adoption evidence says coding agents are the one audience that genuinely fetches these files.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C20. Standards-track portable memory exporter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(V3 D4 F3 fit3 · M). An exporter to the Portable-Agent-Memory shape (content-addressed entries, provenance DAG — near-isomorphic to git's object model) plus engagement with the proposed W3C AI Agent Memory Interop group: an early-mover, thought-leadership play with modest engineering.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OS-6 — Enterprise scale &amp; watsonx ecosystem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C21. Docling Ingestion Bridge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(V5 D4 F5 fit5 · S–M). See concept brief §5.3.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C22. Pluggable enterprise vector backend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D4 F3 fit5 · M–L). A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VectorIndexProtocol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extracted from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PersistentEmbeddingIndex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(search/index/delete/rebuild/is_stale) with Milvus (watsonx.data vector service) and OpenSearch+JVector implementations — "laptop-scale sidecar, certified scale-out path" (DataStax proved 1B vectors on OpenSearch+JVector; IBM is an OpenSearch Foundation Premier Member). Critical design note: define per-document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deletion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in the Protocol now, or every backend inherits the audit's lifecycle gap (CODE-04).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C23. KB analytics in the lakehouse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(V4 D5 F3 fit5 · L). Sync KB git history, graph edges, and retrieval telemetry (C13) into Iceberg tables; Presto SQL over "which knowledge is used/stale/contradicted"; token-savings time series as ROI reporting. No memory vendor exposes knowledge-utilization analytics; a natural watsonx.data Premium story that the client is uniquely positioned to build and demo.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C24. Orchestrate Agent Catalog publication + cost observability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(V3 D4 F3 fit4 · M). Publish the MCP surface into watsonx Orchestrate's Agent Catalog so non-coding enterprise agents (support, compliance) read the engineering KB; emit per-query telemetry in OpenTelemetry GenAI semantic conventions so cost-per-answer-declining-as-KB-grows becomes a measurable curve. Granite small models via watsonx.ai serve the sidecar's cheap LLM steps (consolidation summaries, reconciliation judgments) for air-gapped/regulated deployments.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Concept Briefs — Top Five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5.1 Mnemox MCP Server (C18 · H1 · effort S)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Problem.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The KB's value is trapped inside Bob's mode system; meanwhile OpenMemory-class products prove demand for one memory shared across Claude Code/Cursor/Copilot, but broker it through an unauditable local vector store.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Concept.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 FastMCP Python server (~200 lines) exposing tools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search_kb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(hybrid semantic — index+graph injected in-process, shipping the validated retrieval configuration on day one),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get_note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traverse_graph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kb_status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(health), and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propose_memory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(write-gated: proposals land in quarantine, never direct commits); resources = notes at stable URIs + the schema manifest. The git repo itself is the broker — read natively by Bob, via MCP by everything else. Enterprise auth arrives via MCP's 2026 extension mechanisms.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Leverage.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src/facade.py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one-line init; every CLI command already JSON-clean (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src/cli.py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_emit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);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.bob/mcp.json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proves operational MCP experience, including a fully-specced dormant server config to crib. The repo's own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mcp-builder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skill applies.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Risks.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Config singleton assumes cwd-relative paths (serve from repo root); write path must be quarantine-only to preserve the trust story.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Validation.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Golden-set recall@k parity between native path and MCP path; latency budget (&lt;100 ms local); a demo of Cursor + Claude Code + Bob all answering from the same KB commit.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5.2 Compact Cold-Start Index — "3k-token boot" (C2 · H1 · effort S–M)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Problem.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The audit measured ~12–13k tokens of fixed cold-start load (AGENTS.md + a double-listing, never-pruned index) — the system built to save tokens spends five figures per session on its own map.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Concept.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Tier 1: auto-generate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index-compact.md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from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kb-graph.json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which already contains title, category, and a ≤200-character description for every document — one line per doc, llms.txt grammar (C19), Recent Additions capped, target &lt;3k tokens;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.bob/settings.json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auto-loads the compact index instead. Tier 2: RAPTOR-style lazy cluster summaries for regions without a concept page. Combined with cache-aligned assembly (C4), the whole team shares one cached prefix.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Leverage.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NodeProps.description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_extract_description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src/graph/builder.py:367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) — the summaries are already extracted; generation is a read of the existing graph JSON.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Risks.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The optimizer must stay out of this path until audit R3 lands (structure-flattening bug); description quality varies — spot-fix via the Gardener (C5).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Validation.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Before/after cold-start token count measured by the existing validation harness with a manifest; retrieval-success delta on the golden set (compact index must not hurt task success — the ETH Zurich failure mode).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5.3 Docling Ingestion Bridge — "documents in, governed knowledge out" (C21 · H1 · effort S–M)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Problem.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The KB is markdown-only; enterprise knowledge lives in PDF architecture docs, DOCX runbooks, PPTX decks. OpenRAG ingests documents into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search indexes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; nobody ships document → curated, schema-validated, provenance-carrying memory note.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Concept.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Wire the five working Docling scripts already in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.bob/skills/ibm-docling/scripts/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docling_convert/chunk/batch/analyze/evaluate.py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) into a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bob-optimize ingest &lt;file&gt;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pipeline: Docling parse → knowledge-manager template mapping → frontmatter with source provenance (file hash, page refs,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provenance: untrusted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until reviewed — C15) → near-duplicate check via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index.search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→ quarantined candidate page. Positioning: OpenRAG retrieves raw documents at scale; Mnemox stores the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vetted conclusions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with provenance links back — complementary, not competitive, with IBM's own stack.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Leverage.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The most under-recognized asset in the repo: ingestion is ~70% built, sitting in the skills layer.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Risks.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Auto-generated cross-links need quality gating; table-heavy documents need the chunker's table extraction path exercised.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Validation.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Ingest a real architecture PDF corpus; measure retrieval precision on questions answerable only from ingested content; assert every ingested page carries complete provenance frontmatter.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5.4 The Gardener — sleep-time consolidation (C5+C6+C7 · H2 · effort M–L)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Problem.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65 of 110 KB documents are episodic research snapshots; near-duplicate concepts exist; semantic edge density (~39/node) is drifting toward noise; the audit showed the maintenance ritual cannot detect the corruption it accumulates. The LLM-wiki pattern lives or dies on the lint operation — the part implementations most often skip.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Concept.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 scheduled offline agent (Letta's sleep-time compute, Karpathy's lint) running between sessions: (a) near-duplicate detection from the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doc_sim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all-pairs map that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build_semantic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computes today and throws away (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src/graph/builder.py:235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); (b) Mem0-style ADD/UPDATE/DELETE/NOOP reconciliation producing git diffs, not appends; (c) episodic→semantic distillation: research-tier pages older than N days summarized into concept pages, originals archived with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superseded_by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; (d) temporal supersession edges; (e) A-Mem-style neighborhood evolution — on ingest, re-open k-nearest pages and refresh their summaries/cross-links; (f) orphan/hub/edge-density health as regression metrics. All output lands as a reviewable branch (never auto-commit — audit R10), with LLM steps served by Granite via watsonx.ai or the dormant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external-llm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delegation server spec in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.bob/mcp.json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Leverage.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Delegation coordinator (parallel waves, retry),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graph.orphans/hubs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mnemox.sh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as the scheduling hook, knowledge-manager templates as distillation targets.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Prerequisites.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Audit R8 (index deletion lifecycle) — pruned docs must not leave stale vectors; R10 (review gate).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Validation.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KB health scorecard before/after (doc count by tier, edges/node, duplicate pairs above 0.6 cosine, cold-start tokens); retrieval golden set must not regress; human review acceptance rate of Gardener proposals tracked as the quality KPI.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5.5 Trust-Tiered Memory (C15+C16+C17 · H1 floor, H2 full · effort M)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Problem.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Memory poisoning is OWASP ASI06; academic attacks reach &gt;95% injection success; a single poisoned write persists indefinitely because memory is trusted once written. No shipping coding-assistant memory carries provenance, trust scoring, or write validation. Mnemox's auto-commit (audit MEM-09) is currently the biggest liability of its strongest asset.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Concept.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Three git-native controls: (a)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provenance frontmatter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on every write —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source: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human/agent/pipeline + session id,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provenance: trusted|untrusted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for externally-sourced content (the delegation pipeline already writes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generated_by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task_id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extend, don't invent); (b)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quarantine tier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status: quarantined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filtered/downranked in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kb_query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excluded from AGENTS.md promotion, cleared only by review (≈3 small changes; every field already parsed end-to-end); (c)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review-gated writes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agent proposals land as branch diffs (PR-reviewed memory, the write-ahead-validation defense from the poisoning literature, on infrastructure enterprises already trust) — plus the rollback/time-travel packaging (C17). Sales line for regulated accounts: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memory that never leaves your git remote, every write attributable, every state restorable.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Leverage.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safe_paths.resolve_within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pipeline provenance pattern,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NodeProps.status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parsing, red-team seed in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evaluation/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Validation.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Poisoning null-tests in CI (planted quarantined content never in top-k, never promoted); provenance-completeness gate in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validate-kb.sh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's (repaired) successor; audit-trail demo: </w:t>
      </w:r>
      <w:r>
        <w:rPr>
          <w:rFonts w:ascii="Consolas" w:cs="Consolas" w:eastAsia="Consolas" w:hAnsi="Consolas"/>
          <w:color w:val="8B2635"/>
          <w:sz w:val="19"/>
          <w:szCs w:val="19"/>
        </w:rPr>
        <w:t xml:space="preserve">git log --follow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on a memory page as the compliance artifact.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Sequencing, Dependencies, and the 70/30 Portfolio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6.1 Hard prerequisites from the counter-audit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Three remediations gate the portfolio and are not innovation work: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R2 wiring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(index+graph into production retrieval — without it, C1/C18 ship keyword-only),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R8 index deletion lifecycle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(without it, C5/C6/C21 accumulate stale vectors),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R10 review gate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(without it, C12/C15's trust story is hollow and C5's Gardener is a poisoning amplifier). Recommended: execute audit H1 first (≈1 sprint), then this portfolio's H1 — several items (C18's in-process wiring, C15's quarantine) actively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complete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audit remediations rather than compete with them.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6.2 Three horizons (70% H1+H2, 30% H3)</w:t>
      </w:r>
    </w:p>
    <w:tbl>
      <w:tblPr>
        <w:tblW w:type="dxa" w:w="9026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1289"/>
        <w:gridCol w:w="3868"/>
        <w:gridCol w:w="3868"/>
      </w:tblGrid>
      <w:tr>
        <w:trPr>
          <w:tblHeader/>
        </w:trPr>
        <w:tc>
          <w:tcPr>
            <w:tcW w:type="dxa" w:w="128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Horizon</w:t>
            </w:r>
          </w:p>
        </w:tc>
        <w:tc>
          <w:tcPr>
            <w:tcW w:type="dxa" w:w="386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386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Exit criteria</w:t>
            </w:r>
          </w:p>
        </w:tc>
      </w:tr>
      <w:t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 (weeks)</w:t>
            </w:r>
          </w:p>
        </w:tc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C18 MCP server · C2 compact index · C21 Docling bridge · C1 retrieval pack · C15 trust floor (provenance + quarantine) · C4 cache alignment · C13 retrieval logging · C19 llms.txt grammar · C17 rollback packaging</w:t>
            </w:r>
          </w:p>
        </w:tc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MCP demo across 3 assistants; cold start &lt;3k tokens (manifest-backed); one PDF corpus ingested with provenance; golden-set recall improvement over keyword baseline published with manifest</w:t>
            </w:r>
          </w:p>
        </w:tc>
      </w:tr>
      <w:t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 (1–3 months)</w:t>
            </w:r>
          </w:p>
        </w:tc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C5 Gardener · C6 reconciliation · C7 temporal supersession · C10 pitfalls memory · C11 procedural counters · C12 trajectory distillation · C14 golden-set CI · C16 red-team suite</w:t>
            </w:r>
          </w:p>
        </w:tc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Zero duplicate pairs &gt;0.6 cosine; research tier ≤40% of corpus; pitfalls pages measurably reduce repeated failures on tracked tasks; poisoning tests red-teamed in CI</w:t>
            </w:r>
          </w:p>
        </w:tc>
      </w:tr>
      <w:t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H3 (3–6+ months)</w:t>
            </w:r>
          </w:p>
        </w:tc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C22 enterprise vector backends · C23 lakehouse analytics · C24 Orchestrate + OTel · C20 standards exporter · C9 salience/decay · C3 confidence gate · multi-repo federation (from feasibility direction 7)</w:t>
            </w:r>
          </w:p>
        </w:tc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One org-scale deployment on Milvus or OpenSearch+JVector; knowledge-utilization dashboard live on Iceberg/Presto; cost-per-answer curve published; federation across ≥2 repos with namespaced doc_ids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6.3 Strategic narrative for the watsonx Challenge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portfolio composes into one sentence a jury can hold: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"Mnemox is the governed memory layer for the agentic enterprise — it turns every Bob session into auditable, compounding team knowledge (git-native, poisoning-hardened, measurably validated), ingests the documents IBM's own Docling parses, scales on the vector engines IBM backs (Milvus, OpenSearch+JVector), reports its ROI in the lakehouse IBM sells (watsonx.data), and serves that knowledge to every agent IBM orchestrates (Orchestrate, via MCP)."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Each clause is a shipped or scheduled feature, each number manifest-backed — the honesty machinery the counter-audit verified becomes the proof mechanism for the innovation claims.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Measurement and Validation Plan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Every innovation inherits the repository's own discipline: no number without a manifest. Program-level metrics, tracked as CI regression series: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cold-start tokens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(target &lt;3,000; today ~12–13k);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retrieval precision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recall@k / p@3 on a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committed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golden set (repairing CLM-06);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KB health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duplicate pairs &gt;0.6 cosine, edges/node, orphan count, research-tier share, stale-doc count;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trust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provenance-completeness %, quarantine leak count (must be zero, asserted by null-tests), review acceptance rate of agent proposals;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economics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cache hit rate on the shared prefix, tokens saved vs baseline route per query (C13 log), cost-per-answer trend as the KB grows — the compounding claim, finally rendered as a measurable curve;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adoption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MCP client count, foreign-repo deployments, ingested-document count. The ETH Zurich result is the standing caution: any feature that adds context must demonstrate non-negative task-success delta on the golden set before default-on.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A — Scored Candidate Register</w:t>
      </w:r>
    </w:p>
    <w:tbl>
      <w:tblPr>
        <w:tblW w:type="dxa" w:w="9026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644"/>
        <w:gridCol w:w="2531"/>
        <w:gridCol w:w="644"/>
        <w:gridCol w:w="644"/>
        <w:gridCol w:w="644"/>
        <w:gridCol w:w="644"/>
        <w:gridCol w:w="644"/>
        <w:gridCol w:w="644"/>
        <w:gridCol w:w="644"/>
        <w:gridCol w:w="1343"/>
      </w:tblGrid>
      <w:tr>
        <w:trPr>
          <w:tblHeader/>
        </w:trPr>
        <w:tc>
          <w:tcPr>
            <w:tcW w:type="dxa" w:w="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3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Candidate</w:t>
            </w:r>
          </w:p>
        </w:tc>
        <w:tc>
          <w:tcPr>
            <w:tcW w:type="dxa" w:w="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  <w:tc>
          <w:tcPr>
            <w:tcW w:type="dxa" w:w="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</w:t>
            </w:r>
          </w:p>
        </w:tc>
        <w:tc>
          <w:tcPr>
            <w:tcW w:type="dxa" w:w="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Fit</w:t>
            </w:r>
          </w:p>
        </w:tc>
        <w:tc>
          <w:tcPr>
            <w:tcW w:type="dxa" w:w="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Horizon</w:t>
            </w:r>
          </w:p>
        </w:tc>
        <w:tc>
          <w:tcPr>
            <w:tcW w:type="dxa" w:w="134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Gated by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C18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MCP server surface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R2 (for semantic parity)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C2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Compact cold-start index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OS-1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S–M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R3 (optimizer out of path)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C21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Docling ingestion bridge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OS-6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S–M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R8, C15 floor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Retrieval-excellence pack (PPR/RRF/contextual)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OS-1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R2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C15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Trust tiers + quarantine + provenance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C4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Cache-aligned context assembly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OS-1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C13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Retrieval feedback logging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S–M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C19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llms.txt-grammar index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C2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C17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Rollback &amp; time-travel packaging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C5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Sleep-time consolidation (Gardener)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OS-2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M–L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R8, R10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C6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Write-time reconciliation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OS-2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R8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C7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Temporal supersession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OS-2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C15 provenance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C10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Pitfalls memory (failure distillation)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C12 or manual capture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C11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Procedural memory + counters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C13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C12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Trajectory distillation v1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R10, C15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C14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Golden retrieval set in CI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C16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Poisoning red-team suite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C15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C8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Lazy cluster summaries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OS-2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H2/H3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C5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C9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Salience &amp; decay scoring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OS-2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H3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C13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C3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Retrieval-confidence gate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OS-1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H3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C14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C22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Enterprise vector backends (Milvus/JVector)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OS-6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M–L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H3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R8 (delete in Protocol)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C23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Lakehouse KB analytics (Iceberg/Presto)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OS-6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H3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C13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C24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Orchestrate publication + OTel cost observability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OS-6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H3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C18</w:t>
            </w:r>
          </w:p>
        </w:tc>
      </w:tr>
      <w:tr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C20</w:t>
            </w:r>
          </w:p>
        </w:tc>
        <w:tc>
          <w:tcPr>
            <w:tcW w:type="dxa" w:w="25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Portable-memory standards exporter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OS-5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H3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B — Key Sources (abridged; full URLs in evidence streams)</w:t>
      </w:r>
    </w:p>
    <w:p>
      <w:pPr>
        <w:spacing w:after="14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Agent memory: Letta sleep-time compute (letta.com/blog/sleep-time-compute, 2025-04-21); Mem0 (arXiv:2504.19413); Zep/Graphiti temporal KG (arXiv:2501.13956); A-Mem (arXiv:2502.12110, NeurIPS 2025); HippoRAG 2 (arXiv:2502.14802, ICML 2025); MemoryBank (arXiv:2305.10250, AAAI 2024); ReasoningBank (arXiv:2509.25140; research.google blog 2026-04-21); Memp (arXiv:2508.06433). Advanced RAG: LazyGraphRAG (Microsoft Research blog, 2024-11); Anthropic contextual retrieval (anthropic.com/engineering/contextual-retrieval); Anthropic context engineering &amp; long-running harnesses (anthropic.com/engineering). Pattern: Karpathy llm-wiki gist (gist.github.com/karpathy, 2026-04-04). Competitive: Windsurf Cascade Memories docs; Cursor rules/memories docs &amp; forum; GitHub Copilot Spaces changelog 2025-10-17; Cline Memory Bank docs; Devin DeepWiki/Knowledge; IBM Project Bob announcement (ibm.com/new/announcements/ibm-project-bob) and hands-on (suedbroecker.net, 2026-01-07); ETH Zurich AGENTbench context-file study (InfoQ, 2026-03). MCP: 2026 roadmap (blog.modelcontextprotocol.io); enterprise adoption stats (andrew.ooo, 2026-07); OpenMemory MCP (mem0.ai). Standards: Portable Agent Memory (arXiv:2605.11032); W3C AI Agent Memory Interop CG proposal (w3.org, 2026-05-18); llms.txt studies (Ahrefs; Rankability, 2026-07-17). watsonx: OpenRAG announcement (ibm.com, 2026-03-10); IBM OpenSearch Premier membership (linuxfoundation.org, 2025-11); DataStax 1B-vector case study (opensearch.org); watsonx.data release notes; Docling (docling-project GitHub; IBM Research blog). Security: OWASP ASI06 / memory-poisoning literature (arXiv:2601.05504, arXiv:2512.16962 MemoryGraft, Unit 42, christian-schneider.net 2026-02-26). Observability: OpenTelemetry GenAI conventions (opentelemetry.io/blog/2026/genai-observability).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Companion to the 2026-07-19 independent counter-audit. Filed as a dated record under `docs/knowledge-base/research/`; STATUS.md remains the single source of truth for maturity claims; projections herein are scored hypotheses, not measured results — per the repository's own provenance rule.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Mnemox Innovation Portfolio — 2026-07-19    ·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2026-07-19T09:12:04.471Z</dcterms:created>
  <dcterms:modified xsi:type="dcterms:W3CDTF">2026-07-19T09:12:04.472Z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