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BFD1" w14:textId="77777777" w:rsidR="00450FF4" w:rsidRPr="00450FF4" w:rsidRDefault="00450FF4" w:rsidP="00101121">
      <w:pPr>
        <w:pStyle w:val="Title"/>
        <w:rPr>
          <w:lang w:val="en-US" w:eastAsia="ja-JP"/>
        </w:rPr>
      </w:pPr>
      <w:r w:rsidRPr="00450FF4">
        <w:rPr>
          <w:lang w:val="en-US" w:eastAsia="ja-JP"/>
        </w:rPr>
        <w:t>AGL as an investment in 2024</w:t>
      </w:r>
    </w:p>
    <w:p w14:paraId="7403AE62" w14:textId="2903B47C" w:rsidR="00450FF4" w:rsidRDefault="00450FF4" w:rsidP="00450FF4">
      <w:pPr>
        <w:pStyle w:val="Heading1"/>
        <w:rPr>
          <w:lang w:val="en-US" w:eastAsia="ja-JP"/>
        </w:rPr>
      </w:pPr>
      <w:r w:rsidRPr="00450FF4">
        <w:rPr>
          <w:lang w:val="en-US" w:eastAsia="ja-JP"/>
        </w:rPr>
        <w:t>Summary</w:t>
      </w:r>
    </w:p>
    <w:p w14:paraId="79BEDECC" w14:textId="1A22B9A9" w:rsidR="00101121" w:rsidRDefault="00101121" w:rsidP="00101121">
      <w:pPr>
        <w:rPr>
          <w:lang w:val="en-US" w:eastAsia="ja-JP"/>
        </w:rPr>
      </w:pPr>
      <w:r>
        <w:rPr>
          <w:lang w:val="en-US" w:eastAsia="ja-JP"/>
        </w:rPr>
        <w:t xml:space="preserve">I </w:t>
      </w:r>
      <w:proofErr w:type="gramStart"/>
      <w:r>
        <w:rPr>
          <w:lang w:val="en-US" w:eastAsia="ja-JP"/>
        </w:rPr>
        <w:t>take a look</w:t>
      </w:r>
      <w:proofErr w:type="gramEnd"/>
      <w:r>
        <w:rPr>
          <w:lang w:val="en-US" w:eastAsia="ja-JP"/>
        </w:rPr>
        <w:t xml:space="preserve"> at AGL’s medium term prospects. In the process I conclude that the CIS will lower electricity prices by shifting risk from the private sector to the Government and additionally will provide a </w:t>
      </w:r>
      <w:proofErr w:type="gramStart"/>
      <w:r>
        <w:rPr>
          <w:lang w:val="en-US" w:eastAsia="ja-JP"/>
        </w:rPr>
        <w:t>much needed</w:t>
      </w:r>
      <w:proofErr w:type="gramEnd"/>
      <w:r>
        <w:rPr>
          <w:lang w:val="en-US" w:eastAsia="ja-JP"/>
        </w:rPr>
        <w:t xml:space="preserve"> lifeline to the </w:t>
      </w:r>
      <w:proofErr w:type="spellStart"/>
      <w:r>
        <w:rPr>
          <w:lang w:val="en-US" w:eastAsia="ja-JP"/>
        </w:rPr>
        <w:t>Gentailers</w:t>
      </w:r>
      <w:proofErr w:type="spellEnd"/>
      <w:r>
        <w:rPr>
          <w:lang w:val="en-US" w:eastAsia="ja-JP"/>
        </w:rPr>
        <w:t xml:space="preserve"> to help them extract themselves from the mess they have made for themselves.</w:t>
      </w:r>
    </w:p>
    <w:p w14:paraId="4C1C6749" w14:textId="4F962BAF" w:rsidR="00101121" w:rsidRPr="00101121" w:rsidRDefault="00101121" w:rsidP="00101121">
      <w:pPr>
        <w:rPr>
          <w:lang w:val="en-US" w:eastAsia="ja-JP"/>
        </w:rPr>
      </w:pPr>
      <w:r>
        <w:rPr>
          <w:lang w:val="en-US" w:eastAsia="ja-JP"/>
        </w:rPr>
        <w:t xml:space="preserve">That mess is mostly likely to show up in the case of </w:t>
      </w:r>
      <w:proofErr w:type="spellStart"/>
      <w:r>
        <w:rPr>
          <w:lang w:val="en-US" w:eastAsia="ja-JP"/>
        </w:rPr>
        <w:t>Eraring</w:t>
      </w:r>
      <w:proofErr w:type="spellEnd"/>
      <w:r>
        <w:rPr>
          <w:lang w:val="en-US" w:eastAsia="ja-JP"/>
        </w:rPr>
        <w:t xml:space="preserve"> which I think </w:t>
      </w:r>
      <w:proofErr w:type="spellStart"/>
      <w:proofErr w:type="gramStart"/>
      <w:r>
        <w:rPr>
          <w:lang w:val="en-US" w:eastAsia="ja-JP"/>
        </w:rPr>
        <w:t>cant</w:t>
      </w:r>
      <w:proofErr w:type="spellEnd"/>
      <w:proofErr w:type="gramEnd"/>
      <w:r>
        <w:rPr>
          <w:lang w:val="en-US" w:eastAsia="ja-JP"/>
        </w:rPr>
        <w:t xml:space="preserve"> close in 2025, not because there isn’t enough replacement power and energy but because ORG hasn’t contracted anything and there now is nowhere near enough time to procure the power and energy. ORG’s only alternative would be to abandon its large customer business and I don’t think that likely.</w:t>
      </w:r>
    </w:p>
    <w:p w14:paraId="5E0081AD" w14:textId="77777777" w:rsidR="009F2759" w:rsidRDefault="00450FF4" w:rsidP="00450FF4">
      <w:pPr>
        <w:rPr>
          <w:lang w:val="en-US" w:eastAsia="ja-JP"/>
        </w:rPr>
      </w:pPr>
      <w:r w:rsidRPr="00450FF4">
        <w:rPr>
          <w:lang w:val="en-US" w:eastAsia="ja-JP"/>
        </w:rPr>
        <w:t>AGL’s cash flow and gearing support more investment</w:t>
      </w:r>
      <w:r w:rsidR="009F2759">
        <w:rPr>
          <w:lang w:val="en-US" w:eastAsia="ja-JP"/>
        </w:rPr>
        <w:t xml:space="preserve">, particularly over the next two years when AGL will receive the benefit of the </w:t>
      </w:r>
      <w:proofErr w:type="gramStart"/>
      <w:r w:rsidR="009F2759">
        <w:rPr>
          <w:lang w:val="en-US" w:eastAsia="ja-JP"/>
        </w:rPr>
        <w:t>high power</w:t>
      </w:r>
      <w:proofErr w:type="gramEnd"/>
      <w:r w:rsidR="009F2759">
        <w:rPr>
          <w:lang w:val="en-US" w:eastAsia="ja-JP"/>
        </w:rPr>
        <w:t xml:space="preserve"> prices in 2022. However once that benefit falls away AGLs free cash flow will be more under pressure and coal generation </w:t>
      </w:r>
      <w:proofErr w:type="gramStart"/>
      <w:r w:rsidR="009F2759">
        <w:rPr>
          <w:lang w:val="en-US" w:eastAsia="ja-JP"/>
        </w:rPr>
        <w:t>volumes  and</w:t>
      </w:r>
      <w:proofErr w:type="gramEnd"/>
      <w:r w:rsidR="009F2759">
        <w:rPr>
          <w:lang w:val="en-US" w:eastAsia="ja-JP"/>
        </w:rPr>
        <w:t xml:space="preserve"> revenues will also fall, perhaps replaced by hard to model battery earnings.  There is an emerging view that electricity prices in Victoria will be structurally low at least until all the coal generation has gone. My own view is that the closure of </w:t>
      </w:r>
      <w:proofErr w:type="spellStart"/>
      <w:r w:rsidR="009F2759">
        <w:rPr>
          <w:lang w:val="en-US" w:eastAsia="ja-JP"/>
        </w:rPr>
        <w:t>Yallourn</w:t>
      </w:r>
      <w:proofErr w:type="spellEnd"/>
      <w:r w:rsidR="009F2759">
        <w:rPr>
          <w:lang w:val="en-US" w:eastAsia="ja-JP"/>
        </w:rPr>
        <w:t xml:space="preserve"> will lift prices somewhat.</w:t>
      </w:r>
      <w:r w:rsidRPr="00450FF4">
        <w:rPr>
          <w:lang w:val="en-US" w:eastAsia="ja-JP"/>
        </w:rPr>
        <w:t xml:space="preserve"> </w:t>
      </w:r>
      <w:r w:rsidR="009F2759">
        <w:rPr>
          <w:lang w:val="en-US" w:eastAsia="ja-JP"/>
        </w:rPr>
        <w:t xml:space="preserve">In NSW the consensus is that the closure of </w:t>
      </w:r>
      <w:proofErr w:type="spellStart"/>
      <w:r w:rsidR="009F2759">
        <w:rPr>
          <w:lang w:val="en-US" w:eastAsia="ja-JP"/>
        </w:rPr>
        <w:t>Eraring</w:t>
      </w:r>
      <w:proofErr w:type="spellEnd"/>
      <w:r w:rsidR="009F2759">
        <w:rPr>
          <w:lang w:val="en-US" w:eastAsia="ja-JP"/>
        </w:rPr>
        <w:t xml:space="preserve"> will be delayed beyond Sep 2025. </w:t>
      </w:r>
    </w:p>
    <w:p w14:paraId="4C45D060" w14:textId="4236BA76" w:rsidR="00450FF4" w:rsidRPr="00450FF4" w:rsidRDefault="009F2759" w:rsidP="00450FF4">
      <w:pPr>
        <w:rPr>
          <w:lang w:val="en-US" w:eastAsia="ja-JP"/>
        </w:rPr>
      </w:pPr>
      <w:r>
        <w:rPr>
          <w:lang w:val="en-US" w:eastAsia="ja-JP"/>
        </w:rPr>
        <w:t xml:space="preserve">It pretty much </w:t>
      </w:r>
      <w:proofErr w:type="gramStart"/>
      <w:r>
        <w:rPr>
          <w:lang w:val="en-US" w:eastAsia="ja-JP"/>
        </w:rPr>
        <w:t>has to</w:t>
      </w:r>
      <w:proofErr w:type="gramEnd"/>
      <w:r>
        <w:rPr>
          <w:lang w:val="en-US" w:eastAsia="ja-JP"/>
        </w:rPr>
        <w:t xml:space="preserve"> be, not from NSW’s point of view so much as from Origin’s. ORG appears to have done nothing to replace </w:t>
      </w:r>
      <w:proofErr w:type="spellStart"/>
      <w:r>
        <w:rPr>
          <w:lang w:val="en-US" w:eastAsia="ja-JP"/>
        </w:rPr>
        <w:t>Eraring</w:t>
      </w:r>
      <w:proofErr w:type="spellEnd"/>
      <w:r>
        <w:rPr>
          <w:lang w:val="en-US" w:eastAsia="ja-JP"/>
        </w:rPr>
        <w:t xml:space="preserve"> energy and will have to write 15 </w:t>
      </w:r>
      <w:proofErr w:type="spellStart"/>
      <w:r>
        <w:rPr>
          <w:lang w:val="en-US" w:eastAsia="ja-JP"/>
        </w:rPr>
        <w:t>TWh</w:t>
      </w:r>
      <w:proofErr w:type="spellEnd"/>
      <w:r>
        <w:rPr>
          <w:lang w:val="en-US" w:eastAsia="ja-JP"/>
        </w:rPr>
        <w:t xml:space="preserve"> of replacement contracts at some point. It </w:t>
      </w:r>
      <w:proofErr w:type="spellStart"/>
      <w:proofErr w:type="gramStart"/>
      <w:r>
        <w:rPr>
          <w:lang w:val="en-US" w:eastAsia="ja-JP"/>
        </w:rPr>
        <w:t>cant</w:t>
      </w:r>
      <w:proofErr w:type="spellEnd"/>
      <w:proofErr w:type="gramEnd"/>
      <w:r>
        <w:rPr>
          <w:lang w:val="en-US" w:eastAsia="ja-JP"/>
        </w:rPr>
        <w:t xml:space="preserve"> possibly build or sign PPA’s that will be operable by the end of 2025. At least I don’t think it can. ORG can’t for instance sell </w:t>
      </w:r>
      <w:r>
        <w:rPr>
          <w:lang w:val="en-US" w:eastAsia="ja-JP"/>
        </w:rPr>
        <w:t xml:space="preserve">to customers </w:t>
      </w:r>
      <w:r>
        <w:rPr>
          <w:lang w:val="en-US" w:eastAsia="ja-JP"/>
        </w:rPr>
        <w:t xml:space="preserve">spot electricity produced at lunch for zero even though it has a battery and knows the lunchtime rooftop energy is there. </w:t>
      </w:r>
      <w:proofErr w:type="spellStart"/>
      <w:r>
        <w:rPr>
          <w:lang w:val="en-US" w:eastAsia="ja-JP"/>
        </w:rPr>
        <w:t>Its</w:t>
      </w:r>
      <w:proofErr w:type="spellEnd"/>
      <w:r>
        <w:rPr>
          <w:lang w:val="en-US" w:eastAsia="ja-JP"/>
        </w:rPr>
        <w:t xml:space="preserve"> not contractable power to a customer’s standard. As a </w:t>
      </w:r>
      <w:proofErr w:type="gramStart"/>
      <w:r>
        <w:rPr>
          <w:lang w:val="en-US" w:eastAsia="ja-JP"/>
        </w:rPr>
        <w:t>result</w:t>
      </w:r>
      <w:proofErr w:type="gramEnd"/>
      <w:r>
        <w:rPr>
          <w:lang w:val="en-US" w:eastAsia="ja-JP"/>
        </w:rPr>
        <w:t xml:space="preserve"> </w:t>
      </w:r>
      <w:proofErr w:type="spellStart"/>
      <w:r>
        <w:rPr>
          <w:lang w:val="en-US" w:eastAsia="ja-JP"/>
        </w:rPr>
        <w:t>Eraring</w:t>
      </w:r>
      <w:proofErr w:type="spellEnd"/>
      <w:r>
        <w:rPr>
          <w:lang w:val="en-US" w:eastAsia="ja-JP"/>
        </w:rPr>
        <w:t xml:space="preserve"> will likely stay open and this will increase supply of both energy and power in NSW putting more downward pressure on </w:t>
      </w:r>
      <w:proofErr w:type="spellStart"/>
      <w:r>
        <w:rPr>
          <w:lang w:val="en-US" w:eastAsia="ja-JP"/>
        </w:rPr>
        <w:t>Bayswater</w:t>
      </w:r>
      <w:proofErr w:type="spellEnd"/>
      <w:r>
        <w:rPr>
          <w:lang w:val="en-US" w:eastAsia="ja-JP"/>
        </w:rPr>
        <w:t xml:space="preserve"> earnings beyond 2025 and until the </w:t>
      </w:r>
      <w:proofErr w:type="spellStart"/>
      <w:r>
        <w:rPr>
          <w:lang w:val="en-US" w:eastAsia="ja-JP"/>
        </w:rPr>
        <w:t>Tomago</w:t>
      </w:r>
      <w:proofErr w:type="spellEnd"/>
      <w:r>
        <w:rPr>
          <w:lang w:val="en-US" w:eastAsia="ja-JP"/>
        </w:rPr>
        <w:t xml:space="preserve"> contract expires in 2028.</w:t>
      </w:r>
    </w:p>
    <w:p w14:paraId="2D57C692" w14:textId="77777777" w:rsidR="00450FF4" w:rsidRPr="00450FF4" w:rsidRDefault="00450FF4" w:rsidP="00450FF4">
      <w:pPr>
        <w:rPr>
          <w:lang w:val="en-US" w:eastAsia="ja-JP"/>
        </w:rPr>
      </w:pPr>
      <w:r w:rsidRPr="00450FF4">
        <w:rPr>
          <w:lang w:val="en-US" w:eastAsia="ja-JP"/>
        </w:rPr>
        <w:lastRenderedPageBreak/>
        <w:t xml:space="preserve">AGL’s earnings are not defensive though and there is </w:t>
      </w:r>
      <w:proofErr w:type="gramStart"/>
      <w:r w:rsidRPr="00450FF4">
        <w:rPr>
          <w:lang w:val="en-US" w:eastAsia="ja-JP"/>
        </w:rPr>
        <w:t>as yet</w:t>
      </w:r>
      <w:proofErr w:type="gramEnd"/>
      <w:r w:rsidRPr="00450FF4">
        <w:rPr>
          <w:lang w:val="en-US" w:eastAsia="ja-JP"/>
        </w:rPr>
        <w:t xml:space="preserve"> no “story” that would be attractive to a fund manager other than “value” and low gearing.</w:t>
      </w:r>
    </w:p>
    <w:p w14:paraId="1B69A4C2" w14:textId="418C95DF" w:rsidR="00450FF4" w:rsidRPr="00450FF4" w:rsidRDefault="00450FF4" w:rsidP="00450FF4">
      <w:pPr>
        <w:pStyle w:val="Heading1"/>
        <w:rPr>
          <w:lang w:val="en-US" w:eastAsia="ja-JP"/>
        </w:rPr>
      </w:pPr>
      <w:r w:rsidRPr="00450FF4">
        <w:rPr>
          <w:rStyle w:val="Heading1Char"/>
          <w:lang w:val="en-US" w:eastAsia="ja-JP"/>
        </w:rPr>
        <w:t>Consensus</w:t>
      </w:r>
      <w:r w:rsidRPr="00450FF4">
        <w:rPr>
          <w:lang w:val="en-US" w:eastAsia="ja-JP"/>
        </w:rPr>
        <w:t xml:space="preserve"> earnings</w:t>
      </w:r>
    </w:p>
    <w:p w14:paraId="3EE27886" w14:textId="77777777" w:rsidR="00450FF4" w:rsidRPr="00450FF4" w:rsidRDefault="00450FF4" w:rsidP="00450FF4">
      <w:pPr>
        <w:rPr>
          <w:lang w:val="en-US" w:eastAsia="ja-JP"/>
        </w:rPr>
      </w:pPr>
      <w:r w:rsidRPr="00450FF4">
        <w:rPr>
          <w:lang w:val="en-US" w:eastAsia="ja-JP"/>
        </w:rPr>
        <w:t xml:space="preserve">AGL is forecast to earn $1.04 per share in the year to 30 Jun 24 and the same in the year to Jun 25. Although the market likely has no real </w:t>
      </w:r>
      <w:proofErr w:type="gramStart"/>
      <w:r w:rsidRPr="00450FF4">
        <w:rPr>
          <w:lang w:val="en-US" w:eastAsia="ja-JP"/>
        </w:rPr>
        <w:t>idea ,EPS</w:t>
      </w:r>
      <w:proofErr w:type="gramEnd"/>
      <w:r w:rsidRPr="00450FF4">
        <w:rPr>
          <w:lang w:val="en-US" w:eastAsia="ja-JP"/>
        </w:rPr>
        <w:t xml:space="preserve"> for the year to Jun ’26 are forecast to be similar again.</w:t>
      </w:r>
    </w:p>
    <w:p w14:paraId="1136828D" w14:textId="77777777" w:rsidR="00450FF4" w:rsidRDefault="00450FF4" w:rsidP="00450FF4">
      <w:pPr>
        <w:rPr>
          <w:lang w:val="en-US" w:eastAsia="ja-JP"/>
        </w:rPr>
      </w:pPr>
      <w:r w:rsidRPr="00450FF4">
        <w:rPr>
          <w:lang w:val="en-US" w:eastAsia="ja-JP"/>
        </w:rPr>
        <w:t xml:space="preserve">AGL’s most basic valuation metric, the humble but </w:t>
      </w:r>
      <w:proofErr w:type="gramStart"/>
      <w:r w:rsidRPr="00450FF4">
        <w:rPr>
          <w:lang w:val="en-US" w:eastAsia="ja-JP"/>
        </w:rPr>
        <w:t>long lived</w:t>
      </w:r>
      <w:proofErr w:type="gramEnd"/>
      <w:r w:rsidRPr="00450FF4">
        <w:rPr>
          <w:lang w:val="en-US" w:eastAsia="ja-JP"/>
        </w:rPr>
        <w:t xml:space="preserve"> PE ratio stands at about 8.5. Even with interest rates having risen companies that the market likes are on PE ratios of 20. The forward PE for the ASX 200 is something like 16 give or take.</w:t>
      </w:r>
    </w:p>
    <w:p w14:paraId="551AE777" w14:textId="12F479CE" w:rsidR="004B3DE4" w:rsidRDefault="004B3DE4" w:rsidP="00450FF4">
      <w:pPr>
        <w:rPr>
          <w:lang w:val="en-US" w:eastAsia="ja-JP"/>
        </w:rPr>
      </w:pPr>
      <w:r>
        <w:rPr>
          <w:lang w:val="en-US" w:eastAsia="ja-JP"/>
        </w:rPr>
        <w:t>The dividend yield at around 3.5% not that attractive for a value stock.</w:t>
      </w:r>
    </w:p>
    <w:p w14:paraId="1770BEC8" w14:textId="3B3B0348" w:rsidR="00AF2C70" w:rsidRDefault="00AF2C70" w:rsidP="00450FF4">
      <w:pPr>
        <w:rPr>
          <w:lang w:val="en-US" w:eastAsia="ja-JP"/>
        </w:rPr>
      </w:pPr>
      <w:r>
        <w:rPr>
          <w:lang w:val="en-US" w:eastAsia="ja-JP"/>
        </w:rPr>
        <w:t xml:space="preserve">The argument I have made is that AGL’s customer services business is hard, if not impossible to replicate. Almost no small electricity retailers turn into large retailers. I have argued that a </w:t>
      </w:r>
      <w:proofErr w:type="spellStart"/>
      <w:r>
        <w:rPr>
          <w:lang w:val="en-US" w:eastAsia="ja-JP"/>
        </w:rPr>
        <w:t>gentailer’s</w:t>
      </w:r>
      <w:proofErr w:type="spellEnd"/>
      <w:r>
        <w:rPr>
          <w:lang w:val="en-US" w:eastAsia="ja-JP"/>
        </w:rPr>
        <w:t xml:space="preserve"> job is to buy long and sell short. For a large retailer this is a </w:t>
      </w:r>
      <w:proofErr w:type="gramStart"/>
      <w:r>
        <w:rPr>
          <w:lang w:val="en-US" w:eastAsia="ja-JP"/>
        </w:rPr>
        <w:t>low risk</w:t>
      </w:r>
      <w:proofErr w:type="gramEnd"/>
      <w:r>
        <w:rPr>
          <w:lang w:val="en-US" w:eastAsia="ja-JP"/>
        </w:rPr>
        <w:t xml:space="preserve"> strategy because the large number of customers means that there will always be demand even though the individual customer can cancel contracts within 12 months at consumer level and 3 years at industrial level. Because of this guaranteed load AGL, ORG and EA are well placed to take a </w:t>
      </w:r>
      <w:proofErr w:type="gramStart"/>
      <w:r>
        <w:rPr>
          <w:lang w:val="en-US" w:eastAsia="ja-JP"/>
        </w:rPr>
        <w:t>longer term</w:t>
      </w:r>
      <w:proofErr w:type="gramEnd"/>
      <w:r>
        <w:rPr>
          <w:lang w:val="en-US" w:eastAsia="ja-JP"/>
        </w:rPr>
        <w:t xml:space="preserve"> approach to building the generation portfolio. </w:t>
      </w:r>
      <w:proofErr w:type="gramStart"/>
      <w:r>
        <w:rPr>
          <w:lang w:val="en-US" w:eastAsia="ja-JP"/>
        </w:rPr>
        <w:t>The</w:t>
      </w:r>
      <w:proofErr w:type="gramEnd"/>
      <w:r>
        <w:rPr>
          <w:lang w:val="en-US" w:eastAsia="ja-JP"/>
        </w:rPr>
        <w:t xml:space="preserve"> can afford to write long term PPAs, to build generation and to manage a portfolio of projects in different stages of development.</w:t>
      </w:r>
    </w:p>
    <w:p w14:paraId="46704453" w14:textId="43FC94AA" w:rsidR="00AF2C70" w:rsidRPr="00450FF4" w:rsidRDefault="00AF2C70" w:rsidP="00450FF4">
      <w:pPr>
        <w:rPr>
          <w:lang w:val="en-US" w:eastAsia="ja-JP"/>
        </w:rPr>
      </w:pPr>
      <w:r>
        <w:rPr>
          <w:lang w:val="en-US" w:eastAsia="ja-JP"/>
        </w:rPr>
        <w:t xml:space="preserve">All the above remains true but from an investor perspective it is also true that (1) retail profits are the smaller piece of the pie and (2) a significant part of retail profits come from gas retailing and that is not a good business, (3) the retail business has faced the major headwind of behind the meter generation. No </w:t>
      </w:r>
      <w:proofErr w:type="spellStart"/>
      <w:r>
        <w:rPr>
          <w:lang w:val="en-US" w:eastAsia="ja-JP"/>
        </w:rPr>
        <w:t>Gentailer</w:t>
      </w:r>
      <w:proofErr w:type="spellEnd"/>
      <w:r>
        <w:rPr>
          <w:lang w:val="en-US" w:eastAsia="ja-JP"/>
        </w:rPr>
        <w:t xml:space="preserve"> has so far found the key to making major money out of behind the meter. </w:t>
      </w:r>
      <w:proofErr w:type="gramStart"/>
      <w:r>
        <w:rPr>
          <w:lang w:val="en-US" w:eastAsia="ja-JP"/>
        </w:rPr>
        <w:t>Indeed</w:t>
      </w:r>
      <w:proofErr w:type="gramEnd"/>
      <w:r>
        <w:rPr>
          <w:lang w:val="en-US" w:eastAsia="ja-JP"/>
        </w:rPr>
        <w:t xml:space="preserve"> ORG reported that its industry leading VPP remains loss making for the moment. Finally on the negative side of things was EA writing down its retail good will. </w:t>
      </w:r>
    </w:p>
    <w:p w14:paraId="733B14D7" w14:textId="4F06602F" w:rsidR="00450FF4" w:rsidRPr="00450FF4" w:rsidRDefault="004B3DE4" w:rsidP="00450FF4">
      <w:pPr>
        <w:pStyle w:val="Heading1"/>
        <w:rPr>
          <w:lang w:val="en-US" w:eastAsia="ja-JP"/>
        </w:rPr>
      </w:pPr>
      <w:r>
        <w:rPr>
          <w:lang w:val="en-US" w:eastAsia="ja-JP"/>
        </w:rPr>
        <w:lastRenderedPageBreak/>
        <w:t xml:space="preserve">AGL’s investible cash flow is hampered by </w:t>
      </w:r>
      <w:proofErr w:type="spellStart"/>
      <w:r>
        <w:rPr>
          <w:lang w:val="en-US" w:eastAsia="ja-JP"/>
        </w:rPr>
        <w:t>Tomago</w:t>
      </w:r>
      <w:proofErr w:type="spellEnd"/>
      <w:r>
        <w:rPr>
          <w:lang w:val="en-US" w:eastAsia="ja-JP"/>
        </w:rPr>
        <w:t xml:space="preserve"> and </w:t>
      </w:r>
      <w:proofErr w:type="gramStart"/>
      <w:r>
        <w:rPr>
          <w:lang w:val="en-US" w:eastAsia="ja-JP"/>
        </w:rPr>
        <w:t>maintenance</w:t>
      </w:r>
      <w:proofErr w:type="gramEnd"/>
    </w:p>
    <w:p w14:paraId="3C9B7018" w14:textId="77777777" w:rsidR="00450FF4" w:rsidRPr="00450FF4" w:rsidRDefault="00450FF4" w:rsidP="00450FF4">
      <w:pPr>
        <w:rPr>
          <w:lang w:val="en-US" w:eastAsia="ja-JP"/>
        </w:rPr>
      </w:pPr>
      <w:r w:rsidRPr="00450FF4">
        <w:rPr>
          <w:lang w:val="en-US" w:eastAsia="ja-JP"/>
        </w:rPr>
        <w:t xml:space="preserve">AGL appears to be going through one of its quiet phases. Historically the company has attempted many changes of direction, but ultimately nothing of substance has changed since ex CEO Michael Fraser (now Chair of APA) and Jerry </w:t>
      </w:r>
      <w:proofErr w:type="spellStart"/>
      <w:r w:rsidRPr="00450FF4">
        <w:rPr>
          <w:lang w:val="en-US" w:eastAsia="ja-JP"/>
        </w:rPr>
        <w:t>Maycock</w:t>
      </w:r>
      <w:proofErr w:type="spellEnd"/>
      <w:r w:rsidRPr="00450FF4">
        <w:rPr>
          <w:lang w:val="en-US" w:eastAsia="ja-JP"/>
        </w:rPr>
        <w:t xml:space="preserve"> (now Chair of </w:t>
      </w:r>
      <w:proofErr w:type="spellStart"/>
      <w:r w:rsidRPr="00450FF4">
        <w:rPr>
          <w:lang w:val="en-US" w:eastAsia="ja-JP"/>
        </w:rPr>
        <w:t>Transgrid</w:t>
      </w:r>
      <w:proofErr w:type="spellEnd"/>
      <w:r w:rsidRPr="00450FF4">
        <w:rPr>
          <w:lang w:val="en-US" w:eastAsia="ja-JP"/>
        </w:rPr>
        <w:t>) locked AGL into coal generation via LYA and Macquarie generation investments.</w:t>
      </w:r>
    </w:p>
    <w:p w14:paraId="32282974" w14:textId="77777777" w:rsidR="00450FF4" w:rsidRPr="00450FF4" w:rsidRDefault="00450FF4" w:rsidP="00450FF4">
      <w:pPr>
        <w:rPr>
          <w:lang w:val="en-US" w:eastAsia="ja-JP"/>
        </w:rPr>
      </w:pPr>
      <w:r w:rsidRPr="00450FF4">
        <w:rPr>
          <w:lang w:val="en-US" w:eastAsia="ja-JP"/>
        </w:rPr>
        <w:t xml:space="preserve">As the EPS chart shows those decisions were successful in the short </w:t>
      </w:r>
      <w:proofErr w:type="gramStart"/>
      <w:r w:rsidRPr="00450FF4">
        <w:rPr>
          <w:lang w:val="en-US" w:eastAsia="ja-JP"/>
        </w:rPr>
        <w:t>term  but</w:t>
      </w:r>
      <w:proofErr w:type="gramEnd"/>
      <w:r w:rsidRPr="00450FF4">
        <w:rPr>
          <w:lang w:val="en-US" w:eastAsia="ja-JP"/>
        </w:rPr>
        <w:t xml:space="preserve"> ultimately they condemned the company to failure.</w:t>
      </w:r>
    </w:p>
    <w:p w14:paraId="49CB0DB9" w14:textId="77777777" w:rsidR="00450FF4" w:rsidRPr="00450FF4" w:rsidRDefault="00450FF4" w:rsidP="00450FF4">
      <w:pPr>
        <w:rPr>
          <w:lang w:val="en-US" w:eastAsia="ja-JP"/>
        </w:rPr>
      </w:pPr>
      <w:r w:rsidRPr="00450FF4">
        <w:rPr>
          <w:lang w:val="en-US" w:eastAsia="ja-JP"/>
        </w:rPr>
        <w:t xml:space="preserve">Not only have the cash flows from LYA and </w:t>
      </w:r>
      <w:proofErr w:type="spellStart"/>
      <w:r w:rsidRPr="00450FF4">
        <w:rPr>
          <w:lang w:val="en-US" w:eastAsia="ja-JP"/>
        </w:rPr>
        <w:t>Macgen</w:t>
      </w:r>
      <w:proofErr w:type="spellEnd"/>
      <w:r w:rsidRPr="00450FF4">
        <w:rPr>
          <w:lang w:val="en-US" w:eastAsia="ja-JP"/>
        </w:rPr>
        <w:t xml:space="preserve"> not been reinvested in replacement capacity, </w:t>
      </w:r>
      <w:proofErr w:type="gramStart"/>
      <w:r w:rsidRPr="00450FF4">
        <w:rPr>
          <w:lang w:val="en-US" w:eastAsia="ja-JP"/>
        </w:rPr>
        <w:t>the cash flows are</w:t>
      </w:r>
      <w:proofErr w:type="gramEnd"/>
      <w:r w:rsidRPr="00450FF4">
        <w:rPr>
          <w:lang w:val="en-US" w:eastAsia="ja-JP"/>
        </w:rPr>
        <w:t xml:space="preserve"> likely a lot less than initially contemplated due to the $400 m or more that has to be invested each year to keep the plants running. </w:t>
      </w:r>
      <w:proofErr w:type="gramStart"/>
      <w:r w:rsidRPr="00450FF4">
        <w:rPr>
          <w:lang w:val="en-US" w:eastAsia="ja-JP"/>
        </w:rPr>
        <w:t>Indeed</w:t>
      </w:r>
      <w:proofErr w:type="gramEnd"/>
      <w:r w:rsidRPr="00450FF4">
        <w:rPr>
          <w:lang w:val="en-US" w:eastAsia="ja-JP"/>
        </w:rPr>
        <w:t xml:space="preserve"> forced outages at LYA continue to be an issue.</w:t>
      </w:r>
    </w:p>
    <w:p w14:paraId="22212F4D" w14:textId="77777777" w:rsidR="004B3DE4" w:rsidRPr="00450FF4" w:rsidRDefault="004B3DE4" w:rsidP="004B3DE4">
      <w:pPr>
        <w:pStyle w:val="Heading1"/>
        <w:rPr>
          <w:lang w:val="en-US" w:eastAsia="ja-JP"/>
        </w:rPr>
      </w:pPr>
      <w:r>
        <w:rPr>
          <w:lang w:val="en-US" w:eastAsia="ja-JP"/>
        </w:rPr>
        <w:t xml:space="preserve">AGL’s investible cash flow is hampered by </w:t>
      </w:r>
      <w:proofErr w:type="spellStart"/>
      <w:r>
        <w:rPr>
          <w:lang w:val="en-US" w:eastAsia="ja-JP"/>
        </w:rPr>
        <w:t>Tomago</w:t>
      </w:r>
      <w:proofErr w:type="spellEnd"/>
      <w:r>
        <w:rPr>
          <w:lang w:val="en-US" w:eastAsia="ja-JP"/>
        </w:rPr>
        <w:t xml:space="preserve"> and </w:t>
      </w:r>
      <w:proofErr w:type="gramStart"/>
      <w:r>
        <w:rPr>
          <w:lang w:val="en-US" w:eastAsia="ja-JP"/>
        </w:rPr>
        <w:t>maintenance</w:t>
      </w:r>
      <w:proofErr w:type="gramEnd"/>
    </w:p>
    <w:p w14:paraId="68E35BA3" w14:textId="133F4303" w:rsidR="004B3DE4" w:rsidRDefault="00450FF4" w:rsidP="00450FF4">
      <w:pPr>
        <w:rPr>
          <w:lang w:val="en-US" w:eastAsia="ja-JP"/>
        </w:rPr>
      </w:pPr>
      <w:r w:rsidRPr="00450FF4">
        <w:rPr>
          <w:lang w:val="en-US" w:eastAsia="ja-JP"/>
        </w:rPr>
        <w:t xml:space="preserve">AGL’s free cash flow depends </w:t>
      </w:r>
      <w:r w:rsidR="002109C6">
        <w:rPr>
          <w:lang w:val="en-US" w:eastAsia="ja-JP"/>
        </w:rPr>
        <w:t>on:</w:t>
      </w:r>
    </w:p>
    <w:p w14:paraId="1B7AA9D7" w14:textId="1F301D3D" w:rsidR="0027135B" w:rsidRDefault="002109C6" w:rsidP="002109C6">
      <w:pPr>
        <w:pStyle w:val="ListParagraph"/>
        <w:numPr>
          <w:ilvl w:val="0"/>
          <w:numId w:val="11"/>
        </w:numPr>
        <w:rPr>
          <w:lang w:val="en-US" w:eastAsia="ja-JP"/>
        </w:rPr>
      </w:pPr>
      <w:r>
        <w:rPr>
          <w:lang w:val="en-US" w:eastAsia="ja-JP"/>
        </w:rPr>
        <w:t xml:space="preserve">Price received by LYA and </w:t>
      </w:r>
      <w:proofErr w:type="spellStart"/>
      <w:r>
        <w:rPr>
          <w:lang w:val="en-US" w:eastAsia="ja-JP"/>
        </w:rPr>
        <w:t>Bayswater</w:t>
      </w:r>
      <w:proofErr w:type="spellEnd"/>
      <w:r>
        <w:rPr>
          <w:lang w:val="en-US" w:eastAsia="ja-JP"/>
        </w:rPr>
        <w:t xml:space="preserve">, but this sensitivity is lowered due to half </w:t>
      </w:r>
      <w:proofErr w:type="spellStart"/>
      <w:r>
        <w:rPr>
          <w:lang w:val="en-US" w:eastAsia="ja-JP"/>
        </w:rPr>
        <w:t>Bayswater</w:t>
      </w:r>
      <w:proofErr w:type="spellEnd"/>
      <w:r>
        <w:rPr>
          <w:lang w:val="en-US" w:eastAsia="ja-JP"/>
        </w:rPr>
        <w:t xml:space="preserve"> output sold at fixed price to </w:t>
      </w:r>
      <w:proofErr w:type="spellStart"/>
      <w:r>
        <w:rPr>
          <w:lang w:val="en-US" w:eastAsia="ja-JP"/>
        </w:rPr>
        <w:t>Tomago</w:t>
      </w:r>
      <w:proofErr w:type="spellEnd"/>
      <w:r>
        <w:rPr>
          <w:lang w:val="en-US" w:eastAsia="ja-JP"/>
        </w:rPr>
        <w:t xml:space="preserve"> smelter.</w:t>
      </w:r>
      <w:r w:rsidR="0027135B">
        <w:rPr>
          <w:lang w:val="en-US" w:eastAsia="ja-JP"/>
        </w:rPr>
        <w:t xml:space="preserve"> Essentially there is around 22 </w:t>
      </w:r>
      <w:proofErr w:type="spellStart"/>
      <w:r w:rsidR="0027135B">
        <w:rPr>
          <w:lang w:val="en-US" w:eastAsia="ja-JP"/>
        </w:rPr>
        <w:t>TWh</w:t>
      </w:r>
      <w:proofErr w:type="spellEnd"/>
      <w:r w:rsidR="0027135B">
        <w:rPr>
          <w:lang w:val="en-US" w:eastAsia="ja-JP"/>
        </w:rPr>
        <w:t xml:space="preserve"> of coal generation exposed to market prices such that a $1/MWh price change is say a $22 m change in </w:t>
      </w:r>
      <w:proofErr w:type="spellStart"/>
      <w:r w:rsidR="0027135B">
        <w:rPr>
          <w:lang w:val="en-US" w:eastAsia="ja-JP"/>
        </w:rPr>
        <w:t>ebitda</w:t>
      </w:r>
      <w:proofErr w:type="spellEnd"/>
      <w:r w:rsidR="0027135B">
        <w:rPr>
          <w:lang w:val="en-US" w:eastAsia="ja-JP"/>
        </w:rPr>
        <w:t>. The sensitivity to currently low Victorian prices is about double the sensitivity to NSW prices.</w:t>
      </w:r>
    </w:p>
    <w:p w14:paraId="71E9661C" w14:textId="21CEAAB9" w:rsidR="001F5B11" w:rsidRPr="001F5B11" w:rsidRDefault="0027135B" w:rsidP="001F5B11">
      <w:pPr>
        <w:pStyle w:val="ListParagraph"/>
        <w:numPr>
          <w:ilvl w:val="0"/>
          <w:numId w:val="11"/>
        </w:numPr>
        <w:rPr>
          <w:lang w:val="en-US" w:eastAsia="ja-JP"/>
        </w:rPr>
      </w:pPr>
      <w:r>
        <w:rPr>
          <w:lang w:val="en-US" w:eastAsia="ja-JP"/>
        </w:rPr>
        <w:t xml:space="preserve">Volumes: AGL makes close to $50/MWh from every MWh at </w:t>
      </w:r>
      <w:proofErr w:type="spellStart"/>
      <w:r>
        <w:rPr>
          <w:lang w:val="en-US" w:eastAsia="ja-JP"/>
        </w:rPr>
        <w:t>Bayswater</w:t>
      </w:r>
      <w:proofErr w:type="spellEnd"/>
      <w:r>
        <w:rPr>
          <w:lang w:val="en-US" w:eastAsia="ja-JP"/>
        </w:rPr>
        <w:t xml:space="preserve"> in NSW sold at spot and maybe $40/MWh from every MWh at </w:t>
      </w:r>
      <w:proofErr w:type="gramStart"/>
      <w:r>
        <w:rPr>
          <w:lang w:val="en-US" w:eastAsia="ja-JP"/>
        </w:rPr>
        <w:t>LYA  in</w:t>
      </w:r>
      <w:proofErr w:type="gramEnd"/>
      <w:r>
        <w:rPr>
          <w:lang w:val="en-US" w:eastAsia="ja-JP"/>
        </w:rPr>
        <w:t xml:space="preserve"> Victoria. But </w:t>
      </w:r>
      <w:proofErr w:type="gramStart"/>
      <w:r>
        <w:rPr>
          <w:lang w:val="en-US" w:eastAsia="ja-JP"/>
        </w:rPr>
        <w:t>actually</w:t>
      </w:r>
      <w:proofErr w:type="gramEnd"/>
      <w:r>
        <w:rPr>
          <w:lang w:val="en-US" w:eastAsia="ja-JP"/>
        </w:rPr>
        <w:t xml:space="preserve"> the sensitivity to hot weather might be </w:t>
      </w:r>
      <w:proofErr w:type="spellStart"/>
      <w:r>
        <w:rPr>
          <w:lang w:val="en-US" w:eastAsia="ja-JP"/>
        </w:rPr>
        <w:t>doube</w:t>
      </w:r>
      <w:proofErr w:type="spellEnd"/>
      <w:r>
        <w:rPr>
          <w:lang w:val="en-US" w:eastAsia="ja-JP"/>
        </w:rPr>
        <w:t xml:space="preserve"> or treble that because prices at dinner time are so much higher but costs don’t change.</w:t>
      </w:r>
      <w:r w:rsidR="00EF70E3">
        <w:rPr>
          <w:lang w:val="en-US" w:eastAsia="ja-JP"/>
        </w:rPr>
        <w:t xml:space="preserve"> Another 1 </w:t>
      </w:r>
      <w:proofErr w:type="spellStart"/>
      <w:r w:rsidR="00EF70E3">
        <w:rPr>
          <w:lang w:val="en-US" w:eastAsia="ja-JP"/>
        </w:rPr>
        <w:t>TWh</w:t>
      </w:r>
      <w:proofErr w:type="spellEnd"/>
      <w:r w:rsidR="00EF70E3">
        <w:rPr>
          <w:lang w:val="en-US" w:eastAsia="ja-JP"/>
        </w:rPr>
        <w:t xml:space="preserve"> at dinner time might add as much as $200/MWh or more and that’s $200 m of </w:t>
      </w:r>
      <w:proofErr w:type="spellStart"/>
      <w:r w:rsidR="00EF70E3">
        <w:rPr>
          <w:lang w:val="en-US" w:eastAsia="ja-JP"/>
        </w:rPr>
        <w:t>ebitda</w:t>
      </w:r>
      <w:proofErr w:type="spellEnd"/>
      <w:r w:rsidR="00EF70E3">
        <w:rPr>
          <w:lang w:val="en-US" w:eastAsia="ja-JP"/>
        </w:rPr>
        <w:t xml:space="preserve">. </w:t>
      </w:r>
      <w:r w:rsidR="001F5B11">
        <w:rPr>
          <w:lang w:val="en-US" w:eastAsia="ja-JP"/>
        </w:rPr>
        <w:t xml:space="preserve">For the six months ended Dec ’23 </w:t>
      </w:r>
      <w:proofErr w:type="spellStart"/>
      <w:r w:rsidR="001F5B11">
        <w:rPr>
          <w:lang w:val="en-US" w:eastAsia="ja-JP"/>
        </w:rPr>
        <w:t>Bayswater</w:t>
      </w:r>
      <w:proofErr w:type="spellEnd"/>
      <w:r w:rsidR="001F5B11">
        <w:rPr>
          <w:lang w:val="en-US" w:eastAsia="ja-JP"/>
        </w:rPr>
        <w:t xml:space="preserve"> volumes were, surprisingly, down 4% over PCP, but LYA did manage a 10% increase but that just represented a catch up on the poor performance of the Dec ’22 half.</w:t>
      </w:r>
    </w:p>
    <w:p w14:paraId="13864181" w14:textId="4547574A" w:rsidR="002109C6" w:rsidRDefault="002109C6" w:rsidP="002109C6">
      <w:pPr>
        <w:pStyle w:val="ListParagraph"/>
        <w:numPr>
          <w:ilvl w:val="0"/>
          <w:numId w:val="11"/>
        </w:numPr>
        <w:rPr>
          <w:lang w:val="en-US" w:eastAsia="ja-JP"/>
        </w:rPr>
      </w:pPr>
      <w:r>
        <w:rPr>
          <w:lang w:val="en-US" w:eastAsia="ja-JP"/>
        </w:rPr>
        <w:t xml:space="preserve">Coal cost change in NSW. </w:t>
      </w:r>
      <w:proofErr w:type="spellStart"/>
      <w:r>
        <w:rPr>
          <w:lang w:val="en-US" w:eastAsia="ja-JP"/>
        </w:rPr>
        <w:t>Bayswater</w:t>
      </w:r>
      <w:proofErr w:type="spellEnd"/>
      <w:r>
        <w:rPr>
          <w:lang w:val="en-US" w:eastAsia="ja-JP"/>
        </w:rPr>
        <w:t xml:space="preserve"> costs are around A$2/GJ or </w:t>
      </w:r>
      <w:r w:rsidR="00352DC8">
        <w:rPr>
          <w:lang w:val="en-US" w:eastAsia="ja-JP"/>
        </w:rPr>
        <w:t xml:space="preserve">as little as $20/MWh using AEMO data (9.5 GJ/MWh). </w:t>
      </w:r>
      <w:proofErr w:type="gramStart"/>
      <w:r w:rsidR="0027135B">
        <w:rPr>
          <w:lang w:val="en-US" w:eastAsia="ja-JP"/>
        </w:rPr>
        <w:t>However</w:t>
      </w:r>
      <w:proofErr w:type="gramEnd"/>
      <w:r w:rsidR="0027135B">
        <w:rPr>
          <w:lang w:val="en-US" w:eastAsia="ja-JP"/>
        </w:rPr>
        <w:t xml:space="preserve"> this estimate must be </w:t>
      </w:r>
      <w:r w:rsidR="0027135B">
        <w:rPr>
          <w:lang w:val="en-US" w:eastAsia="ja-JP"/>
        </w:rPr>
        <w:lastRenderedPageBreak/>
        <w:t>based on old existing contracts and my sense is that over A$100/t implying closer to $4.50/GJ and over $40/MWh is a better number.</w:t>
      </w:r>
    </w:p>
    <w:p w14:paraId="46E44BD2" w14:textId="77777777" w:rsidR="009F2759" w:rsidRDefault="001D7B42" w:rsidP="009F2759">
      <w:pPr>
        <w:pStyle w:val="BodyText"/>
        <w:keepNext/>
      </w:pPr>
      <w:r>
        <w:rPr>
          <w:lang w:val="en-US" w:eastAsia="ja-JP"/>
        </w:rPr>
        <w:t>Over the past year coal gen has averaged $110/MWh in NSW and $62/MWh in Victoria</w:t>
      </w:r>
      <w:r w:rsidR="001C2C0A">
        <w:rPr>
          <w:lang w:val="en-US" w:eastAsia="ja-JP"/>
        </w:rPr>
        <w:t>. My expectation remains for prices this year to be a bit less.</w:t>
      </w:r>
      <w:r w:rsidR="001C2C0A">
        <w:rPr>
          <w:lang w:val="en-US" w:eastAsia="ja-JP"/>
        </w:rPr>
        <w:br/>
      </w:r>
      <w:r w:rsidR="001C2C0A">
        <w:rPr>
          <w:lang w:val="en-US" w:eastAsia="ja-JP"/>
        </w:rPr>
        <w:br/>
      </w:r>
      <w:r w:rsidR="001C2C0A" w:rsidRPr="001C2C0A">
        <w:rPr>
          <w:lang w:val="en-US" w:eastAsia="ja-JP"/>
        </w:rPr>
        <w:drawing>
          <wp:inline distT="0" distB="0" distL="0" distR="0" wp14:anchorId="1BB3535D" wp14:editId="4991E3F6">
            <wp:extent cx="3784600" cy="4432300"/>
            <wp:effectExtent l="0" t="0" r="0" b="0"/>
            <wp:docPr id="87903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35530" name=""/>
                    <pic:cNvPicPr/>
                  </pic:nvPicPr>
                  <pic:blipFill>
                    <a:blip r:embed="rId5"/>
                    <a:stretch>
                      <a:fillRect/>
                    </a:stretch>
                  </pic:blipFill>
                  <pic:spPr>
                    <a:xfrm>
                      <a:off x="0" y="0"/>
                      <a:ext cx="3784600" cy="4432300"/>
                    </a:xfrm>
                    <a:prstGeom prst="rect">
                      <a:avLst/>
                    </a:prstGeom>
                  </pic:spPr>
                </pic:pic>
              </a:graphicData>
            </a:graphic>
          </wp:inline>
        </w:drawing>
      </w:r>
    </w:p>
    <w:p w14:paraId="10F4E1B0" w14:textId="624E8FC9" w:rsidR="001D7B42" w:rsidRDefault="009F2759" w:rsidP="009F2759">
      <w:pPr>
        <w:pStyle w:val="Caption"/>
      </w:pPr>
      <w:r>
        <w:t xml:space="preserve">Figure </w:t>
      </w:r>
      <w:r>
        <w:fldChar w:fldCharType="begin"/>
      </w:r>
      <w:r>
        <w:instrText xml:space="preserve"> SEQ Figure \* ARABIC </w:instrText>
      </w:r>
      <w:r>
        <w:fldChar w:fldCharType="separate"/>
      </w:r>
      <w:r w:rsidR="00101121">
        <w:rPr>
          <w:noProof/>
        </w:rPr>
        <w:t>1</w:t>
      </w:r>
      <w:r>
        <w:fldChar w:fldCharType="end"/>
      </w:r>
      <w:r>
        <w:t xml:space="preserve"> Fuel weighted prices. Source: NEM Review</w:t>
      </w:r>
    </w:p>
    <w:p w14:paraId="13802B4F" w14:textId="37DF6A11" w:rsidR="001D7B42" w:rsidRDefault="005F2EE2" w:rsidP="005F2EE2">
      <w:pPr>
        <w:pStyle w:val="BodyText"/>
        <w:rPr>
          <w:lang w:val="en-US" w:eastAsia="ja-JP"/>
        </w:rPr>
      </w:pPr>
      <w:r>
        <w:rPr>
          <w:lang w:val="en-US" w:eastAsia="ja-JP"/>
        </w:rPr>
        <w:t>The following table shows an estimate of AGL coal generation financials using spot prices</w:t>
      </w:r>
      <w:r w:rsidR="001D7B42">
        <w:rPr>
          <w:lang w:val="en-US" w:eastAsia="ja-JP"/>
        </w:rPr>
        <w:t xml:space="preserve"> (and spot is a bit below futures in NSW and </w:t>
      </w:r>
      <w:proofErr w:type="gramStart"/>
      <w:r w:rsidR="001D7B42">
        <w:rPr>
          <w:lang w:val="en-US" w:eastAsia="ja-JP"/>
        </w:rPr>
        <w:t xml:space="preserve">Victoria) </w:t>
      </w:r>
      <w:r>
        <w:rPr>
          <w:lang w:val="en-US" w:eastAsia="ja-JP"/>
        </w:rPr>
        <w:t xml:space="preserve"> but</w:t>
      </w:r>
      <w:proofErr w:type="gramEnd"/>
      <w:r>
        <w:rPr>
          <w:lang w:val="en-US" w:eastAsia="ja-JP"/>
        </w:rPr>
        <w:t xml:space="preserve"> adjusted for the </w:t>
      </w:r>
      <w:proofErr w:type="spellStart"/>
      <w:r>
        <w:rPr>
          <w:lang w:val="en-US" w:eastAsia="ja-JP"/>
        </w:rPr>
        <w:t>Tomago</w:t>
      </w:r>
      <w:proofErr w:type="spellEnd"/>
      <w:r>
        <w:rPr>
          <w:lang w:val="en-US" w:eastAsia="ja-JP"/>
        </w:rPr>
        <w:t xml:space="preserve"> price. </w:t>
      </w:r>
    </w:p>
    <w:p w14:paraId="1A92C3C4" w14:textId="77777777" w:rsidR="001D7B42" w:rsidRDefault="001D7B42" w:rsidP="005F2EE2">
      <w:pPr>
        <w:pStyle w:val="BodyText"/>
        <w:rPr>
          <w:lang w:val="en-US" w:eastAsia="ja-JP"/>
        </w:rPr>
      </w:pPr>
    </w:p>
    <w:p w14:paraId="50F2D2E4" w14:textId="63E6D575" w:rsidR="005F2EE2" w:rsidRDefault="005F2EE2" w:rsidP="005F2EE2">
      <w:pPr>
        <w:pStyle w:val="BodyText"/>
        <w:rPr>
          <w:lang w:val="en-US" w:eastAsia="ja-JP"/>
        </w:rPr>
      </w:pPr>
      <w:r>
        <w:rPr>
          <w:lang w:val="en-US" w:eastAsia="ja-JP"/>
        </w:rPr>
        <w:t>I used $2/</w:t>
      </w:r>
      <w:proofErr w:type="spellStart"/>
      <w:r>
        <w:rPr>
          <w:lang w:val="en-US" w:eastAsia="ja-JP"/>
        </w:rPr>
        <w:t>gj</w:t>
      </w:r>
      <w:proofErr w:type="spellEnd"/>
      <w:r>
        <w:rPr>
          <w:lang w:val="en-US" w:eastAsia="ja-JP"/>
        </w:rPr>
        <w:t xml:space="preserve"> per AEMO for the </w:t>
      </w:r>
      <w:proofErr w:type="spellStart"/>
      <w:r>
        <w:rPr>
          <w:lang w:val="en-US" w:eastAsia="ja-JP"/>
        </w:rPr>
        <w:t>Bayswater</w:t>
      </w:r>
      <w:proofErr w:type="spellEnd"/>
      <w:r>
        <w:rPr>
          <w:lang w:val="en-US" w:eastAsia="ja-JP"/>
        </w:rPr>
        <w:t xml:space="preserve"> fuel costs and AEMO estimates of other variable and fixed costs. </w:t>
      </w:r>
    </w:p>
    <w:p w14:paraId="1E7C0820" w14:textId="77777777" w:rsidR="001F5B11" w:rsidRPr="002109C6" w:rsidRDefault="001F5B11" w:rsidP="001F5B11">
      <w:pPr>
        <w:pStyle w:val="ListParagraph"/>
        <w:rPr>
          <w:lang w:val="en-US" w:eastAsia="ja-JP"/>
        </w:rPr>
      </w:pPr>
    </w:p>
    <w:p w14:paraId="0302B8D9" w14:textId="77777777" w:rsidR="00101121" w:rsidRDefault="005F2EE2" w:rsidP="00101121">
      <w:pPr>
        <w:keepNext/>
      </w:pPr>
      <w:r w:rsidRPr="005F2EE2">
        <w:rPr>
          <w:lang w:val="en-US" w:eastAsia="ja-JP"/>
        </w:rPr>
        <w:lastRenderedPageBreak/>
        <w:drawing>
          <wp:inline distT="0" distB="0" distL="0" distR="0" wp14:anchorId="766E9C39" wp14:editId="0C6C357D">
            <wp:extent cx="4419600" cy="4406900"/>
            <wp:effectExtent l="0" t="0" r="0" b="0"/>
            <wp:docPr id="25109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91983" name=""/>
                    <pic:cNvPicPr/>
                  </pic:nvPicPr>
                  <pic:blipFill>
                    <a:blip r:embed="rId6"/>
                    <a:stretch>
                      <a:fillRect/>
                    </a:stretch>
                  </pic:blipFill>
                  <pic:spPr>
                    <a:xfrm>
                      <a:off x="0" y="0"/>
                      <a:ext cx="4419600" cy="4406900"/>
                    </a:xfrm>
                    <a:prstGeom prst="rect">
                      <a:avLst/>
                    </a:prstGeom>
                  </pic:spPr>
                </pic:pic>
              </a:graphicData>
            </a:graphic>
          </wp:inline>
        </w:drawing>
      </w:r>
    </w:p>
    <w:p w14:paraId="1C9E08B0" w14:textId="4D323085" w:rsidR="004B3DE4" w:rsidRDefault="00101121" w:rsidP="0010112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AGL coal generation cash flow from 2026, Source: ITK</w:t>
      </w:r>
    </w:p>
    <w:p w14:paraId="5E0F8455" w14:textId="494099EB" w:rsidR="001D7B42" w:rsidRDefault="00101121" w:rsidP="00450FF4">
      <w:pPr>
        <w:rPr>
          <w:lang w:val="en-US" w:eastAsia="ja-JP"/>
        </w:rPr>
      </w:pPr>
      <w:proofErr w:type="gramStart"/>
      <w:r>
        <w:rPr>
          <w:lang w:val="en-US" w:eastAsia="ja-JP"/>
        </w:rPr>
        <w:t xml:space="preserve">In </w:t>
      </w:r>
      <w:r w:rsidR="001D7B42">
        <w:rPr>
          <w:lang w:val="en-US" w:eastAsia="ja-JP"/>
        </w:rPr>
        <w:t xml:space="preserve"> FY</w:t>
      </w:r>
      <w:proofErr w:type="gramEnd"/>
      <w:r w:rsidR="001D7B42">
        <w:rPr>
          <w:lang w:val="en-US" w:eastAsia="ja-JP"/>
        </w:rPr>
        <w:t xml:space="preserve">2024 and FY2025 its likely that AGL coal generation cash flow will be about $500-$600 m higher </w:t>
      </w:r>
      <w:r>
        <w:rPr>
          <w:lang w:val="en-US" w:eastAsia="ja-JP"/>
        </w:rPr>
        <w:t xml:space="preserve"> than shown in Fig 2, </w:t>
      </w:r>
      <w:r w:rsidR="001D7B42">
        <w:rPr>
          <w:lang w:val="en-US" w:eastAsia="ja-JP"/>
        </w:rPr>
        <w:t xml:space="preserve">as a result of contracts written during </w:t>
      </w:r>
      <w:r>
        <w:rPr>
          <w:lang w:val="en-US" w:eastAsia="ja-JP"/>
        </w:rPr>
        <w:t xml:space="preserve">2022 and 2023 </w:t>
      </w:r>
      <w:r w:rsidR="001D7B42">
        <w:rPr>
          <w:lang w:val="en-US" w:eastAsia="ja-JP"/>
        </w:rPr>
        <w:t xml:space="preserve">which will flow into profits in FY24 and FY25. </w:t>
      </w:r>
      <w:r w:rsidR="001C2C0A">
        <w:rPr>
          <w:lang w:val="en-US" w:eastAsia="ja-JP"/>
        </w:rPr>
        <w:t>The Winter 2022 price spike can be seen in the following graph that compares spot prices to futures.</w:t>
      </w:r>
    </w:p>
    <w:p w14:paraId="1814A275" w14:textId="77777777" w:rsidR="00101121" w:rsidRDefault="001C2C0A" w:rsidP="00101121">
      <w:pPr>
        <w:keepNext/>
      </w:pPr>
      <w:r w:rsidRPr="001C2C0A">
        <w:rPr>
          <w:lang w:val="en-US" w:eastAsia="ja-JP"/>
        </w:rPr>
        <w:drawing>
          <wp:inline distT="0" distB="0" distL="0" distR="0" wp14:anchorId="47C33DCD" wp14:editId="50B0D0CF">
            <wp:extent cx="5731510" cy="1638935"/>
            <wp:effectExtent l="0" t="0" r="0" b="0"/>
            <wp:docPr id="95013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33220" name=""/>
                    <pic:cNvPicPr/>
                  </pic:nvPicPr>
                  <pic:blipFill>
                    <a:blip r:embed="rId7"/>
                    <a:stretch>
                      <a:fillRect/>
                    </a:stretch>
                  </pic:blipFill>
                  <pic:spPr>
                    <a:xfrm>
                      <a:off x="0" y="0"/>
                      <a:ext cx="5731510" cy="1638935"/>
                    </a:xfrm>
                    <a:prstGeom prst="rect">
                      <a:avLst/>
                    </a:prstGeom>
                  </pic:spPr>
                </pic:pic>
              </a:graphicData>
            </a:graphic>
          </wp:inline>
        </w:drawing>
      </w:r>
    </w:p>
    <w:p w14:paraId="34E323E3" w14:textId="6D62FA76" w:rsidR="001C2C0A" w:rsidRDefault="00101121" w:rsidP="00101121">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Spot and futures prices in NSW and Victoria. Source: NEM Review</w:t>
      </w:r>
    </w:p>
    <w:p w14:paraId="1C2D7465" w14:textId="3D681C39" w:rsidR="00450FF4" w:rsidRPr="00450FF4" w:rsidRDefault="00450FF4" w:rsidP="00450FF4">
      <w:pPr>
        <w:rPr>
          <w:lang w:val="en-US" w:eastAsia="ja-JP"/>
        </w:rPr>
      </w:pPr>
      <w:proofErr w:type="spellStart"/>
      <w:r w:rsidRPr="00450FF4">
        <w:rPr>
          <w:lang w:val="en-US" w:eastAsia="ja-JP"/>
        </w:rPr>
        <w:t>Its</w:t>
      </w:r>
      <w:proofErr w:type="spellEnd"/>
      <w:r w:rsidRPr="00450FF4">
        <w:rPr>
          <w:lang w:val="en-US" w:eastAsia="ja-JP"/>
        </w:rPr>
        <w:t xml:space="preserve"> worth recalling that in NSW significant output is tied up in the </w:t>
      </w:r>
      <w:proofErr w:type="spellStart"/>
      <w:r w:rsidRPr="00450FF4">
        <w:rPr>
          <w:lang w:val="en-US" w:eastAsia="ja-JP"/>
        </w:rPr>
        <w:t>Tomago</w:t>
      </w:r>
      <w:proofErr w:type="spellEnd"/>
      <w:r w:rsidRPr="00450FF4">
        <w:rPr>
          <w:lang w:val="en-US" w:eastAsia="ja-JP"/>
        </w:rPr>
        <w:t xml:space="preserve"> smelter contract which runs until 2028 and in Victoria where pool prices are in any event </w:t>
      </w:r>
      <w:r w:rsidRPr="00450FF4">
        <w:rPr>
          <w:lang w:val="en-US" w:eastAsia="ja-JP"/>
        </w:rPr>
        <w:lastRenderedPageBreak/>
        <w:t xml:space="preserve">much lower, some output is tied up with Portland smelter. Those contracts although at much lower than futures prices, </w:t>
      </w:r>
      <w:proofErr w:type="gramStart"/>
      <w:r w:rsidRPr="00450FF4">
        <w:rPr>
          <w:lang w:val="en-US" w:eastAsia="ja-JP"/>
        </w:rPr>
        <w:t>nevertheless</w:t>
      </w:r>
      <w:proofErr w:type="gramEnd"/>
      <w:r w:rsidRPr="00450FF4">
        <w:rPr>
          <w:lang w:val="en-US" w:eastAsia="ja-JP"/>
        </w:rPr>
        <w:t xml:space="preserve"> are stable. In any </w:t>
      </w:r>
      <w:proofErr w:type="gramStart"/>
      <w:r w:rsidRPr="00450FF4">
        <w:rPr>
          <w:lang w:val="en-US" w:eastAsia="ja-JP"/>
        </w:rPr>
        <w:t>event  barring</w:t>
      </w:r>
      <w:proofErr w:type="gramEnd"/>
      <w:r w:rsidRPr="00450FF4">
        <w:rPr>
          <w:lang w:val="en-US" w:eastAsia="ja-JP"/>
        </w:rPr>
        <w:t xml:space="preserve"> an always possible system shock such as a major outage, flat load prices will likely remain low in Victoria until </w:t>
      </w:r>
      <w:proofErr w:type="spellStart"/>
      <w:r w:rsidRPr="00450FF4">
        <w:rPr>
          <w:lang w:val="en-US" w:eastAsia="ja-JP"/>
        </w:rPr>
        <w:t>Humelink</w:t>
      </w:r>
      <w:proofErr w:type="spellEnd"/>
      <w:r w:rsidRPr="00450FF4">
        <w:rPr>
          <w:lang w:val="en-US" w:eastAsia="ja-JP"/>
        </w:rPr>
        <w:t xml:space="preserve"> is complete and </w:t>
      </w:r>
      <w:proofErr w:type="spellStart"/>
      <w:r w:rsidRPr="00450FF4">
        <w:rPr>
          <w:lang w:val="en-US" w:eastAsia="ja-JP"/>
        </w:rPr>
        <w:t>Yallourn</w:t>
      </w:r>
      <w:proofErr w:type="spellEnd"/>
      <w:r w:rsidRPr="00450FF4">
        <w:rPr>
          <w:lang w:val="en-US" w:eastAsia="ja-JP"/>
        </w:rPr>
        <w:t xml:space="preserve"> closes. </w:t>
      </w:r>
      <w:proofErr w:type="spellStart"/>
      <w:r w:rsidRPr="00450FF4">
        <w:rPr>
          <w:lang w:val="en-US" w:eastAsia="ja-JP"/>
        </w:rPr>
        <w:t>Humelink</w:t>
      </w:r>
      <w:proofErr w:type="spellEnd"/>
      <w:r w:rsidRPr="00450FF4">
        <w:rPr>
          <w:lang w:val="en-US" w:eastAsia="ja-JP"/>
        </w:rPr>
        <w:t xml:space="preserve"> will, in my opinion, raise prices in Victoria by shifting some South Australian load into NSW, but it’s true that the reverse can happen.  </w:t>
      </w:r>
    </w:p>
    <w:p w14:paraId="16D702C9" w14:textId="77777777" w:rsidR="00450FF4" w:rsidRDefault="00450FF4" w:rsidP="00450FF4">
      <w:pPr>
        <w:rPr>
          <w:lang w:val="en-US" w:eastAsia="ja-JP"/>
        </w:rPr>
      </w:pPr>
      <w:r w:rsidRPr="00450FF4">
        <w:rPr>
          <w:lang w:val="en-US" w:eastAsia="ja-JP"/>
        </w:rPr>
        <w:t xml:space="preserve">In NSW there is also the obvious possibility of an outage but more supply from QLD should ease pressure even over 2024. Then in 2025 </w:t>
      </w:r>
      <w:proofErr w:type="spellStart"/>
      <w:r w:rsidRPr="00450FF4">
        <w:rPr>
          <w:lang w:val="en-US" w:eastAsia="ja-JP"/>
        </w:rPr>
        <w:t>Eraring</w:t>
      </w:r>
      <w:proofErr w:type="spellEnd"/>
      <w:r w:rsidRPr="00450FF4">
        <w:rPr>
          <w:lang w:val="en-US" w:eastAsia="ja-JP"/>
        </w:rPr>
        <w:t xml:space="preserve"> is still due to close putting pressure back on. </w:t>
      </w:r>
      <w:proofErr w:type="gramStart"/>
      <w:r w:rsidRPr="00450FF4">
        <w:rPr>
          <w:lang w:val="en-US" w:eastAsia="ja-JP"/>
        </w:rPr>
        <w:t>Also</w:t>
      </w:r>
      <w:proofErr w:type="gramEnd"/>
      <w:r w:rsidRPr="00450FF4">
        <w:rPr>
          <w:lang w:val="en-US" w:eastAsia="ja-JP"/>
        </w:rPr>
        <w:t xml:space="preserve"> in NSW it’s unclear whether thermal coal prices will continue to be controlled. Once </w:t>
      </w:r>
      <w:proofErr w:type="spellStart"/>
      <w:r w:rsidRPr="00450FF4">
        <w:rPr>
          <w:lang w:val="en-US" w:eastAsia="ja-JP"/>
        </w:rPr>
        <w:t>Eraring</w:t>
      </w:r>
      <w:proofErr w:type="spellEnd"/>
      <w:r w:rsidRPr="00450FF4">
        <w:rPr>
          <w:lang w:val="en-US" w:eastAsia="ja-JP"/>
        </w:rPr>
        <w:t xml:space="preserve"> closes there is less need for control at least around volume. Equally a </w:t>
      </w:r>
      <w:proofErr w:type="spellStart"/>
      <w:r w:rsidRPr="00450FF4">
        <w:rPr>
          <w:lang w:val="en-US" w:eastAsia="ja-JP"/>
        </w:rPr>
        <w:t>slowish</w:t>
      </w:r>
      <w:proofErr w:type="spellEnd"/>
      <w:r w:rsidRPr="00450FF4">
        <w:rPr>
          <w:lang w:val="en-US" w:eastAsia="ja-JP"/>
        </w:rPr>
        <w:t xml:space="preserve"> China and very strong Chinese domestic coal production point to a stable market. At this stage. Things change quickly.</w:t>
      </w:r>
    </w:p>
    <w:p w14:paraId="48A443C6" w14:textId="1CDE82EF" w:rsidR="001C2C0A" w:rsidRDefault="001C2C0A" w:rsidP="001C2C0A">
      <w:pPr>
        <w:pStyle w:val="Heading1"/>
        <w:rPr>
          <w:lang w:val="en-US" w:eastAsia="ja-JP"/>
        </w:rPr>
      </w:pPr>
      <w:r>
        <w:rPr>
          <w:lang w:val="en-US" w:eastAsia="ja-JP"/>
        </w:rPr>
        <w:t>AGL likely has $</w:t>
      </w:r>
      <w:r w:rsidR="00E37837">
        <w:rPr>
          <w:lang w:val="en-US" w:eastAsia="ja-JP"/>
        </w:rPr>
        <w:t>0.6</w:t>
      </w:r>
      <w:r>
        <w:rPr>
          <w:lang w:val="en-US" w:eastAsia="ja-JP"/>
        </w:rPr>
        <w:t xml:space="preserve"> bn to invest after dividends in each of the next two years.</w:t>
      </w:r>
    </w:p>
    <w:p w14:paraId="2A465B5E" w14:textId="31E566CD" w:rsidR="001C2C0A" w:rsidRDefault="001C2C0A" w:rsidP="001C2C0A">
      <w:pPr>
        <w:rPr>
          <w:lang w:val="en-US" w:eastAsia="ja-JP"/>
        </w:rPr>
      </w:pPr>
      <w:r>
        <w:rPr>
          <w:lang w:val="en-US" w:eastAsia="ja-JP"/>
        </w:rPr>
        <w:t xml:space="preserve">Consensus EBITDA is about $2 bn for each of FY24 and FY25. That is higher than my </w:t>
      </w:r>
      <w:proofErr w:type="gramStart"/>
      <w:r>
        <w:rPr>
          <w:lang w:val="en-US" w:eastAsia="ja-JP"/>
        </w:rPr>
        <w:t>medium term</w:t>
      </w:r>
      <w:proofErr w:type="gramEnd"/>
      <w:r>
        <w:rPr>
          <w:lang w:val="en-US" w:eastAsia="ja-JP"/>
        </w:rPr>
        <w:t xml:space="preserve"> forecast.</w:t>
      </w:r>
      <w:r w:rsidR="00E37837">
        <w:rPr>
          <w:lang w:val="en-US" w:eastAsia="ja-JP"/>
        </w:rPr>
        <w:t xml:space="preserve"> It does mean that AGL will have perhaps $600 m per year for at least this year and next to invest in replacing coal generation.</w:t>
      </w:r>
    </w:p>
    <w:p w14:paraId="1DE61886" w14:textId="77777777" w:rsidR="00101121" w:rsidRDefault="00E37837" w:rsidP="00101121">
      <w:pPr>
        <w:keepNext/>
      </w:pPr>
      <w:r w:rsidRPr="00E37837">
        <w:rPr>
          <w:lang w:val="en-US" w:eastAsia="ja-JP"/>
        </w:rPr>
        <w:drawing>
          <wp:inline distT="0" distB="0" distL="0" distR="0" wp14:anchorId="34C5E727" wp14:editId="2741833C">
            <wp:extent cx="3733800" cy="2146300"/>
            <wp:effectExtent l="0" t="0" r="0" b="0"/>
            <wp:docPr id="22812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2077" name=""/>
                    <pic:cNvPicPr/>
                  </pic:nvPicPr>
                  <pic:blipFill>
                    <a:blip r:embed="rId8"/>
                    <a:stretch>
                      <a:fillRect/>
                    </a:stretch>
                  </pic:blipFill>
                  <pic:spPr>
                    <a:xfrm>
                      <a:off x="0" y="0"/>
                      <a:ext cx="3733800" cy="2146300"/>
                    </a:xfrm>
                    <a:prstGeom prst="rect">
                      <a:avLst/>
                    </a:prstGeom>
                  </pic:spPr>
                </pic:pic>
              </a:graphicData>
            </a:graphic>
          </wp:inline>
        </w:drawing>
      </w:r>
    </w:p>
    <w:p w14:paraId="21233D6F" w14:textId="7C91CE44" w:rsidR="00E37837" w:rsidRDefault="00101121" w:rsidP="0010112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Near term AGL cash flow. Source: ITK, </w:t>
      </w:r>
      <w:proofErr w:type="spellStart"/>
      <w:r>
        <w:t>Factset</w:t>
      </w:r>
      <w:proofErr w:type="spellEnd"/>
    </w:p>
    <w:p w14:paraId="1923030F" w14:textId="2C39C13B" w:rsidR="00E37837" w:rsidRDefault="00E37837" w:rsidP="001C2C0A">
      <w:pPr>
        <w:rPr>
          <w:lang w:val="en-US" w:eastAsia="ja-JP"/>
        </w:rPr>
      </w:pPr>
      <w:proofErr w:type="gramStart"/>
      <w:r>
        <w:rPr>
          <w:lang w:val="en-US" w:eastAsia="ja-JP"/>
        </w:rPr>
        <w:t>Actually</w:t>
      </w:r>
      <w:proofErr w:type="gramEnd"/>
      <w:r>
        <w:rPr>
          <w:lang w:val="en-US" w:eastAsia="ja-JP"/>
        </w:rPr>
        <w:t xml:space="preserve"> a good part of that, say $400-$500 m is going to the Torrens Island battery. </w:t>
      </w:r>
    </w:p>
    <w:p w14:paraId="4EF21794" w14:textId="2D7A9DA8" w:rsidR="00E37837" w:rsidRDefault="00E37837" w:rsidP="00E37837">
      <w:pPr>
        <w:pStyle w:val="Heading1"/>
        <w:rPr>
          <w:lang w:val="en-US" w:eastAsia="ja-JP"/>
        </w:rPr>
      </w:pPr>
      <w:r>
        <w:rPr>
          <w:lang w:val="en-US" w:eastAsia="ja-JP"/>
        </w:rPr>
        <w:lastRenderedPageBreak/>
        <w:t xml:space="preserve">Conclusion. OK for the next two years but medium term </w:t>
      </w:r>
      <w:proofErr w:type="gramStart"/>
      <w:r>
        <w:rPr>
          <w:lang w:val="en-US" w:eastAsia="ja-JP"/>
        </w:rPr>
        <w:t>cloudy</w:t>
      </w:r>
      <w:proofErr w:type="gramEnd"/>
    </w:p>
    <w:p w14:paraId="01AD57CD" w14:textId="6B23E7F4" w:rsidR="00E37837" w:rsidRPr="001C2C0A" w:rsidRDefault="00E37837" w:rsidP="001C2C0A">
      <w:pPr>
        <w:rPr>
          <w:lang w:val="en-US" w:eastAsia="ja-JP"/>
        </w:rPr>
      </w:pPr>
      <w:r>
        <w:rPr>
          <w:lang w:val="en-US" w:eastAsia="ja-JP"/>
        </w:rPr>
        <w:t xml:space="preserve">At the moment I don’t see there is enough </w:t>
      </w:r>
      <w:proofErr w:type="gramStart"/>
      <w:r>
        <w:rPr>
          <w:lang w:val="en-US" w:eastAsia="ja-JP"/>
        </w:rPr>
        <w:t>medium term</w:t>
      </w:r>
      <w:proofErr w:type="gramEnd"/>
      <w:r>
        <w:rPr>
          <w:lang w:val="en-US" w:eastAsia="ja-JP"/>
        </w:rPr>
        <w:t xml:space="preserve"> cash flow for AGL to retain its current generation leading position in the market. Nor is it clear that there is a good earnings growth path once contract prices fall back to the futures level and volumes come under more pressure. There will be earnings from the Torrens Island battery but not that much else right now.</w:t>
      </w:r>
    </w:p>
    <w:p w14:paraId="74F313AC" w14:textId="77777777" w:rsidR="001C2C0A" w:rsidRPr="001C2C0A" w:rsidRDefault="001C2C0A" w:rsidP="001C2C0A">
      <w:pPr>
        <w:rPr>
          <w:lang w:val="en-US" w:eastAsia="ja-JP"/>
        </w:rPr>
      </w:pPr>
    </w:p>
    <w:p w14:paraId="46ADFD95" w14:textId="4A1D9E2A" w:rsidR="00345EE3" w:rsidRDefault="00345EE3" w:rsidP="00345EE3">
      <w:pPr>
        <w:pStyle w:val="Heading1"/>
        <w:rPr>
          <w:lang w:val="en-US" w:eastAsia="ja-JP"/>
        </w:rPr>
      </w:pPr>
      <w:r>
        <w:rPr>
          <w:lang w:val="en-US" w:eastAsia="ja-JP"/>
        </w:rPr>
        <w:t xml:space="preserve">NEM coal volumes keep dropping leading to generation </w:t>
      </w:r>
      <w:proofErr w:type="gramStart"/>
      <w:r>
        <w:rPr>
          <w:lang w:val="en-US" w:eastAsia="ja-JP"/>
        </w:rPr>
        <w:t>closures</w:t>
      </w:r>
      <w:proofErr w:type="gramEnd"/>
    </w:p>
    <w:p w14:paraId="699B34EE" w14:textId="6DC73DF2" w:rsidR="00345EE3" w:rsidRDefault="00345EE3" w:rsidP="00345EE3">
      <w:pPr>
        <w:rPr>
          <w:lang w:val="en-US" w:eastAsia="ja-JP"/>
        </w:rPr>
      </w:pPr>
      <w:r>
        <w:rPr>
          <w:lang w:val="en-US" w:eastAsia="ja-JP"/>
        </w:rPr>
        <w:t xml:space="preserve">Volumes in NSW and QLD are down 25% from 2018 and 12% in </w:t>
      </w:r>
      <w:proofErr w:type="spellStart"/>
      <w:proofErr w:type="gramStart"/>
      <w:r>
        <w:rPr>
          <w:lang w:val="en-US" w:eastAsia="ja-JP"/>
        </w:rPr>
        <w:t>Victorica</w:t>
      </w:r>
      <w:proofErr w:type="spellEnd"/>
      <w:proofErr w:type="gramEnd"/>
    </w:p>
    <w:p w14:paraId="2028A2FC" w14:textId="77777777" w:rsidR="00101121" w:rsidRDefault="00345EE3" w:rsidP="00101121">
      <w:pPr>
        <w:keepNext/>
      </w:pPr>
      <w:r w:rsidRPr="00345EE3">
        <w:rPr>
          <w:lang w:val="en-US" w:eastAsia="ja-JP"/>
        </w:rPr>
        <w:drawing>
          <wp:inline distT="0" distB="0" distL="0" distR="0" wp14:anchorId="73102166" wp14:editId="3C7C8976">
            <wp:extent cx="5731510" cy="1602740"/>
            <wp:effectExtent l="0" t="0" r="0" b="0"/>
            <wp:docPr id="182235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56984" name=""/>
                    <pic:cNvPicPr/>
                  </pic:nvPicPr>
                  <pic:blipFill>
                    <a:blip r:embed="rId9"/>
                    <a:stretch>
                      <a:fillRect/>
                    </a:stretch>
                  </pic:blipFill>
                  <pic:spPr>
                    <a:xfrm>
                      <a:off x="0" y="0"/>
                      <a:ext cx="5731510" cy="1602740"/>
                    </a:xfrm>
                    <a:prstGeom prst="rect">
                      <a:avLst/>
                    </a:prstGeom>
                  </pic:spPr>
                </pic:pic>
              </a:graphicData>
            </a:graphic>
          </wp:inline>
        </w:drawing>
      </w:r>
    </w:p>
    <w:p w14:paraId="15596E2C" w14:textId="7BF33C4D" w:rsidR="00345EE3" w:rsidRPr="00345EE3" w:rsidRDefault="00101121" w:rsidP="00101121">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NSW coal generation. Source: NEM Review</w:t>
      </w:r>
    </w:p>
    <w:p w14:paraId="3EBC2A95" w14:textId="77777777" w:rsidR="00101121" w:rsidRDefault="00345EE3" w:rsidP="00101121">
      <w:pPr>
        <w:keepNext/>
      </w:pPr>
      <w:r w:rsidRPr="00345EE3">
        <w:rPr>
          <w:lang w:val="en-US" w:eastAsia="ja-JP"/>
        </w:rPr>
        <w:drawing>
          <wp:inline distT="0" distB="0" distL="0" distR="0" wp14:anchorId="4EDCAD2E" wp14:editId="02EC9E26">
            <wp:extent cx="5130800" cy="1739900"/>
            <wp:effectExtent l="0" t="0" r="0" b="0"/>
            <wp:docPr id="51693436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34366" name="Picture 1" descr="A table with numbers and text&#10;&#10;Description automatically generated"/>
                    <pic:cNvPicPr/>
                  </pic:nvPicPr>
                  <pic:blipFill>
                    <a:blip r:embed="rId10"/>
                    <a:stretch>
                      <a:fillRect/>
                    </a:stretch>
                  </pic:blipFill>
                  <pic:spPr>
                    <a:xfrm>
                      <a:off x="0" y="0"/>
                      <a:ext cx="5130800" cy="1739900"/>
                    </a:xfrm>
                    <a:prstGeom prst="rect">
                      <a:avLst/>
                    </a:prstGeom>
                  </pic:spPr>
                </pic:pic>
              </a:graphicData>
            </a:graphic>
          </wp:inline>
        </w:drawing>
      </w:r>
    </w:p>
    <w:p w14:paraId="3BBD14FC" w14:textId="267E3060" w:rsidR="00345EE3" w:rsidRDefault="00101121" w:rsidP="0010112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Victorian coal generation. Source: NEM Review</w:t>
      </w:r>
    </w:p>
    <w:p w14:paraId="30844A53" w14:textId="77777777" w:rsidR="00101121" w:rsidRDefault="00345EE3" w:rsidP="00101121">
      <w:pPr>
        <w:keepNext/>
      </w:pPr>
      <w:r w:rsidRPr="00345EE3">
        <w:rPr>
          <w:lang w:val="en-US" w:eastAsia="ja-JP"/>
        </w:rPr>
        <w:lastRenderedPageBreak/>
        <w:drawing>
          <wp:inline distT="0" distB="0" distL="0" distR="0" wp14:anchorId="2BD91CFE" wp14:editId="1D338B96">
            <wp:extent cx="5731510" cy="1099820"/>
            <wp:effectExtent l="0" t="0" r="0" b="5080"/>
            <wp:docPr id="202660245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02452" name="Picture 1" descr="A table with numbers and text&#10;&#10;Description automatically generated"/>
                    <pic:cNvPicPr/>
                  </pic:nvPicPr>
                  <pic:blipFill>
                    <a:blip r:embed="rId11"/>
                    <a:stretch>
                      <a:fillRect/>
                    </a:stretch>
                  </pic:blipFill>
                  <pic:spPr>
                    <a:xfrm>
                      <a:off x="0" y="0"/>
                      <a:ext cx="5731510" cy="1099820"/>
                    </a:xfrm>
                    <a:prstGeom prst="rect">
                      <a:avLst/>
                    </a:prstGeom>
                  </pic:spPr>
                </pic:pic>
              </a:graphicData>
            </a:graphic>
          </wp:inline>
        </w:drawing>
      </w:r>
    </w:p>
    <w:p w14:paraId="0C548243" w14:textId="1EADC62E" w:rsidR="00345EE3" w:rsidRDefault="00101121" w:rsidP="00101121">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QLD coal generation. Source: NEM Review</w:t>
      </w:r>
    </w:p>
    <w:p w14:paraId="648420CD" w14:textId="6D37CDBA" w:rsidR="00345EE3" w:rsidRDefault="00345EE3" w:rsidP="00345EE3">
      <w:pPr>
        <w:rPr>
          <w:lang w:val="en-US" w:eastAsia="ja-JP"/>
        </w:rPr>
      </w:pPr>
      <w:r>
        <w:rPr>
          <w:lang w:val="en-US" w:eastAsia="ja-JP"/>
        </w:rPr>
        <w:t>What stands out is the overall consistency of the volume decline. This is obviously because NEM demand has been flat and renewable supply has been increasing.</w:t>
      </w:r>
    </w:p>
    <w:p w14:paraId="6CABBF1D" w14:textId="58119ABA" w:rsidR="00345EE3" w:rsidRDefault="00C61258" w:rsidP="00345EE3">
      <w:pPr>
        <w:rPr>
          <w:lang w:val="en-US" w:eastAsia="ja-JP"/>
        </w:rPr>
      </w:pPr>
      <w:proofErr w:type="gramStart"/>
      <w:r>
        <w:rPr>
          <w:lang w:val="en-US" w:eastAsia="ja-JP"/>
        </w:rPr>
        <w:t>So</w:t>
      </w:r>
      <w:proofErr w:type="gramEnd"/>
      <w:r>
        <w:rPr>
          <w:lang w:val="en-US" w:eastAsia="ja-JP"/>
        </w:rPr>
        <w:t xml:space="preserve"> for AGL the two great hopes in the next five years are the closures of </w:t>
      </w:r>
      <w:proofErr w:type="spellStart"/>
      <w:r>
        <w:rPr>
          <w:lang w:val="en-US" w:eastAsia="ja-JP"/>
        </w:rPr>
        <w:t>Yallourn</w:t>
      </w:r>
      <w:proofErr w:type="spellEnd"/>
      <w:r>
        <w:rPr>
          <w:lang w:val="en-US" w:eastAsia="ja-JP"/>
        </w:rPr>
        <w:t xml:space="preserve"> in Victoria and </w:t>
      </w:r>
      <w:proofErr w:type="spellStart"/>
      <w:r>
        <w:rPr>
          <w:lang w:val="en-US" w:eastAsia="ja-JP"/>
        </w:rPr>
        <w:t>Eraring</w:t>
      </w:r>
      <w:proofErr w:type="spellEnd"/>
      <w:r>
        <w:rPr>
          <w:lang w:val="en-US" w:eastAsia="ja-JP"/>
        </w:rPr>
        <w:t xml:space="preserve"> in NSW. The closure of </w:t>
      </w:r>
      <w:proofErr w:type="spellStart"/>
      <w:r>
        <w:rPr>
          <w:lang w:val="en-US" w:eastAsia="ja-JP"/>
        </w:rPr>
        <w:t>Yallourn</w:t>
      </w:r>
      <w:proofErr w:type="spellEnd"/>
      <w:r>
        <w:rPr>
          <w:lang w:val="en-US" w:eastAsia="ja-JP"/>
        </w:rPr>
        <w:t xml:space="preserve"> is </w:t>
      </w:r>
      <w:proofErr w:type="gramStart"/>
      <w:r>
        <w:rPr>
          <w:lang w:val="en-US" w:eastAsia="ja-JP"/>
        </w:rPr>
        <w:t>more or less certain</w:t>
      </w:r>
      <w:proofErr w:type="gramEnd"/>
      <w:r>
        <w:rPr>
          <w:lang w:val="en-US" w:eastAsia="ja-JP"/>
        </w:rPr>
        <w:t xml:space="preserve"> but </w:t>
      </w:r>
      <w:proofErr w:type="spellStart"/>
      <w:r>
        <w:rPr>
          <w:lang w:val="en-US" w:eastAsia="ja-JP"/>
        </w:rPr>
        <w:t>Eraring</w:t>
      </w:r>
      <w:proofErr w:type="spellEnd"/>
      <w:r>
        <w:rPr>
          <w:lang w:val="en-US" w:eastAsia="ja-JP"/>
        </w:rPr>
        <w:t xml:space="preserve"> much less so. </w:t>
      </w:r>
    </w:p>
    <w:p w14:paraId="12FADD9E" w14:textId="232A5EF2" w:rsidR="00C61258" w:rsidRPr="00345EE3" w:rsidRDefault="00C61258" w:rsidP="00345EE3">
      <w:pPr>
        <w:rPr>
          <w:lang w:val="en-US" w:eastAsia="ja-JP"/>
        </w:rPr>
      </w:pPr>
      <w:r>
        <w:rPr>
          <w:lang w:val="en-US" w:eastAsia="ja-JP"/>
        </w:rPr>
        <w:t xml:space="preserve">In </w:t>
      </w:r>
      <w:proofErr w:type="gramStart"/>
      <w:r>
        <w:rPr>
          <w:lang w:val="en-US" w:eastAsia="ja-JP"/>
        </w:rPr>
        <w:t>fact</w:t>
      </w:r>
      <w:proofErr w:type="gramEnd"/>
      <w:r>
        <w:rPr>
          <w:lang w:val="en-US" w:eastAsia="ja-JP"/>
        </w:rPr>
        <w:t xml:space="preserve"> I’d argue that Origin has basically created a situation where </w:t>
      </w:r>
      <w:proofErr w:type="spellStart"/>
      <w:r>
        <w:rPr>
          <w:lang w:val="en-US" w:eastAsia="ja-JP"/>
        </w:rPr>
        <w:t>Eraring</w:t>
      </w:r>
      <w:proofErr w:type="spellEnd"/>
      <w:r>
        <w:rPr>
          <w:lang w:val="en-US" w:eastAsia="ja-JP"/>
        </w:rPr>
        <w:t xml:space="preserve"> can’t be closed, and that’s because Origin has done</w:t>
      </w:r>
    </w:p>
    <w:p w14:paraId="5192A66B" w14:textId="30E04A90" w:rsidR="00450FF4" w:rsidRPr="00450FF4" w:rsidRDefault="00450FF4" w:rsidP="00B428B4">
      <w:pPr>
        <w:pStyle w:val="Heading1"/>
        <w:rPr>
          <w:lang w:val="en-US" w:eastAsia="ja-JP"/>
        </w:rPr>
      </w:pPr>
      <w:r w:rsidRPr="00450FF4">
        <w:rPr>
          <w:lang w:val="en-US" w:eastAsia="ja-JP"/>
        </w:rPr>
        <w:t xml:space="preserve">AGL and Tilt </w:t>
      </w:r>
    </w:p>
    <w:p w14:paraId="02074911" w14:textId="25C8C947" w:rsidR="00450FF4" w:rsidRPr="00450FF4" w:rsidRDefault="00450FF4" w:rsidP="00450FF4">
      <w:pPr>
        <w:rPr>
          <w:lang w:val="en-US" w:eastAsia="ja-JP"/>
        </w:rPr>
      </w:pPr>
      <w:r w:rsidRPr="00450FF4">
        <w:rPr>
          <w:lang w:val="en-US" w:eastAsia="ja-JP"/>
        </w:rPr>
        <w:t>Tilt has a new Chief Executive</w:t>
      </w:r>
      <w:r w:rsidR="00F66F37">
        <w:rPr>
          <w:lang w:val="en-US" w:eastAsia="ja-JP"/>
        </w:rPr>
        <w:t xml:space="preserve">, with </w:t>
      </w:r>
      <w:proofErr w:type="spellStart"/>
      <w:r w:rsidR="00F66F37">
        <w:rPr>
          <w:lang w:val="en-US" w:eastAsia="ja-JP"/>
        </w:rPr>
        <w:t>expirence</w:t>
      </w:r>
      <w:proofErr w:type="spellEnd"/>
      <w:r w:rsidR="00F66F37">
        <w:rPr>
          <w:lang w:val="en-US" w:eastAsia="ja-JP"/>
        </w:rPr>
        <w:t xml:space="preserve"> and knowledge of AGL. </w:t>
      </w:r>
      <w:r w:rsidRPr="00450FF4">
        <w:rPr>
          <w:lang w:val="en-US" w:eastAsia="ja-JP"/>
        </w:rPr>
        <w:t xml:space="preserve"> </w:t>
      </w:r>
      <w:proofErr w:type="spellStart"/>
      <w:r w:rsidR="00F66F37">
        <w:rPr>
          <w:lang w:val="en-US" w:eastAsia="ja-JP"/>
        </w:rPr>
        <w:t>Its</w:t>
      </w:r>
      <w:proofErr w:type="spellEnd"/>
      <w:r w:rsidR="00F66F37">
        <w:rPr>
          <w:lang w:val="en-US" w:eastAsia="ja-JP"/>
        </w:rPr>
        <w:t xml:space="preserve"> possible that Tilt may therefore have some change of policy or emphasis</w:t>
      </w:r>
      <w:r w:rsidRPr="00450FF4">
        <w:rPr>
          <w:lang w:val="en-US" w:eastAsia="ja-JP"/>
        </w:rPr>
        <w:t xml:space="preserve">. Nevertheless it’s expected that as Tilt develops new projects, project output will or must be </w:t>
      </w:r>
      <w:proofErr w:type="gramStart"/>
      <w:r w:rsidRPr="00450FF4">
        <w:rPr>
          <w:lang w:val="en-US" w:eastAsia="ja-JP"/>
        </w:rPr>
        <w:t>offered  first</w:t>
      </w:r>
      <w:proofErr w:type="gramEnd"/>
      <w:r w:rsidRPr="00450FF4">
        <w:rPr>
          <w:lang w:val="en-US" w:eastAsia="ja-JP"/>
        </w:rPr>
        <w:t xml:space="preserve"> to 20% shareholder AGL. The 1 GW Liverpool Range project is likely the first of these to be announced. The project falls in the </w:t>
      </w:r>
      <w:proofErr w:type="spellStart"/>
      <w:r w:rsidRPr="00450FF4">
        <w:rPr>
          <w:lang w:val="en-US" w:eastAsia="ja-JP"/>
        </w:rPr>
        <w:t>Orana</w:t>
      </w:r>
      <w:proofErr w:type="spellEnd"/>
      <w:r w:rsidRPr="00450FF4">
        <w:rPr>
          <w:lang w:val="en-US" w:eastAsia="ja-JP"/>
        </w:rPr>
        <w:t xml:space="preserve"> REZ from which transmission is now secured or at </w:t>
      </w:r>
      <w:proofErr w:type="spellStart"/>
      <w:r w:rsidRPr="00450FF4">
        <w:rPr>
          <w:lang w:val="en-US" w:eastAsia="ja-JP"/>
        </w:rPr>
        <w:t>leas</w:t>
      </w:r>
      <w:proofErr w:type="spellEnd"/>
      <w:r w:rsidRPr="00450FF4">
        <w:rPr>
          <w:lang w:val="en-US" w:eastAsia="ja-JP"/>
        </w:rPr>
        <w:t xml:space="preserve"> the price for connection can be agreed. Liverpool Range capital cost is likely closer to $3 bn than $2 bn once construction interest and </w:t>
      </w:r>
      <w:proofErr w:type="gramStart"/>
      <w:r w:rsidRPr="00450FF4">
        <w:rPr>
          <w:lang w:val="en-US" w:eastAsia="ja-JP"/>
        </w:rPr>
        <w:t>pre FID</w:t>
      </w:r>
      <w:proofErr w:type="gramEnd"/>
      <w:r w:rsidRPr="00450FF4">
        <w:rPr>
          <w:lang w:val="en-US" w:eastAsia="ja-JP"/>
        </w:rPr>
        <w:t xml:space="preserve"> costs are accounted for.</w:t>
      </w:r>
    </w:p>
    <w:p w14:paraId="6C8ABDC1" w14:textId="77777777" w:rsidR="00450FF4" w:rsidRPr="00450FF4" w:rsidRDefault="00450FF4" w:rsidP="00450FF4">
      <w:pPr>
        <w:rPr>
          <w:lang w:val="en-US" w:eastAsia="ja-JP"/>
        </w:rPr>
      </w:pPr>
      <w:r w:rsidRPr="00450FF4">
        <w:rPr>
          <w:lang w:val="en-US" w:eastAsia="ja-JP"/>
        </w:rPr>
        <w:t xml:space="preserve">Even so AGL’s share of the equity is likely to be well within its annual free cash flow capability.  </w:t>
      </w:r>
    </w:p>
    <w:p w14:paraId="219E983E" w14:textId="77777777" w:rsidR="00450FF4" w:rsidRPr="00450FF4" w:rsidRDefault="00450FF4" w:rsidP="00450FF4">
      <w:pPr>
        <w:rPr>
          <w:lang w:val="en-US" w:eastAsia="ja-JP"/>
        </w:rPr>
      </w:pPr>
      <w:r w:rsidRPr="00450FF4">
        <w:rPr>
          <w:lang w:val="en-US" w:eastAsia="ja-JP"/>
        </w:rPr>
        <w:t xml:space="preserve">From its role as Liverpool Range’s off taker </w:t>
      </w:r>
      <w:proofErr w:type="gramStart"/>
      <w:r w:rsidRPr="00450FF4">
        <w:rPr>
          <w:lang w:val="en-US" w:eastAsia="ja-JP"/>
        </w:rPr>
        <w:t>a  1</w:t>
      </w:r>
      <w:proofErr w:type="gramEnd"/>
      <w:r w:rsidRPr="00450FF4">
        <w:rPr>
          <w:lang w:val="en-US" w:eastAsia="ja-JP"/>
        </w:rPr>
        <w:t xml:space="preserve"> GW wind farm with a capacity factor of 34% is going to produce about 3 </w:t>
      </w:r>
      <w:proofErr w:type="spellStart"/>
      <w:r w:rsidRPr="00450FF4">
        <w:rPr>
          <w:lang w:val="en-US" w:eastAsia="ja-JP"/>
        </w:rPr>
        <w:t>TWh</w:t>
      </w:r>
      <w:proofErr w:type="spellEnd"/>
      <w:r w:rsidRPr="00450FF4">
        <w:rPr>
          <w:lang w:val="en-US" w:eastAsia="ja-JP"/>
        </w:rPr>
        <w:t xml:space="preserve"> of energy, and at $70/MWh that’s $210 m of commitment per year and over 15 years </w:t>
      </w:r>
      <w:proofErr w:type="spellStart"/>
      <w:r w:rsidRPr="00450FF4">
        <w:rPr>
          <w:lang w:val="en-US" w:eastAsia="ja-JP"/>
        </w:rPr>
        <w:t>thats</w:t>
      </w:r>
      <w:proofErr w:type="spellEnd"/>
      <w:r w:rsidRPr="00450FF4">
        <w:rPr>
          <w:lang w:val="en-US" w:eastAsia="ja-JP"/>
        </w:rPr>
        <w:t xml:space="preserve"> a $3 bn gross liability, maybe half that in present value terms.</w:t>
      </w:r>
    </w:p>
    <w:p w14:paraId="5C4347FB" w14:textId="77777777" w:rsidR="00450FF4" w:rsidRPr="00450FF4" w:rsidRDefault="00450FF4" w:rsidP="00450FF4">
      <w:pPr>
        <w:rPr>
          <w:lang w:val="en-US" w:eastAsia="ja-JP"/>
        </w:rPr>
      </w:pPr>
      <w:r w:rsidRPr="00450FF4">
        <w:rPr>
          <w:lang w:val="en-US" w:eastAsia="ja-JP"/>
        </w:rPr>
        <w:lastRenderedPageBreak/>
        <w:t xml:space="preserve">Liverpool Range, even if committed in FY24, as is possible, won’t be in operation until </w:t>
      </w:r>
      <w:proofErr w:type="gramStart"/>
      <w:r w:rsidRPr="00450FF4">
        <w:rPr>
          <w:lang w:val="en-US" w:eastAsia="ja-JP"/>
        </w:rPr>
        <w:t>FY27</w:t>
      </w:r>
      <w:proofErr w:type="gramEnd"/>
    </w:p>
    <w:p w14:paraId="1C2D50A3" w14:textId="77777777" w:rsidR="00450FF4" w:rsidRPr="00450FF4" w:rsidRDefault="00450FF4" w:rsidP="00450FF4">
      <w:pPr>
        <w:rPr>
          <w:lang w:val="en-US" w:eastAsia="ja-JP"/>
        </w:rPr>
      </w:pPr>
      <w:r w:rsidRPr="00450FF4">
        <w:rPr>
          <w:lang w:val="en-US" w:eastAsia="ja-JP"/>
        </w:rPr>
        <w:t xml:space="preserve">AGL needs 18-24 </w:t>
      </w:r>
      <w:proofErr w:type="spellStart"/>
      <w:r w:rsidRPr="00450FF4">
        <w:rPr>
          <w:lang w:val="en-US" w:eastAsia="ja-JP"/>
        </w:rPr>
        <w:t>TWh</w:t>
      </w:r>
      <w:proofErr w:type="spellEnd"/>
      <w:r w:rsidRPr="00450FF4">
        <w:rPr>
          <w:lang w:val="en-US" w:eastAsia="ja-JP"/>
        </w:rPr>
        <w:t xml:space="preserve"> representing around 8-10 GW of wind and solar to replace LYA and </w:t>
      </w:r>
      <w:proofErr w:type="spellStart"/>
      <w:r w:rsidRPr="00450FF4">
        <w:rPr>
          <w:lang w:val="en-US" w:eastAsia="ja-JP"/>
        </w:rPr>
        <w:t>Bayswater</w:t>
      </w:r>
      <w:proofErr w:type="spellEnd"/>
      <w:r w:rsidRPr="00450FF4">
        <w:rPr>
          <w:lang w:val="en-US" w:eastAsia="ja-JP"/>
        </w:rPr>
        <w:t xml:space="preserve">. Likely there will be some loss of generation market share along the way. It’s hard to see AGL continuing to be the sole supplier to </w:t>
      </w:r>
      <w:proofErr w:type="spellStart"/>
      <w:r w:rsidRPr="00450FF4">
        <w:rPr>
          <w:lang w:val="en-US" w:eastAsia="ja-JP"/>
        </w:rPr>
        <w:t>Tomago</w:t>
      </w:r>
      <w:proofErr w:type="spellEnd"/>
      <w:r w:rsidRPr="00450FF4">
        <w:rPr>
          <w:lang w:val="en-US" w:eastAsia="ja-JP"/>
        </w:rPr>
        <w:t xml:space="preserve">. It’s not an arrangement that seems to suit either party particularly </w:t>
      </w:r>
      <w:proofErr w:type="gramStart"/>
      <w:r w:rsidRPr="00450FF4">
        <w:rPr>
          <w:lang w:val="en-US" w:eastAsia="ja-JP"/>
        </w:rPr>
        <w:t>and</w:t>
      </w:r>
      <w:proofErr w:type="gramEnd"/>
      <w:r w:rsidRPr="00450FF4">
        <w:rPr>
          <w:lang w:val="en-US" w:eastAsia="ja-JP"/>
        </w:rPr>
        <w:t xml:space="preserve"> has become more problematic for AGL post the closure of Liddell as </w:t>
      </w:r>
      <w:proofErr w:type="spellStart"/>
      <w:r w:rsidRPr="00450FF4">
        <w:rPr>
          <w:lang w:val="en-US" w:eastAsia="ja-JP"/>
        </w:rPr>
        <w:t>Tomago</w:t>
      </w:r>
      <w:proofErr w:type="spellEnd"/>
      <w:r w:rsidRPr="00450FF4">
        <w:rPr>
          <w:lang w:val="en-US" w:eastAsia="ja-JP"/>
        </w:rPr>
        <w:t xml:space="preserve"> notionally represents more than 50% of </w:t>
      </w:r>
      <w:proofErr w:type="spellStart"/>
      <w:r w:rsidRPr="00450FF4">
        <w:rPr>
          <w:lang w:val="en-US" w:eastAsia="ja-JP"/>
        </w:rPr>
        <w:t>Bayswater</w:t>
      </w:r>
      <w:proofErr w:type="spellEnd"/>
      <w:r w:rsidRPr="00450FF4">
        <w:rPr>
          <w:lang w:val="en-US" w:eastAsia="ja-JP"/>
        </w:rPr>
        <w:t xml:space="preserve"> output.</w:t>
      </w:r>
    </w:p>
    <w:p w14:paraId="117B38A3" w14:textId="22DE77C5" w:rsidR="00450FF4" w:rsidRPr="00450FF4" w:rsidRDefault="00450FF4" w:rsidP="00F66F37">
      <w:pPr>
        <w:pStyle w:val="Heading1"/>
        <w:rPr>
          <w:lang w:val="en-US" w:eastAsia="ja-JP"/>
        </w:rPr>
      </w:pPr>
      <w:r w:rsidRPr="00450FF4">
        <w:rPr>
          <w:lang w:val="en-US" w:eastAsia="ja-JP"/>
        </w:rPr>
        <w:t xml:space="preserve">AGL </w:t>
      </w:r>
      <w:proofErr w:type="gramStart"/>
      <w:r w:rsidRPr="00450FF4">
        <w:rPr>
          <w:lang w:val="en-US" w:eastAsia="ja-JP"/>
        </w:rPr>
        <w:t xml:space="preserve">and  </w:t>
      </w:r>
      <w:proofErr w:type="spellStart"/>
      <w:r w:rsidRPr="00450FF4">
        <w:rPr>
          <w:lang w:val="en-US" w:eastAsia="ja-JP"/>
        </w:rPr>
        <w:t>and</w:t>
      </w:r>
      <w:proofErr w:type="spellEnd"/>
      <w:proofErr w:type="gramEnd"/>
      <w:r w:rsidRPr="00450FF4">
        <w:rPr>
          <w:lang w:val="en-US" w:eastAsia="ja-JP"/>
        </w:rPr>
        <w:t xml:space="preserve"> the Capacity Investment Scheme</w:t>
      </w:r>
    </w:p>
    <w:p w14:paraId="3F387A44" w14:textId="77777777" w:rsidR="00450FF4" w:rsidRPr="00450FF4" w:rsidRDefault="00450FF4" w:rsidP="00450FF4">
      <w:pPr>
        <w:rPr>
          <w:lang w:val="en-US" w:eastAsia="ja-JP"/>
        </w:rPr>
      </w:pPr>
      <w:r w:rsidRPr="00450FF4">
        <w:rPr>
          <w:lang w:val="en-US" w:eastAsia="ja-JP"/>
        </w:rPr>
        <w:t xml:space="preserve"> It’s no secret that lots of new wind and solar is and will be built. The question is what </w:t>
      </w:r>
      <w:proofErr w:type="gramStart"/>
      <w:r w:rsidRPr="00450FF4">
        <w:rPr>
          <w:lang w:val="en-US" w:eastAsia="ja-JP"/>
        </w:rPr>
        <w:t>does that mean</w:t>
      </w:r>
      <w:proofErr w:type="gramEnd"/>
      <w:r w:rsidRPr="00450FF4">
        <w:rPr>
          <w:lang w:val="en-US" w:eastAsia="ja-JP"/>
        </w:rPr>
        <w:t xml:space="preserve"> for AGL.</w:t>
      </w:r>
    </w:p>
    <w:p w14:paraId="371BAC8D" w14:textId="058A6819" w:rsidR="00450FF4" w:rsidRDefault="00450FF4" w:rsidP="00450FF4">
      <w:pPr>
        <w:rPr>
          <w:lang w:val="en-US" w:eastAsia="ja-JP"/>
        </w:rPr>
      </w:pPr>
      <w:r w:rsidRPr="00450FF4">
        <w:rPr>
          <w:lang w:val="en-US" w:eastAsia="ja-JP"/>
        </w:rPr>
        <w:t xml:space="preserve">In the first instance it likely means that </w:t>
      </w:r>
      <w:proofErr w:type="spellStart"/>
      <w:r w:rsidRPr="00450FF4">
        <w:rPr>
          <w:lang w:val="en-US" w:eastAsia="ja-JP"/>
        </w:rPr>
        <w:t>Bayswater</w:t>
      </w:r>
      <w:proofErr w:type="spellEnd"/>
      <w:r w:rsidRPr="00450FF4">
        <w:rPr>
          <w:lang w:val="en-US" w:eastAsia="ja-JP"/>
        </w:rPr>
        <w:t xml:space="preserve"> and LYA revenue will </w:t>
      </w:r>
      <w:proofErr w:type="gramStart"/>
      <w:r w:rsidRPr="00450FF4">
        <w:rPr>
          <w:lang w:val="en-US" w:eastAsia="ja-JP"/>
        </w:rPr>
        <w:t>fall</w:t>
      </w:r>
      <w:proofErr w:type="gramEnd"/>
      <w:r w:rsidRPr="00450FF4">
        <w:rPr>
          <w:lang w:val="en-US" w:eastAsia="ja-JP"/>
        </w:rPr>
        <w:t xml:space="preserve"> and unit costs will rise. That’s because the new supply will see volumes falling to the minimum viable level during solar hours and prices also very low. Competitors with higher costs, </w:t>
      </w:r>
      <w:proofErr w:type="spellStart"/>
      <w:r w:rsidRPr="00450FF4">
        <w:rPr>
          <w:lang w:val="en-US" w:eastAsia="ja-JP"/>
        </w:rPr>
        <w:t>Yallourn</w:t>
      </w:r>
      <w:proofErr w:type="spellEnd"/>
      <w:r w:rsidRPr="00450FF4">
        <w:rPr>
          <w:lang w:val="en-US" w:eastAsia="ja-JP"/>
        </w:rPr>
        <w:t xml:space="preserve"> and </w:t>
      </w:r>
      <w:proofErr w:type="spellStart"/>
      <w:r w:rsidRPr="00450FF4">
        <w:rPr>
          <w:lang w:val="en-US" w:eastAsia="ja-JP"/>
        </w:rPr>
        <w:t>Eraring</w:t>
      </w:r>
      <w:proofErr w:type="spellEnd"/>
      <w:r w:rsidRPr="00450FF4">
        <w:rPr>
          <w:lang w:val="en-US" w:eastAsia="ja-JP"/>
        </w:rPr>
        <w:t xml:space="preserve"> will close sooner and may relieve the volume but not the midday price pressure. </w:t>
      </w:r>
    </w:p>
    <w:p w14:paraId="0CA95634" w14:textId="5CEE4F61" w:rsidR="001D7B42" w:rsidRDefault="001D7B42" w:rsidP="00450FF4">
      <w:pPr>
        <w:rPr>
          <w:lang w:val="en-US" w:eastAsia="ja-JP"/>
        </w:rPr>
      </w:pPr>
      <w:r>
        <w:rPr>
          <w:lang w:val="en-US" w:eastAsia="ja-JP"/>
        </w:rPr>
        <w:t xml:space="preserve">In any event my conclusion is that the CIS provides a pathway for the </w:t>
      </w:r>
      <w:proofErr w:type="spellStart"/>
      <w:r>
        <w:rPr>
          <w:lang w:val="en-US" w:eastAsia="ja-JP"/>
        </w:rPr>
        <w:t>Gentailers</w:t>
      </w:r>
      <w:proofErr w:type="spellEnd"/>
      <w:r>
        <w:rPr>
          <w:lang w:val="en-US" w:eastAsia="ja-JP"/>
        </w:rPr>
        <w:t xml:space="preserve"> to get out of the mess they have made for themselves, and they should, but probably won’t, be grateful to Chris Bowen.</w:t>
      </w:r>
    </w:p>
    <w:p w14:paraId="02F3E0AF" w14:textId="4DE0E9B5" w:rsidR="00F66F37" w:rsidRDefault="00F66F37" w:rsidP="00F66F37">
      <w:pPr>
        <w:pStyle w:val="Heading1"/>
        <w:rPr>
          <w:lang w:val="en-US" w:eastAsia="ja-JP"/>
        </w:rPr>
      </w:pPr>
      <w:r>
        <w:rPr>
          <w:lang w:val="en-US" w:eastAsia="ja-JP"/>
        </w:rPr>
        <w:t xml:space="preserve">The CIS will put downwards pressure on electricity </w:t>
      </w:r>
      <w:proofErr w:type="gramStart"/>
      <w:r>
        <w:rPr>
          <w:lang w:val="en-US" w:eastAsia="ja-JP"/>
        </w:rPr>
        <w:t>prices</w:t>
      </w:r>
      <w:proofErr w:type="gramEnd"/>
    </w:p>
    <w:p w14:paraId="7296A3BB" w14:textId="55701280" w:rsidR="00F66F37" w:rsidRDefault="00F66F37" w:rsidP="00F66F37">
      <w:pPr>
        <w:rPr>
          <w:lang w:val="en-US" w:eastAsia="ja-JP"/>
        </w:rPr>
      </w:pPr>
      <w:r>
        <w:rPr>
          <w:lang w:val="en-US" w:eastAsia="ja-JP"/>
        </w:rPr>
        <w:t xml:space="preserve">The most fundamental feature of the CIS is that the Commonwealth and State </w:t>
      </w:r>
      <w:proofErr w:type="spellStart"/>
      <w:r>
        <w:rPr>
          <w:lang w:val="en-US" w:eastAsia="ja-JP"/>
        </w:rPr>
        <w:t>Goverments</w:t>
      </w:r>
      <w:proofErr w:type="spellEnd"/>
      <w:r>
        <w:rPr>
          <w:lang w:val="en-US" w:eastAsia="ja-JP"/>
        </w:rPr>
        <w:t xml:space="preserve"> will bear more of the risk of building new generation. Because they will guarantee a minimum floor price, developers will not </w:t>
      </w:r>
      <w:r w:rsidR="00ED5B94">
        <w:rPr>
          <w:lang w:val="en-US" w:eastAsia="ja-JP"/>
        </w:rPr>
        <w:t>low</w:t>
      </w:r>
      <w:r>
        <w:rPr>
          <w:lang w:val="en-US" w:eastAsia="ja-JP"/>
        </w:rPr>
        <w:t xml:space="preserve"> or negative price risk. That means that the cost of capital for the project can be lower because the risk is lower. Because the cost of capital is lower the required price to earn the cost of capital is also lower. In this way the Commonwealth will both be taking on risk on behalf of producers and consumers but acting to put downward pressure on electricity prices. Likely this will take some time to become clear.</w:t>
      </w:r>
    </w:p>
    <w:p w14:paraId="7A512173" w14:textId="78EBFEE1" w:rsidR="00ED5B94" w:rsidRDefault="00ED5B94" w:rsidP="00F66F37">
      <w:pPr>
        <w:rPr>
          <w:lang w:val="en-US" w:eastAsia="ja-JP"/>
        </w:rPr>
      </w:pPr>
      <w:r>
        <w:rPr>
          <w:lang w:val="en-US" w:eastAsia="ja-JP"/>
        </w:rPr>
        <w:lastRenderedPageBreak/>
        <w:t>Taking some risk off the table will tend to increase supply and this will be evident in responses to the CIS tenders the first of which is due mid calendar 2024.</w:t>
      </w:r>
    </w:p>
    <w:p w14:paraId="14248657" w14:textId="26DDAB71" w:rsidR="00ED5B94" w:rsidRPr="00F66F37" w:rsidRDefault="00ED5B94" w:rsidP="00F66F37">
      <w:pPr>
        <w:rPr>
          <w:lang w:val="en-US" w:eastAsia="ja-JP"/>
        </w:rPr>
      </w:pPr>
      <w:r>
        <w:rPr>
          <w:lang w:val="en-US" w:eastAsia="ja-JP"/>
        </w:rPr>
        <w:t xml:space="preserve">The new supply will be sold to the </w:t>
      </w:r>
      <w:proofErr w:type="spellStart"/>
      <w:r>
        <w:rPr>
          <w:lang w:val="en-US" w:eastAsia="ja-JP"/>
        </w:rPr>
        <w:t>Gentailers</w:t>
      </w:r>
      <w:proofErr w:type="spellEnd"/>
      <w:r>
        <w:rPr>
          <w:lang w:val="en-US" w:eastAsia="ja-JP"/>
        </w:rPr>
        <w:t xml:space="preserve"> including AGL, ORG and EA and that in turn will enable them to close their coal stations with more certainty. In AGL’s case it will also likely mean some loss of relative profitability as its cost base is unlikely to be any better than that of its competitors.</w:t>
      </w:r>
    </w:p>
    <w:p w14:paraId="3BB77351" w14:textId="49C27A18" w:rsidR="00450FF4" w:rsidRPr="00450FF4" w:rsidRDefault="00450FF4" w:rsidP="00ED5B94">
      <w:pPr>
        <w:pStyle w:val="Heading1"/>
        <w:rPr>
          <w:lang w:val="en-US" w:eastAsia="ja-JP"/>
        </w:rPr>
      </w:pPr>
      <w:r w:rsidRPr="00450FF4">
        <w:rPr>
          <w:lang w:val="en-US" w:eastAsia="ja-JP"/>
        </w:rPr>
        <w:t xml:space="preserve"> </w:t>
      </w:r>
      <w:proofErr w:type="spellStart"/>
      <w:r w:rsidRPr="00450FF4">
        <w:rPr>
          <w:lang w:val="en-US" w:eastAsia="ja-JP"/>
        </w:rPr>
        <w:t>Eraring</w:t>
      </w:r>
      <w:proofErr w:type="spellEnd"/>
      <w:r w:rsidRPr="00450FF4">
        <w:rPr>
          <w:lang w:val="en-US" w:eastAsia="ja-JP"/>
        </w:rPr>
        <w:t xml:space="preserve"> </w:t>
      </w:r>
      <w:proofErr w:type="spellStart"/>
      <w:r w:rsidRPr="00450FF4">
        <w:rPr>
          <w:lang w:val="en-US" w:eastAsia="ja-JP"/>
        </w:rPr>
        <w:t>cant</w:t>
      </w:r>
      <w:proofErr w:type="spellEnd"/>
      <w:r w:rsidRPr="00450FF4">
        <w:rPr>
          <w:lang w:val="en-US" w:eastAsia="ja-JP"/>
        </w:rPr>
        <w:t xml:space="preserve"> close</w:t>
      </w:r>
      <w:r w:rsidR="00ED5B94">
        <w:rPr>
          <w:lang w:val="en-US" w:eastAsia="ja-JP"/>
        </w:rPr>
        <w:t xml:space="preserve"> in 2025 (fiscal 2026</w:t>
      </w:r>
      <w:proofErr w:type="gramStart"/>
      <w:r w:rsidR="00ED5B94">
        <w:rPr>
          <w:lang w:val="en-US" w:eastAsia="ja-JP"/>
        </w:rPr>
        <w:t xml:space="preserve">) </w:t>
      </w:r>
      <w:r w:rsidRPr="00450FF4">
        <w:rPr>
          <w:lang w:val="en-US" w:eastAsia="ja-JP"/>
        </w:rPr>
        <w:t xml:space="preserve"> because</w:t>
      </w:r>
      <w:proofErr w:type="gramEnd"/>
      <w:r w:rsidRPr="00450FF4">
        <w:rPr>
          <w:lang w:val="en-US" w:eastAsia="ja-JP"/>
        </w:rPr>
        <w:t xml:space="preserve"> ORG hasn’t replaced its energy</w:t>
      </w:r>
    </w:p>
    <w:p w14:paraId="07CFB8F4" w14:textId="77777777" w:rsidR="00450FF4" w:rsidRPr="00450FF4" w:rsidRDefault="00450FF4" w:rsidP="00450FF4">
      <w:pPr>
        <w:rPr>
          <w:lang w:val="en-US" w:eastAsia="ja-JP"/>
        </w:rPr>
      </w:pPr>
      <w:r w:rsidRPr="00450FF4">
        <w:rPr>
          <w:lang w:val="en-US" w:eastAsia="ja-JP"/>
        </w:rPr>
        <w:t xml:space="preserve">ORG recently invested $530 m </w:t>
      </w:r>
      <w:proofErr w:type="gramStart"/>
      <w:r w:rsidRPr="00450FF4">
        <w:rPr>
          <w:lang w:val="en-US" w:eastAsia="ja-JP"/>
        </w:rPr>
        <w:t>increasing  its</w:t>
      </w:r>
      <w:proofErr w:type="gramEnd"/>
      <w:r w:rsidRPr="00450FF4">
        <w:rPr>
          <w:lang w:val="en-US" w:eastAsia="ja-JP"/>
        </w:rPr>
        <w:t xml:space="preserve"> stake in Octopus to 23%. This may or may not be a good move for the shareholders but its $530 m that won’t be invested in its Australian energy markets business.</w:t>
      </w:r>
    </w:p>
    <w:p w14:paraId="46F729E7" w14:textId="77777777" w:rsidR="00450FF4" w:rsidRPr="00450FF4" w:rsidRDefault="00450FF4" w:rsidP="00450FF4">
      <w:pPr>
        <w:rPr>
          <w:lang w:val="en-US" w:eastAsia="ja-JP"/>
        </w:rPr>
      </w:pPr>
      <w:proofErr w:type="spellStart"/>
      <w:r w:rsidRPr="00450FF4">
        <w:rPr>
          <w:lang w:val="en-US" w:eastAsia="ja-JP"/>
        </w:rPr>
        <w:t>Eraring</w:t>
      </w:r>
      <w:proofErr w:type="spellEnd"/>
      <w:r w:rsidRPr="00450FF4">
        <w:rPr>
          <w:lang w:val="en-US" w:eastAsia="ja-JP"/>
        </w:rPr>
        <w:t xml:space="preserve"> provides around 14 </w:t>
      </w:r>
      <w:proofErr w:type="spellStart"/>
      <w:proofErr w:type="gramStart"/>
      <w:r w:rsidRPr="00450FF4">
        <w:rPr>
          <w:lang w:val="en-US" w:eastAsia="ja-JP"/>
        </w:rPr>
        <w:t>TWh</w:t>
      </w:r>
      <w:proofErr w:type="spellEnd"/>
      <w:r w:rsidRPr="00450FF4">
        <w:rPr>
          <w:lang w:val="en-US" w:eastAsia="ja-JP"/>
        </w:rPr>
        <w:t xml:space="preserve">  of</w:t>
      </w:r>
      <w:proofErr w:type="gramEnd"/>
      <w:r w:rsidRPr="00450FF4">
        <w:rPr>
          <w:lang w:val="en-US" w:eastAsia="ja-JP"/>
        </w:rPr>
        <w:t xml:space="preserve"> energy and as yet ORG management have made no formal statement of how the energy from </w:t>
      </w:r>
      <w:proofErr w:type="spellStart"/>
      <w:r w:rsidRPr="00450FF4">
        <w:rPr>
          <w:lang w:val="en-US" w:eastAsia="ja-JP"/>
        </w:rPr>
        <w:t>Eraring</w:t>
      </w:r>
      <w:proofErr w:type="spellEnd"/>
      <w:r w:rsidRPr="00450FF4">
        <w:rPr>
          <w:lang w:val="en-US" w:eastAsia="ja-JP"/>
        </w:rPr>
        <w:t xml:space="preserve"> is going to be replaced. It’s very clear that it </w:t>
      </w:r>
      <w:proofErr w:type="spellStart"/>
      <w:r w:rsidRPr="00450FF4">
        <w:rPr>
          <w:lang w:val="en-US" w:eastAsia="ja-JP"/>
        </w:rPr>
        <w:t>cant</w:t>
      </w:r>
      <w:proofErr w:type="spellEnd"/>
      <w:r w:rsidRPr="00450FF4">
        <w:rPr>
          <w:lang w:val="en-US" w:eastAsia="ja-JP"/>
        </w:rPr>
        <w:t xml:space="preserve"> be replaced by new build in NSW if the station is to be closed </w:t>
      </w:r>
      <w:proofErr w:type="gramStart"/>
      <w:r w:rsidRPr="00450FF4">
        <w:rPr>
          <w:lang w:val="en-US" w:eastAsia="ja-JP"/>
        </w:rPr>
        <w:t>in  September</w:t>
      </w:r>
      <w:proofErr w:type="gramEnd"/>
      <w:r w:rsidRPr="00450FF4">
        <w:rPr>
          <w:lang w:val="en-US" w:eastAsia="ja-JP"/>
        </w:rPr>
        <w:t xml:space="preserve"> 2025. Equally it’s not clear whether the energy in </w:t>
      </w:r>
      <w:proofErr w:type="gramStart"/>
      <w:r w:rsidRPr="00450FF4">
        <w:rPr>
          <w:lang w:val="en-US" w:eastAsia="ja-JP"/>
        </w:rPr>
        <w:t>NSW  can</w:t>
      </w:r>
      <w:proofErr w:type="gramEnd"/>
      <w:r w:rsidRPr="00450FF4">
        <w:rPr>
          <w:lang w:val="en-US" w:eastAsia="ja-JP"/>
        </w:rPr>
        <w:t xml:space="preserve"> be bought from other parties. It is possible that ORG management have already bought over the counter contracts with other generators. </w:t>
      </w:r>
      <w:proofErr w:type="gramStart"/>
      <w:r w:rsidRPr="00450FF4">
        <w:rPr>
          <w:lang w:val="en-US" w:eastAsia="ja-JP"/>
        </w:rPr>
        <w:t>However</w:t>
      </w:r>
      <w:proofErr w:type="gramEnd"/>
      <w:r w:rsidRPr="00450FF4">
        <w:rPr>
          <w:lang w:val="en-US" w:eastAsia="ja-JP"/>
        </w:rPr>
        <w:t xml:space="preserve"> there is not much visibility around this and I regard it as unlikely. </w:t>
      </w:r>
    </w:p>
    <w:p w14:paraId="130F64C7" w14:textId="77777777" w:rsidR="00450FF4" w:rsidRPr="00450FF4" w:rsidRDefault="00450FF4" w:rsidP="00450FF4">
      <w:pPr>
        <w:rPr>
          <w:lang w:val="en-US" w:eastAsia="ja-JP"/>
        </w:rPr>
      </w:pPr>
      <w:r w:rsidRPr="00450FF4">
        <w:rPr>
          <w:lang w:val="en-US" w:eastAsia="ja-JP"/>
        </w:rPr>
        <w:t xml:space="preserve">The NSW Govt is possibly negotiation some capacity payment with </w:t>
      </w:r>
      <w:proofErr w:type="spellStart"/>
      <w:r w:rsidRPr="00450FF4">
        <w:rPr>
          <w:lang w:val="en-US" w:eastAsia="ja-JP"/>
        </w:rPr>
        <w:t>Eraring</w:t>
      </w:r>
      <w:proofErr w:type="spellEnd"/>
      <w:r w:rsidRPr="00450FF4">
        <w:rPr>
          <w:lang w:val="en-US" w:eastAsia="ja-JP"/>
        </w:rPr>
        <w:t xml:space="preserve"> but in my opinion its of insurance value only. Market forces will ensure that Origin management keep </w:t>
      </w:r>
      <w:proofErr w:type="spellStart"/>
      <w:r w:rsidRPr="00450FF4">
        <w:rPr>
          <w:lang w:val="en-US" w:eastAsia="ja-JP"/>
        </w:rPr>
        <w:t>Eraring</w:t>
      </w:r>
      <w:proofErr w:type="spellEnd"/>
      <w:r w:rsidRPr="00450FF4">
        <w:rPr>
          <w:lang w:val="en-US" w:eastAsia="ja-JP"/>
        </w:rPr>
        <w:t xml:space="preserve"> open long enough to ensure that most of its energy can be replaced. Origin is not a fly by night operator and has strong obligations to its residential and commercial customers. Since it has done nothing to buy or build replacement supply it therefore </w:t>
      </w:r>
      <w:proofErr w:type="spellStart"/>
      <w:r w:rsidRPr="00450FF4">
        <w:rPr>
          <w:lang w:val="en-US" w:eastAsia="ja-JP"/>
        </w:rPr>
        <w:t>wont</w:t>
      </w:r>
      <w:proofErr w:type="spellEnd"/>
      <w:r w:rsidRPr="00450FF4">
        <w:rPr>
          <w:lang w:val="en-US" w:eastAsia="ja-JP"/>
        </w:rPr>
        <w:t xml:space="preserve"> close </w:t>
      </w:r>
      <w:proofErr w:type="spellStart"/>
      <w:r w:rsidRPr="00450FF4">
        <w:rPr>
          <w:lang w:val="en-US" w:eastAsia="ja-JP"/>
        </w:rPr>
        <w:t>Eraring</w:t>
      </w:r>
      <w:proofErr w:type="spellEnd"/>
      <w:r w:rsidRPr="00450FF4">
        <w:rPr>
          <w:lang w:val="en-US" w:eastAsia="ja-JP"/>
        </w:rPr>
        <w:t>.</w:t>
      </w:r>
    </w:p>
    <w:p w14:paraId="5099E24F" w14:textId="77777777" w:rsidR="00450FF4" w:rsidRPr="00450FF4" w:rsidRDefault="00450FF4" w:rsidP="00450FF4">
      <w:pPr>
        <w:rPr>
          <w:lang w:val="en-US" w:eastAsia="ja-JP"/>
        </w:rPr>
      </w:pPr>
      <w:r w:rsidRPr="00450FF4">
        <w:rPr>
          <w:lang w:val="en-US" w:eastAsia="ja-JP"/>
        </w:rPr>
        <w:t xml:space="preserve">From AGL’s perspective if </w:t>
      </w:r>
      <w:proofErr w:type="spellStart"/>
      <w:r w:rsidRPr="00450FF4">
        <w:rPr>
          <w:lang w:val="en-US" w:eastAsia="ja-JP"/>
        </w:rPr>
        <w:t>Eraring</w:t>
      </w:r>
      <w:proofErr w:type="spellEnd"/>
      <w:r w:rsidRPr="00450FF4">
        <w:rPr>
          <w:lang w:val="en-US" w:eastAsia="ja-JP"/>
        </w:rPr>
        <w:t xml:space="preserve"> closure is delayed then the extra supply will intensify the pressure on all players and average prices in NSW will be lower.</w:t>
      </w:r>
    </w:p>
    <w:p w14:paraId="3A8BDD7F" w14:textId="4105EE72" w:rsidR="00450FF4" w:rsidRPr="00450FF4" w:rsidRDefault="00450FF4" w:rsidP="00450FF4">
      <w:pPr>
        <w:rPr>
          <w:lang w:val="en-US" w:eastAsia="ja-JP"/>
        </w:rPr>
      </w:pPr>
      <w:r w:rsidRPr="00450FF4">
        <w:rPr>
          <w:lang w:val="en-US" w:eastAsia="ja-JP"/>
        </w:rPr>
        <w:t xml:space="preserve">Similarly in Victoria EA has done little to replace </w:t>
      </w:r>
      <w:proofErr w:type="spellStart"/>
      <w:r w:rsidRPr="00450FF4">
        <w:rPr>
          <w:lang w:val="en-US" w:eastAsia="ja-JP"/>
        </w:rPr>
        <w:t>Yallourn’s</w:t>
      </w:r>
      <w:proofErr w:type="spellEnd"/>
      <w:r w:rsidRPr="00450FF4">
        <w:rPr>
          <w:lang w:val="en-US" w:eastAsia="ja-JP"/>
        </w:rPr>
        <w:t xml:space="preserve"> energy. In common with AGL and ORG its strategy appears to be based around buying energy and providing </w:t>
      </w:r>
      <w:r w:rsidRPr="00450FF4">
        <w:rPr>
          <w:lang w:val="en-US" w:eastAsia="ja-JP"/>
        </w:rPr>
        <w:lastRenderedPageBreak/>
        <w:t>the firming required. In Victoria though there is more visibility on new supply and prices are lo</w:t>
      </w:r>
      <w:r w:rsidR="00906A03">
        <w:rPr>
          <w:lang w:val="en-US" w:eastAsia="ja-JP"/>
        </w:rPr>
        <w:t xml:space="preserve">w. </w:t>
      </w:r>
      <w:proofErr w:type="gramStart"/>
      <w:r w:rsidR="00906A03">
        <w:rPr>
          <w:lang w:val="en-US" w:eastAsia="ja-JP"/>
        </w:rPr>
        <w:t xml:space="preserve">Its </w:t>
      </w:r>
      <w:r w:rsidRPr="00450FF4">
        <w:rPr>
          <w:lang w:val="en-US" w:eastAsia="ja-JP"/>
        </w:rPr>
        <w:t xml:space="preserve"> presently</w:t>
      </w:r>
      <w:proofErr w:type="gramEnd"/>
      <w:r w:rsidRPr="00450FF4">
        <w:rPr>
          <w:lang w:val="en-US" w:eastAsia="ja-JP"/>
        </w:rPr>
        <w:t xml:space="preserve"> a </w:t>
      </w:r>
      <w:proofErr w:type="spellStart"/>
      <w:r w:rsidRPr="00450FF4">
        <w:rPr>
          <w:lang w:val="en-US" w:eastAsia="ja-JP"/>
        </w:rPr>
        <w:t>buyers market</w:t>
      </w:r>
      <w:proofErr w:type="spellEnd"/>
      <w:r w:rsidRPr="00450FF4">
        <w:rPr>
          <w:lang w:val="en-US" w:eastAsia="ja-JP"/>
        </w:rPr>
        <w:t xml:space="preserve">. </w:t>
      </w:r>
    </w:p>
    <w:p w14:paraId="4EB4E6E6" w14:textId="44D2B772" w:rsidR="00D20DA1" w:rsidRPr="00D20DA1" w:rsidRDefault="00D20DA1" w:rsidP="00450FF4">
      <w:pPr>
        <w:rPr>
          <w:lang w:val="en-US" w:eastAsia="ja-JP"/>
        </w:rPr>
      </w:pPr>
    </w:p>
    <w:sectPr w:rsidR="00D20DA1" w:rsidRPr="00D20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653"/>
    <w:multiLevelType w:val="hybridMultilevel"/>
    <w:tmpl w:val="D05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215D"/>
    <w:multiLevelType w:val="hybridMultilevel"/>
    <w:tmpl w:val="37A6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2696D"/>
    <w:multiLevelType w:val="multilevel"/>
    <w:tmpl w:val="A314B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24DC"/>
    <w:multiLevelType w:val="hybridMultilevel"/>
    <w:tmpl w:val="FE40A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B103E"/>
    <w:multiLevelType w:val="hybridMultilevel"/>
    <w:tmpl w:val="C17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619C7"/>
    <w:multiLevelType w:val="hybridMultilevel"/>
    <w:tmpl w:val="8680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E2457"/>
    <w:multiLevelType w:val="hybridMultilevel"/>
    <w:tmpl w:val="8E32A0D6"/>
    <w:lvl w:ilvl="0" w:tplc="542ED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75E58"/>
    <w:multiLevelType w:val="hybridMultilevel"/>
    <w:tmpl w:val="3C2A9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F26"/>
    <w:multiLevelType w:val="multilevel"/>
    <w:tmpl w:val="2EDE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95785"/>
    <w:multiLevelType w:val="hybridMultilevel"/>
    <w:tmpl w:val="813E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C6561"/>
    <w:multiLevelType w:val="hybridMultilevel"/>
    <w:tmpl w:val="76261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54585">
    <w:abstractNumId w:val="6"/>
  </w:num>
  <w:num w:numId="2" w16cid:durableId="1156216304">
    <w:abstractNumId w:val="5"/>
  </w:num>
  <w:num w:numId="3" w16cid:durableId="113330580">
    <w:abstractNumId w:val="8"/>
  </w:num>
  <w:num w:numId="4" w16cid:durableId="1598564170">
    <w:abstractNumId w:val="0"/>
  </w:num>
  <w:num w:numId="5" w16cid:durableId="1251622443">
    <w:abstractNumId w:val="7"/>
  </w:num>
  <w:num w:numId="6" w16cid:durableId="1825974314">
    <w:abstractNumId w:val="2"/>
  </w:num>
  <w:num w:numId="7" w16cid:durableId="1326740850">
    <w:abstractNumId w:val="10"/>
  </w:num>
  <w:num w:numId="8" w16cid:durableId="1563981774">
    <w:abstractNumId w:val="3"/>
  </w:num>
  <w:num w:numId="9" w16cid:durableId="1484733871">
    <w:abstractNumId w:val="1"/>
  </w:num>
  <w:num w:numId="10" w16cid:durableId="828987307">
    <w:abstractNumId w:val="9"/>
  </w:num>
  <w:num w:numId="11" w16cid:durableId="1289552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91"/>
    <w:rsid w:val="00002FD1"/>
    <w:rsid w:val="00004A22"/>
    <w:rsid w:val="0002206C"/>
    <w:rsid w:val="00027025"/>
    <w:rsid w:val="0003255D"/>
    <w:rsid w:val="000348AE"/>
    <w:rsid w:val="000427BB"/>
    <w:rsid w:val="00053C9A"/>
    <w:rsid w:val="00057DF4"/>
    <w:rsid w:val="00064D55"/>
    <w:rsid w:val="000840D5"/>
    <w:rsid w:val="000A4B83"/>
    <w:rsid w:val="000B1E0D"/>
    <w:rsid w:val="000D2691"/>
    <w:rsid w:val="000D4CDE"/>
    <w:rsid w:val="00101121"/>
    <w:rsid w:val="001349A9"/>
    <w:rsid w:val="00154A07"/>
    <w:rsid w:val="00155141"/>
    <w:rsid w:val="0017406B"/>
    <w:rsid w:val="00190FF9"/>
    <w:rsid w:val="00193FA2"/>
    <w:rsid w:val="00196866"/>
    <w:rsid w:val="001C2C0A"/>
    <w:rsid w:val="001D7B42"/>
    <w:rsid w:val="001F2F3E"/>
    <w:rsid w:val="001F5B11"/>
    <w:rsid w:val="001F6CC8"/>
    <w:rsid w:val="002109C6"/>
    <w:rsid w:val="00226812"/>
    <w:rsid w:val="0023257F"/>
    <w:rsid w:val="0025087D"/>
    <w:rsid w:val="0025539E"/>
    <w:rsid w:val="002570FC"/>
    <w:rsid w:val="00263F7E"/>
    <w:rsid w:val="0027135B"/>
    <w:rsid w:val="002763A4"/>
    <w:rsid w:val="00291D0C"/>
    <w:rsid w:val="00294737"/>
    <w:rsid w:val="00302379"/>
    <w:rsid w:val="003165E5"/>
    <w:rsid w:val="00336C93"/>
    <w:rsid w:val="00345EE3"/>
    <w:rsid w:val="00352DC8"/>
    <w:rsid w:val="00360AB5"/>
    <w:rsid w:val="00362AE7"/>
    <w:rsid w:val="00373732"/>
    <w:rsid w:val="00393B9A"/>
    <w:rsid w:val="003A55B4"/>
    <w:rsid w:val="003B2F2C"/>
    <w:rsid w:val="003C6804"/>
    <w:rsid w:val="004013E3"/>
    <w:rsid w:val="00404B5A"/>
    <w:rsid w:val="004122E2"/>
    <w:rsid w:val="0041647D"/>
    <w:rsid w:val="00442562"/>
    <w:rsid w:val="00450174"/>
    <w:rsid w:val="00450FF4"/>
    <w:rsid w:val="004515D2"/>
    <w:rsid w:val="00451B62"/>
    <w:rsid w:val="00473534"/>
    <w:rsid w:val="00492760"/>
    <w:rsid w:val="004A245B"/>
    <w:rsid w:val="004A3E77"/>
    <w:rsid w:val="004B3DE4"/>
    <w:rsid w:val="004C34D2"/>
    <w:rsid w:val="004C7687"/>
    <w:rsid w:val="004D0CB3"/>
    <w:rsid w:val="004D2AE4"/>
    <w:rsid w:val="004D3248"/>
    <w:rsid w:val="004E3286"/>
    <w:rsid w:val="004E4707"/>
    <w:rsid w:val="005043D4"/>
    <w:rsid w:val="00507374"/>
    <w:rsid w:val="005209EB"/>
    <w:rsid w:val="005363A5"/>
    <w:rsid w:val="00536D37"/>
    <w:rsid w:val="00544B97"/>
    <w:rsid w:val="005451EE"/>
    <w:rsid w:val="005504A9"/>
    <w:rsid w:val="0055324D"/>
    <w:rsid w:val="00562D03"/>
    <w:rsid w:val="00565770"/>
    <w:rsid w:val="00567B25"/>
    <w:rsid w:val="00570222"/>
    <w:rsid w:val="0058348C"/>
    <w:rsid w:val="00591E02"/>
    <w:rsid w:val="005956B6"/>
    <w:rsid w:val="00596320"/>
    <w:rsid w:val="005F2EE2"/>
    <w:rsid w:val="00602368"/>
    <w:rsid w:val="00602963"/>
    <w:rsid w:val="00610A04"/>
    <w:rsid w:val="006170FC"/>
    <w:rsid w:val="00630DEF"/>
    <w:rsid w:val="006347D8"/>
    <w:rsid w:val="0064784E"/>
    <w:rsid w:val="00653E13"/>
    <w:rsid w:val="0065649F"/>
    <w:rsid w:val="0066402E"/>
    <w:rsid w:val="006A2FA8"/>
    <w:rsid w:val="006D45E9"/>
    <w:rsid w:val="006E3777"/>
    <w:rsid w:val="0071548A"/>
    <w:rsid w:val="00717F79"/>
    <w:rsid w:val="00722042"/>
    <w:rsid w:val="0073266A"/>
    <w:rsid w:val="00772072"/>
    <w:rsid w:val="00777B9D"/>
    <w:rsid w:val="00795259"/>
    <w:rsid w:val="00795DBD"/>
    <w:rsid w:val="007A5FBE"/>
    <w:rsid w:val="007D22D2"/>
    <w:rsid w:val="007F1624"/>
    <w:rsid w:val="008147ED"/>
    <w:rsid w:val="00843106"/>
    <w:rsid w:val="0084616E"/>
    <w:rsid w:val="00854895"/>
    <w:rsid w:val="008736BA"/>
    <w:rsid w:val="008A3AB0"/>
    <w:rsid w:val="008D1D20"/>
    <w:rsid w:val="008D4BE6"/>
    <w:rsid w:val="008E4E3F"/>
    <w:rsid w:val="008F1DDB"/>
    <w:rsid w:val="008F5C98"/>
    <w:rsid w:val="008F7255"/>
    <w:rsid w:val="009030CE"/>
    <w:rsid w:val="00906A03"/>
    <w:rsid w:val="00923C52"/>
    <w:rsid w:val="00931463"/>
    <w:rsid w:val="00944CDB"/>
    <w:rsid w:val="009464ED"/>
    <w:rsid w:val="009571B0"/>
    <w:rsid w:val="00961451"/>
    <w:rsid w:val="0096544F"/>
    <w:rsid w:val="00974DA3"/>
    <w:rsid w:val="00990C4F"/>
    <w:rsid w:val="009A35A5"/>
    <w:rsid w:val="009B0A19"/>
    <w:rsid w:val="009B20BD"/>
    <w:rsid w:val="009F2759"/>
    <w:rsid w:val="009F5A8C"/>
    <w:rsid w:val="00A00213"/>
    <w:rsid w:val="00A1051C"/>
    <w:rsid w:val="00A40134"/>
    <w:rsid w:val="00A41BF0"/>
    <w:rsid w:val="00A45FFB"/>
    <w:rsid w:val="00A57B0D"/>
    <w:rsid w:val="00A61968"/>
    <w:rsid w:val="00A77E41"/>
    <w:rsid w:val="00A82DC6"/>
    <w:rsid w:val="00A8506A"/>
    <w:rsid w:val="00AB1839"/>
    <w:rsid w:val="00AB4E28"/>
    <w:rsid w:val="00AD1C8D"/>
    <w:rsid w:val="00AE293C"/>
    <w:rsid w:val="00AF2C70"/>
    <w:rsid w:val="00AF760A"/>
    <w:rsid w:val="00B13DB9"/>
    <w:rsid w:val="00B15A8D"/>
    <w:rsid w:val="00B428B4"/>
    <w:rsid w:val="00B6020B"/>
    <w:rsid w:val="00B7234D"/>
    <w:rsid w:val="00B96C68"/>
    <w:rsid w:val="00BB30CF"/>
    <w:rsid w:val="00BC1C25"/>
    <w:rsid w:val="00BC4183"/>
    <w:rsid w:val="00BC5AD6"/>
    <w:rsid w:val="00BD0688"/>
    <w:rsid w:val="00BE2C3D"/>
    <w:rsid w:val="00BE66EA"/>
    <w:rsid w:val="00BF4EF8"/>
    <w:rsid w:val="00C02D59"/>
    <w:rsid w:val="00C3051A"/>
    <w:rsid w:val="00C51DFD"/>
    <w:rsid w:val="00C520C8"/>
    <w:rsid w:val="00C603FA"/>
    <w:rsid w:val="00C61258"/>
    <w:rsid w:val="00C64E63"/>
    <w:rsid w:val="00C66185"/>
    <w:rsid w:val="00C739EC"/>
    <w:rsid w:val="00C829D2"/>
    <w:rsid w:val="00CB290F"/>
    <w:rsid w:val="00CB3B56"/>
    <w:rsid w:val="00CC3B4F"/>
    <w:rsid w:val="00CC521E"/>
    <w:rsid w:val="00CE3BE2"/>
    <w:rsid w:val="00CE4BD5"/>
    <w:rsid w:val="00CF4901"/>
    <w:rsid w:val="00CF4C32"/>
    <w:rsid w:val="00D01CD9"/>
    <w:rsid w:val="00D141F3"/>
    <w:rsid w:val="00D15FE5"/>
    <w:rsid w:val="00D20DA1"/>
    <w:rsid w:val="00D217D9"/>
    <w:rsid w:val="00D30224"/>
    <w:rsid w:val="00D43A95"/>
    <w:rsid w:val="00D623B6"/>
    <w:rsid w:val="00D65105"/>
    <w:rsid w:val="00D7765D"/>
    <w:rsid w:val="00DC0A53"/>
    <w:rsid w:val="00DD3079"/>
    <w:rsid w:val="00E0101B"/>
    <w:rsid w:val="00E03114"/>
    <w:rsid w:val="00E113FA"/>
    <w:rsid w:val="00E24AC5"/>
    <w:rsid w:val="00E31FF3"/>
    <w:rsid w:val="00E376F0"/>
    <w:rsid w:val="00E37837"/>
    <w:rsid w:val="00E41486"/>
    <w:rsid w:val="00E41B20"/>
    <w:rsid w:val="00E533E3"/>
    <w:rsid w:val="00E54DF9"/>
    <w:rsid w:val="00E60184"/>
    <w:rsid w:val="00E7225F"/>
    <w:rsid w:val="00E722D1"/>
    <w:rsid w:val="00E73944"/>
    <w:rsid w:val="00E9577E"/>
    <w:rsid w:val="00EA00FE"/>
    <w:rsid w:val="00EA2990"/>
    <w:rsid w:val="00EC0384"/>
    <w:rsid w:val="00EC2F56"/>
    <w:rsid w:val="00EC760F"/>
    <w:rsid w:val="00ED14F7"/>
    <w:rsid w:val="00ED5B94"/>
    <w:rsid w:val="00EE71D3"/>
    <w:rsid w:val="00EF57E8"/>
    <w:rsid w:val="00EF70E3"/>
    <w:rsid w:val="00F03A51"/>
    <w:rsid w:val="00F31BE5"/>
    <w:rsid w:val="00F3637E"/>
    <w:rsid w:val="00F418CA"/>
    <w:rsid w:val="00F66F37"/>
    <w:rsid w:val="00F81884"/>
    <w:rsid w:val="00F975FC"/>
    <w:rsid w:val="00FA3027"/>
    <w:rsid w:val="00FA59F7"/>
    <w:rsid w:val="00FD38A2"/>
    <w:rsid w:val="00FF2991"/>
    <w:rsid w:val="00FF2AE3"/>
    <w:rsid w:val="00FF3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DF31"/>
  <w15:chartTrackingRefBased/>
  <w15:docId w15:val="{1B3939F1-8F47-824F-925C-E123CEFB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0184"/>
    <w:rPr>
      <w:rFonts w:ascii="Constantia" w:hAnsi="Constantia"/>
    </w:rPr>
  </w:style>
  <w:style w:type="paragraph" w:styleId="Heading1">
    <w:name w:val="heading 1"/>
    <w:basedOn w:val="Normal"/>
    <w:next w:val="Normal"/>
    <w:link w:val="Heading1Char"/>
    <w:uiPriority w:val="9"/>
    <w:qFormat/>
    <w:rsid w:val="00FF29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77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dger">
    <w:name w:val="Badger"/>
    <w:basedOn w:val="TableNormal"/>
    <w:uiPriority w:val="99"/>
    <w:rsid w:val="008F5C98"/>
    <w:rPr>
      <w:sz w:val="20"/>
      <w:szCs w:val="18"/>
      <w:lang w:val="en-US"/>
    </w:rPr>
    <w:tblPr>
      <w:tblInd w:w="567" w:type="dxa"/>
    </w:tblPr>
    <w:tblStylePr w:type="firstRow">
      <w:rPr>
        <w:rFonts w:ascii="Calibri" w:hAnsi="Calibri"/>
        <w:sz w:val="28"/>
      </w:rPr>
      <w:tblPr/>
      <w:tcPr>
        <w:shd w:val="clear" w:color="auto" w:fill="4472C4" w:themeFill="accent1"/>
      </w:tcPr>
    </w:tblStylePr>
    <w:tblStylePr w:type="lastRow">
      <w:tblPr/>
      <w:tcPr>
        <w:tcBorders>
          <w:bottom w:val="single" w:sz="4" w:space="0" w:color="auto"/>
        </w:tcBorders>
      </w:tcPr>
    </w:tblStylePr>
  </w:style>
  <w:style w:type="paragraph" w:styleId="Caption">
    <w:name w:val="caption"/>
    <w:next w:val="Normal"/>
    <w:autoRedefine/>
    <w:qFormat/>
    <w:rsid w:val="008F5C98"/>
    <w:pPr>
      <w:autoSpaceDN w:val="0"/>
      <w:spacing w:after="240"/>
      <w:textAlignment w:val="baseline"/>
    </w:pPr>
    <w:rPr>
      <w:rFonts w:eastAsia="Constantia" w:cs="Times New Roman"/>
      <w:b/>
      <w:iCs/>
      <w:sz w:val="22"/>
      <w:szCs w:val="20"/>
      <w:lang w:val="en-US" w:eastAsia="ja-JP"/>
    </w:rPr>
  </w:style>
  <w:style w:type="table" w:customStyle="1" w:styleId="ITK">
    <w:name w:val="ITK"/>
    <w:basedOn w:val="TableNormal"/>
    <w:uiPriority w:val="99"/>
    <w:rsid w:val="00A41BF0"/>
    <w:pPr>
      <w:jc w:val="right"/>
    </w:pPr>
    <w:rPr>
      <w:rFonts w:cs="Times New Roman (Body CS)"/>
      <w:sz w:val="18"/>
      <w:szCs w:val="18"/>
      <w:lang w:val="en-US"/>
    </w:rPr>
    <w:tblPr>
      <w:tblInd w:w="567" w:type="dxa"/>
    </w:tblPr>
    <w:tblStylePr w:type="firstRow">
      <w:rPr>
        <w:rFonts w:ascii="Calibri" w:hAnsi="Calibri"/>
        <w:color w:val="FFFFFF" w:themeColor="background1"/>
        <w:sz w:val="18"/>
      </w:rPr>
      <w:tblPr/>
      <w:tcPr>
        <w:shd w:val="clear" w:color="auto" w:fill="4472C4" w:themeFill="accent1"/>
      </w:tcPr>
    </w:tblStylePr>
    <w:tblStylePr w:type="lastRow">
      <w:tblPr/>
      <w:tcPr>
        <w:tcBorders>
          <w:bottom w:val="single" w:sz="4" w:space="0" w:color="auto"/>
        </w:tcBorders>
      </w:tcPr>
    </w:tblStylePr>
  </w:style>
  <w:style w:type="table" w:customStyle="1" w:styleId="ITK2">
    <w:name w:val="ITK2"/>
    <w:basedOn w:val="TableNormal"/>
    <w:uiPriority w:val="99"/>
    <w:rsid w:val="00E60184"/>
    <w:rPr>
      <w:rFonts w:cs="Times New Roman (Body CS)"/>
      <w:sz w:val="18"/>
      <w:szCs w:val="18"/>
      <w:lang w:val="en-US"/>
    </w:rPr>
    <w:tblPr>
      <w:tblCellMar>
        <w:left w:w="0" w:type="dxa"/>
        <w:right w:w="0" w:type="dxa"/>
      </w:tblCellMar>
    </w:tblPr>
    <w:trPr>
      <w:cantSplit/>
    </w:trPr>
    <w:tblStylePr w:type="firstRow">
      <w:rPr>
        <w:rFonts w:ascii="Calibri" w:hAnsi="Calibri"/>
        <w:sz w:val="28"/>
      </w:rPr>
      <w:tblPr/>
      <w:tcPr>
        <w:shd w:val="clear" w:color="auto" w:fill="4472C4" w:themeFill="accent1"/>
      </w:tcPr>
    </w:tblStylePr>
    <w:tblStylePr w:type="lastRow">
      <w:tblPr/>
      <w:tcPr>
        <w:tcBorders>
          <w:bottom w:val="single" w:sz="4" w:space="0" w:color="auto"/>
        </w:tcBorders>
      </w:tcPr>
    </w:tblStylePr>
  </w:style>
  <w:style w:type="paragraph" w:styleId="BodyText">
    <w:name w:val="Body Text"/>
    <w:link w:val="BodyTextChar"/>
    <w:uiPriority w:val="99"/>
    <w:unhideWhenUsed/>
    <w:qFormat/>
    <w:rsid w:val="00AB4E28"/>
    <w:rPr>
      <w:rFonts w:ascii="Constantia" w:hAnsi="Constantia"/>
      <w:sz w:val="22"/>
    </w:rPr>
  </w:style>
  <w:style w:type="character" w:customStyle="1" w:styleId="BodyTextChar">
    <w:name w:val="Body Text Char"/>
    <w:basedOn w:val="DefaultParagraphFont"/>
    <w:link w:val="BodyText"/>
    <w:uiPriority w:val="99"/>
    <w:rsid w:val="00AB4E28"/>
    <w:rPr>
      <w:rFonts w:ascii="Constantia" w:hAnsi="Constantia"/>
      <w:sz w:val="22"/>
    </w:rPr>
  </w:style>
  <w:style w:type="paragraph" w:customStyle="1" w:styleId="Tablebody">
    <w:name w:val="Table body"/>
    <w:qFormat/>
    <w:rsid w:val="00E60184"/>
    <w:rPr>
      <w:rFonts w:ascii="Calibri" w:eastAsia="Times New Roman" w:hAnsi="Calibri" w:cs="Calibri"/>
      <w:color w:val="000000"/>
      <w:sz w:val="18"/>
      <w:szCs w:val="18"/>
      <w:lang w:val="en-US" w:eastAsia="en-GB"/>
    </w:rPr>
  </w:style>
  <w:style w:type="paragraph" w:customStyle="1" w:styleId="Tableheading">
    <w:name w:val="Table heading"/>
    <w:basedOn w:val="Normal"/>
    <w:qFormat/>
    <w:rsid w:val="00E60184"/>
    <w:rPr>
      <w:rFonts w:ascii="Calibri" w:hAnsi="Calibri" w:cs="Times New Roman (Body CS)"/>
      <w:color w:val="FFFFFF" w:themeColor="background1"/>
      <w:sz w:val="28"/>
      <w:szCs w:val="18"/>
      <w:lang w:val="en-US"/>
    </w:rPr>
  </w:style>
  <w:style w:type="paragraph" w:styleId="Title">
    <w:name w:val="Title"/>
    <w:basedOn w:val="Normal"/>
    <w:next w:val="Normal"/>
    <w:link w:val="TitleChar"/>
    <w:uiPriority w:val="10"/>
    <w:qFormat/>
    <w:rsid w:val="00E60184"/>
    <w:pPr>
      <w:contextualSpacing/>
    </w:pPr>
    <w:rPr>
      <w:rFonts w:eastAsiaTheme="majorEastAsia" w:cstheme="majorBidi"/>
      <w:color w:val="4472C4" w:themeColor="accent1"/>
      <w:spacing w:val="-10"/>
      <w:kern w:val="28"/>
      <w:sz w:val="56"/>
      <w:szCs w:val="56"/>
    </w:rPr>
  </w:style>
  <w:style w:type="character" w:customStyle="1" w:styleId="TitleChar">
    <w:name w:val="Title Char"/>
    <w:basedOn w:val="DefaultParagraphFont"/>
    <w:link w:val="Title"/>
    <w:uiPriority w:val="10"/>
    <w:rsid w:val="00E60184"/>
    <w:rPr>
      <w:rFonts w:ascii="Constantia" w:eastAsiaTheme="majorEastAsia" w:hAnsi="Constantia" w:cstheme="majorBidi"/>
      <w:color w:val="4472C4" w:themeColor="accent1"/>
      <w:spacing w:val="-10"/>
      <w:kern w:val="28"/>
      <w:sz w:val="56"/>
      <w:szCs w:val="56"/>
    </w:rPr>
  </w:style>
  <w:style w:type="paragraph" w:styleId="Quote">
    <w:name w:val="Quote"/>
    <w:basedOn w:val="BodyText"/>
    <w:next w:val="BodyText"/>
    <w:link w:val="QuoteChar"/>
    <w:uiPriority w:val="29"/>
    <w:qFormat/>
    <w:rsid w:val="00E60184"/>
    <w:pPr>
      <w:spacing w:before="200" w:after="160"/>
      <w:ind w:left="567" w:right="567"/>
    </w:pPr>
    <w:rPr>
      <w:i/>
      <w:iCs/>
      <w:color w:val="404040" w:themeColor="text1" w:themeTint="BF"/>
      <w:sz w:val="20"/>
    </w:rPr>
  </w:style>
  <w:style w:type="character" w:customStyle="1" w:styleId="QuoteChar">
    <w:name w:val="Quote Char"/>
    <w:basedOn w:val="DefaultParagraphFont"/>
    <w:link w:val="Quote"/>
    <w:uiPriority w:val="29"/>
    <w:rsid w:val="00E60184"/>
    <w:rPr>
      <w:rFonts w:ascii="Constantia" w:hAnsi="Constantia"/>
      <w:i/>
      <w:iCs/>
      <w:color w:val="404040" w:themeColor="text1" w:themeTint="BF"/>
      <w:sz w:val="20"/>
    </w:rPr>
  </w:style>
  <w:style w:type="character" w:customStyle="1" w:styleId="Heading1Char">
    <w:name w:val="Heading 1 Char"/>
    <w:basedOn w:val="DefaultParagraphFont"/>
    <w:link w:val="Heading1"/>
    <w:uiPriority w:val="9"/>
    <w:rsid w:val="00FF29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0A19"/>
    <w:rPr>
      <w:color w:val="0563C1" w:themeColor="hyperlink"/>
      <w:u w:val="single"/>
    </w:rPr>
  </w:style>
  <w:style w:type="character" w:styleId="UnresolvedMention">
    <w:name w:val="Unresolved Mention"/>
    <w:basedOn w:val="DefaultParagraphFont"/>
    <w:uiPriority w:val="99"/>
    <w:semiHidden/>
    <w:unhideWhenUsed/>
    <w:rsid w:val="009B0A19"/>
    <w:rPr>
      <w:color w:val="605E5C"/>
      <w:shd w:val="clear" w:color="auto" w:fill="E1DFDD"/>
    </w:rPr>
  </w:style>
  <w:style w:type="character" w:customStyle="1" w:styleId="Heading2Char">
    <w:name w:val="Heading 2 Char"/>
    <w:basedOn w:val="DefaultParagraphFont"/>
    <w:link w:val="Heading2"/>
    <w:uiPriority w:val="9"/>
    <w:rsid w:val="00A002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2F3E"/>
    <w:pPr>
      <w:ind w:left="720"/>
      <w:contextualSpacing/>
    </w:pPr>
  </w:style>
  <w:style w:type="character" w:styleId="BookTitle">
    <w:name w:val="Book Title"/>
    <w:basedOn w:val="DefaultParagraphFont"/>
    <w:uiPriority w:val="33"/>
    <w:qFormat/>
    <w:rsid w:val="00F31BE5"/>
    <w:rPr>
      <w:b/>
      <w:bCs/>
      <w:i/>
      <w:iCs/>
      <w:spacing w:val="5"/>
    </w:rPr>
  </w:style>
  <w:style w:type="paragraph" w:styleId="NormalWeb">
    <w:name w:val="Normal (Web)"/>
    <w:basedOn w:val="Normal"/>
    <w:uiPriority w:val="99"/>
    <w:semiHidden/>
    <w:unhideWhenUsed/>
    <w:rsid w:val="008D1D20"/>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E377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78">
      <w:bodyDiv w:val="1"/>
      <w:marLeft w:val="0"/>
      <w:marRight w:val="0"/>
      <w:marTop w:val="0"/>
      <w:marBottom w:val="0"/>
      <w:divBdr>
        <w:top w:val="none" w:sz="0" w:space="0" w:color="auto"/>
        <w:left w:val="none" w:sz="0" w:space="0" w:color="auto"/>
        <w:bottom w:val="none" w:sz="0" w:space="0" w:color="auto"/>
        <w:right w:val="none" w:sz="0" w:space="0" w:color="auto"/>
      </w:divBdr>
    </w:div>
    <w:div w:id="565342500">
      <w:bodyDiv w:val="1"/>
      <w:marLeft w:val="0"/>
      <w:marRight w:val="0"/>
      <w:marTop w:val="0"/>
      <w:marBottom w:val="0"/>
      <w:divBdr>
        <w:top w:val="none" w:sz="0" w:space="0" w:color="auto"/>
        <w:left w:val="none" w:sz="0" w:space="0" w:color="auto"/>
        <w:bottom w:val="none" w:sz="0" w:space="0" w:color="auto"/>
        <w:right w:val="none" w:sz="0" w:space="0" w:color="auto"/>
      </w:divBdr>
      <w:divsChild>
        <w:div w:id="1905481431">
          <w:marLeft w:val="0"/>
          <w:marRight w:val="0"/>
          <w:marTop w:val="0"/>
          <w:marBottom w:val="0"/>
          <w:divBdr>
            <w:top w:val="none" w:sz="0" w:space="0" w:color="auto"/>
            <w:left w:val="none" w:sz="0" w:space="0" w:color="auto"/>
            <w:bottom w:val="none" w:sz="0" w:space="0" w:color="auto"/>
            <w:right w:val="none" w:sz="0" w:space="0" w:color="auto"/>
          </w:divBdr>
          <w:divsChild>
            <w:div w:id="1533423782">
              <w:marLeft w:val="0"/>
              <w:marRight w:val="0"/>
              <w:marTop w:val="0"/>
              <w:marBottom w:val="0"/>
              <w:divBdr>
                <w:top w:val="none" w:sz="0" w:space="0" w:color="auto"/>
                <w:left w:val="none" w:sz="0" w:space="0" w:color="auto"/>
                <w:bottom w:val="none" w:sz="0" w:space="0" w:color="auto"/>
                <w:right w:val="none" w:sz="0" w:space="0" w:color="auto"/>
              </w:divBdr>
              <w:divsChild>
                <w:div w:id="44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7268">
      <w:bodyDiv w:val="1"/>
      <w:marLeft w:val="0"/>
      <w:marRight w:val="0"/>
      <w:marTop w:val="0"/>
      <w:marBottom w:val="0"/>
      <w:divBdr>
        <w:top w:val="none" w:sz="0" w:space="0" w:color="auto"/>
        <w:left w:val="none" w:sz="0" w:space="0" w:color="auto"/>
        <w:bottom w:val="none" w:sz="0" w:space="0" w:color="auto"/>
        <w:right w:val="none" w:sz="0" w:space="0" w:color="auto"/>
      </w:divBdr>
    </w:div>
    <w:div w:id="1062602821">
      <w:bodyDiv w:val="1"/>
      <w:marLeft w:val="0"/>
      <w:marRight w:val="0"/>
      <w:marTop w:val="0"/>
      <w:marBottom w:val="0"/>
      <w:divBdr>
        <w:top w:val="none" w:sz="0" w:space="0" w:color="auto"/>
        <w:left w:val="none" w:sz="0" w:space="0" w:color="auto"/>
        <w:bottom w:val="none" w:sz="0" w:space="0" w:color="auto"/>
        <w:right w:val="none" w:sz="0" w:space="0" w:color="auto"/>
      </w:divBdr>
    </w:div>
    <w:div w:id="1672827922">
      <w:bodyDiv w:val="1"/>
      <w:marLeft w:val="0"/>
      <w:marRight w:val="0"/>
      <w:marTop w:val="0"/>
      <w:marBottom w:val="0"/>
      <w:divBdr>
        <w:top w:val="none" w:sz="0" w:space="0" w:color="auto"/>
        <w:left w:val="none" w:sz="0" w:space="0" w:color="auto"/>
        <w:bottom w:val="none" w:sz="0" w:space="0" w:color="auto"/>
        <w:right w:val="none" w:sz="0" w:space="0" w:color="auto"/>
      </w:divBdr>
    </w:div>
    <w:div w:id="1792018767">
      <w:bodyDiv w:val="1"/>
      <w:marLeft w:val="0"/>
      <w:marRight w:val="0"/>
      <w:marTop w:val="0"/>
      <w:marBottom w:val="0"/>
      <w:divBdr>
        <w:top w:val="none" w:sz="0" w:space="0" w:color="auto"/>
        <w:left w:val="none" w:sz="0" w:space="0" w:color="auto"/>
        <w:bottom w:val="none" w:sz="0" w:space="0" w:color="auto"/>
        <w:right w:val="none" w:sz="0" w:space="0" w:color="auto"/>
      </w:divBdr>
    </w:div>
    <w:div w:id="1844010517">
      <w:bodyDiv w:val="1"/>
      <w:marLeft w:val="0"/>
      <w:marRight w:val="0"/>
      <w:marTop w:val="0"/>
      <w:marBottom w:val="0"/>
      <w:divBdr>
        <w:top w:val="none" w:sz="0" w:space="0" w:color="auto"/>
        <w:left w:val="none" w:sz="0" w:space="0" w:color="auto"/>
        <w:bottom w:val="none" w:sz="0" w:space="0" w:color="auto"/>
        <w:right w:val="none" w:sz="0" w:space="0" w:color="auto"/>
      </w:divBdr>
    </w:div>
    <w:div w:id="1881016961">
      <w:bodyDiv w:val="1"/>
      <w:marLeft w:val="0"/>
      <w:marRight w:val="0"/>
      <w:marTop w:val="0"/>
      <w:marBottom w:val="0"/>
      <w:divBdr>
        <w:top w:val="none" w:sz="0" w:space="0" w:color="auto"/>
        <w:left w:val="none" w:sz="0" w:space="0" w:color="auto"/>
        <w:bottom w:val="none" w:sz="0" w:space="0" w:color="auto"/>
        <w:right w:val="none" w:sz="0" w:space="0" w:color="auto"/>
      </w:divBdr>
    </w:div>
    <w:div w:id="18840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Leitch</dc:creator>
  <cp:keywords/>
  <dc:description/>
  <cp:lastModifiedBy>David Leitch</cp:lastModifiedBy>
  <cp:revision>2</cp:revision>
  <dcterms:created xsi:type="dcterms:W3CDTF">2024-02-07T10:25:00Z</dcterms:created>
  <dcterms:modified xsi:type="dcterms:W3CDTF">2024-02-07T10:25:00Z</dcterms:modified>
</cp:coreProperties>
</file>