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BFD1" w14:textId="53CE286A" w:rsidR="00450FF4" w:rsidRPr="00450FF4" w:rsidRDefault="003928FD" w:rsidP="00101121">
      <w:pPr>
        <w:pStyle w:val="Title"/>
        <w:rPr>
          <w:lang w:val="en-US" w:eastAsia="ja-JP"/>
        </w:rPr>
      </w:pPr>
      <w:r>
        <w:rPr>
          <w:lang w:val="en-US" w:eastAsia="ja-JP"/>
        </w:rPr>
        <w:t>GSD ‘23</w:t>
      </w:r>
    </w:p>
    <w:p w14:paraId="4EB4E6E6" w14:textId="721160C9" w:rsidR="00D20DA1" w:rsidRDefault="003928FD" w:rsidP="003928FD">
      <w:pPr>
        <w:pStyle w:val="Heading1"/>
        <w:rPr>
          <w:lang w:val="en-US" w:eastAsia="ja-JP"/>
        </w:rPr>
      </w:pPr>
      <w:r>
        <w:rPr>
          <w:lang w:val="en-US" w:eastAsia="ja-JP"/>
        </w:rPr>
        <w:t>A definitive reference</w:t>
      </w:r>
    </w:p>
    <w:p w14:paraId="649BB6EB" w14:textId="4C57CCBC" w:rsidR="003928FD" w:rsidRDefault="003928FD" w:rsidP="003928FD">
      <w:pPr>
        <w:rPr>
          <w:lang w:val="en-US" w:eastAsia="ja-JP"/>
        </w:rPr>
      </w:pPr>
      <w:r>
        <w:rPr>
          <w:lang w:val="en-US" w:eastAsia="ja-JP"/>
        </w:rPr>
        <w:t xml:space="preserve">Global-Roam and Greenview Strategic Consulting have released the 2023 edition of the Generator Statistical Digest. Each year the digest grows running close to 1200 pages for the 2023 edition and undoubtedly the premier reference in the </w:t>
      </w:r>
      <w:proofErr w:type="gramStart"/>
      <w:r>
        <w:rPr>
          <w:lang w:val="en-US" w:eastAsia="ja-JP"/>
        </w:rPr>
        <w:t>industry</w:t>
      </w:r>
      <w:proofErr w:type="gramEnd"/>
    </w:p>
    <w:p w14:paraId="0506DA4C" w14:textId="17EAFAF9" w:rsidR="003928FD" w:rsidRDefault="003928FD" w:rsidP="003928FD">
      <w:pPr>
        <w:rPr>
          <w:lang w:val="en-US" w:eastAsia="ja-JP"/>
        </w:rPr>
      </w:pPr>
      <w:r>
        <w:rPr>
          <w:lang w:val="en-US" w:eastAsia="ja-JP"/>
        </w:rPr>
        <w:t xml:space="preserve">In this analyst’s opinion the GSD is worthy of a website in itself, notwithstanding that the vast quantity of data that has been summarized, </w:t>
      </w:r>
      <w:proofErr w:type="spellStart"/>
      <w:proofErr w:type="gramStart"/>
      <w:r>
        <w:rPr>
          <w:lang w:val="en-US" w:eastAsia="ja-JP"/>
        </w:rPr>
        <w:t>analysed</w:t>
      </w:r>
      <w:proofErr w:type="spellEnd"/>
      <w:proofErr w:type="gramEnd"/>
      <w:r>
        <w:rPr>
          <w:lang w:val="en-US" w:eastAsia="ja-JP"/>
        </w:rPr>
        <w:t xml:space="preserve"> and coherently presented is by nature static and </w:t>
      </w:r>
      <w:proofErr w:type="spellStart"/>
      <w:r>
        <w:rPr>
          <w:lang w:val="en-US" w:eastAsia="ja-JP"/>
        </w:rPr>
        <w:t>wont</w:t>
      </w:r>
      <w:proofErr w:type="spellEnd"/>
      <w:r>
        <w:rPr>
          <w:lang w:val="en-US" w:eastAsia="ja-JP"/>
        </w:rPr>
        <w:t xml:space="preserve"> change until the next edition.</w:t>
      </w:r>
    </w:p>
    <w:p w14:paraId="2FECA55D" w14:textId="32692A47" w:rsidR="003928FD" w:rsidRDefault="003928FD" w:rsidP="003928FD">
      <w:pPr>
        <w:rPr>
          <w:lang w:val="en-US" w:eastAsia="ja-JP"/>
        </w:rPr>
      </w:pPr>
      <w:r>
        <w:rPr>
          <w:lang w:val="en-US" w:eastAsia="ja-JP"/>
        </w:rPr>
        <w:t xml:space="preserve">Each edition produces new </w:t>
      </w:r>
      <w:proofErr w:type="gramStart"/>
      <w:r>
        <w:rPr>
          <w:lang w:val="en-US" w:eastAsia="ja-JP"/>
        </w:rPr>
        <w:t>sections</w:t>
      </w:r>
      <w:proofErr w:type="gramEnd"/>
      <w:r>
        <w:rPr>
          <w:lang w:val="en-US" w:eastAsia="ja-JP"/>
        </w:rPr>
        <w:t xml:space="preserve"> and this edition provides more organization and emphasis on FCAS. </w:t>
      </w:r>
      <w:proofErr w:type="gramStart"/>
      <w:r>
        <w:rPr>
          <w:lang w:val="en-US" w:eastAsia="ja-JP"/>
        </w:rPr>
        <w:t>Nevertheless</w:t>
      </w:r>
      <w:proofErr w:type="gramEnd"/>
      <w:r>
        <w:rPr>
          <w:lang w:val="en-US" w:eastAsia="ja-JP"/>
        </w:rPr>
        <w:t xml:space="preserve"> there is performance data on every AEMO DUID.</w:t>
      </w:r>
    </w:p>
    <w:p w14:paraId="7A48E421" w14:textId="11E9A86A" w:rsidR="003928FD" w:rsidRDefault="003928FD" w:rsidP="003928FD">
      <w:pPr>
        <w:rPr>
          <w:lang w:val="en-US" w:eastAsia="ja-JP"/>
        </w:rPr>
      </w:pPr>
      <w:r>
        <w:rPr>
          <w:lang w:val="en-US" w:eastAsia="ja-JP"/>
        </w:rPr>
        <w:t xml:space="preserve">As an analyst my own focus generally is on having reliable data that can be massaged, even tortured, </w:t>
      </w:r>
      <w:r w:rsidR="00D96B43">
        <w:rPr>
          <w:lang w:val="en-US" w:eastAsia="ja-JP"/>
        </w:rPr>
        <w:t>into the form required to provide insight into some analytical question. The skill, if there is any, lies partly in knowing what questions need to be asked always bearing in mind the epigram adorning the front page of Copeland and Weston’s “Corporate Finance” namely that the questions remain the same but the answers change.</w:t>
      </w:r>
    </w:p>
    <w:p w14:paraId="1E96C28C" w14:textId="628AAD70" w:rsidR="00D96B43" w:rsidRDefault="00D96B43" w:rsidP="003928FD">
      <w:pPr>
        <w:rPr>
          <w:lang w:val="en-US" w:eastAsia="ja-JP"/>
        </w:rPr>
      </w:pPr>
      <w:proofErr w:type="spellStart"/>
      <w:r>
        <w:rPr>
          <w:lang w:val="en-US" w:eastAsia="ja-JP"/>
        </w:rPr>
        <w:t>Its</w:t>
      </w:r>
      <w:proofErr w:type="spellEnd"/>
      <w:r>
        <w:rPr>
          <w:lang w:val="en-US" w:eastAsia="ja-JP"/>
        </w:rPr>
        <w:t xml:space="preserve"> no secret that the NEM is changing rapidly, and many questions are asked about that change. Looking at the GSD its already </w:t>
      </w:r>
      <w:proofErr w:type="gramStart"/>
      <w:r>
        <w:rPr>
          <w:lang w:val="en-US" w:eastAsia="ja-JP"/>
        </w:rPr>
        <w:t>very obvious</w:t>
      </w:r>
      <w:proofErr w:type="gramEnd"/>
      <w:r>
        <w:rPr>
          <w:lang w:val="en-US" w:eastAsia="ja-JP"/>
        </w:rPr>
        <w:t xml:space="preserve"> that the number of DUIDs are expanding very rapidly.</w:t>
      </w:r>
      <w:r w:rsidR="00BD670E">
        <w:rPr>
          <w:lang w:val="en-US" w:eastAsia="ja-JP"/>
        </w:rPr>
        <w:t xml:space="preserve"> At a guess there are about 42</w:t>
      </w:r>
      <w:r w:rsidR="00D864F1">
        <w:rPr>
          <w:lang w:val="en-US" w:eastAsia="ja-JP"/>
        </w:rPr>
        <w:t>7</w:t>
      </w:r>
      <w:r w:rsidR="00BD670E">
        <w:rPr>
          <w:lang w:val="en-US" w:eastAsia="ja-JP"/>
        </w:rPr>
        <w:t xml:space="preserve"> DUIDs covered in the GSD. </w:t>
      </w:r>
      <w:r>
        <w:rPr>
          <w:lang w:val="en-US" w:eastAsia="ja-JP"/>
        </w:rPr>
        <w:t xml:space="preserve"> In my own estimation in about another 5-6 years there will be little focus on the remaining coal generators and much more about the performance of the more diversified generator set that </w:t>
      </w:r>
      <w:proofErr w:type="gramStart"/>
      <w:r>
        <w:rPr>
          <w:lang w:val="en-US" w:eastAsia="ja-JP"/>
        </w:rPr>
        <w:t>is  being</w:t>
      </w:r>
      <w:proofErr w:type="gramEnd"/>
      <w:r>
        <w:rPr>
          <w:lang w:val="en-US" w:eastAsia="ja-JP"/>
        </w:rPr>
        <w:t xml:space="preserve"> built to replace the coal generation.</w:t>
      </w:r>
    </w:p>
    <w:p w14:paraId="599B195C" w14:textId="24E28B32" w:rsidR="00536538" w:rsidRDefault="00536538" w:rsidP="003928FD">
      <w:pPr>
        <w:rPr>
          <w:lang w:val="en-US" w:eastAsia="ja-JP"/>
        </w:rPr>
      </w:pPr>
      <w:r>
        <w:rPr>
          <w:lang w:val="en-US" w:eastAsia="ja-JP"/>
        </w:rPr>
        <w:t xml:space="preserve">As I mentioned last year, you cannot hope to understand the NEM in all its beauty without a good appreciation of behind the meter solar and increasingly behind the meter storage. Behind the meter is the classic case of the power of numbers and is of course, considered as a whole, likely by far the most predictable and reliable source of generation in the NEM. How much more comforting it is to know that we depend on </w:t>
      </w:r>
      <w:r>
        <w:rPr>
          <w:lang w:val="en-US" w:eastAsia="ja-JP"/>
        </w:rPr>
        <w:lastRenderedPageBreak/>
        <w:t xml:space="preserve">millions of small units rather than a few large units. If only solar ran for more than say 8 hours a day. </w:t>
      </w:r>
    </w:p>
    <w:p w14:paraId="07A29CEF" w14:textId="0AA33793" w:rsidR="00EF154F" w:rsidRDefault="00EF154F" w:rsidP="003928FD">
      <w:pPr>
        <w:rPr>
          <w:lang w:val="en-US" w:eastAsia="ja-JP"/>
        </w:rPr>
      </w:pPr>
      <w:r>
        <w:rPr>
          <w:lang w:val="en-US" w:eastAsia="ja-JP"/>
        </w:rPr>
        <w:t xml:space="preserve">Equally although </w:t>
      </w:r>
      <w:proofErr w:type="spellStart"/>
      <w:r>
        <w:rPr>
          <w:lang w:val="en-US" w:eastAsia="ja-JP"/>
        </w:rPr>
        <w:t>its</w:t>
      </w:r>
      <w:proofErr w:type="spellEnd"/>
      <w:r>
        <w:rPr>
          <w:lang w:val="en-US" w:eastAsia="ja-JP"/>
        </w:rPr>
        <w:t xml:space="preserve"> important to understand FCAS revenue, its just as important or more so in the next few years to understand LRET revenue as this can be an important driver of generator </w:t>
      </w:r>
      <w:proofErr w:type="spellStart"/>
      <w:r>
        <w:rPr>
          <w:lang w:val="en-US" w:eastAsia="ja-JP"/>
        </w:rPr>
        <w:t>behaviour</w:t>
      </w:r>
      <w:proofErr w:type="spellEnd"/>
      <w:r>
        <w:rPr>
          <w:lang w:val="en-US" w:eastAsia="ja-JP"/>
        </w:rPr>
        <w:t>.</w:t>
      </w:r>
    </w:p>
    <w:p w14:paraId="035F90F0" w14:textId="1848AFC7" w:rsidR="00EF154F" w:rsidRDefault="00EF154F" w:rsidP="00EF154F">
      <w:pPr>
        <w:pStyle w:val="Heading1"/>
        <w:rPr>
          <w:lang w:val="en-US" w:eastAsia="ja-JP"/>
        </w:rPr>
      </w:pPr>
      <w:r>
        <w:rPr>
          <w:lang w:val="en-US" w:eastAsia="ja-JP"/>
        </w:rPr>
        <w:t>Batteries are becoming significant.</w:t>
      </w:r>
    </w:p>
    <w:p w14:paraId="1687DB70" w14:textId="7A039301" w:rsidR="00D96B43" w:rsidRDefault="00D96B43" w:rsidP="003928FD">
      <w:pPr>
        <w:rPr>
          <w:lang w:val="en-US" w:eastAsia="ja-JP"/>
        </w:rPr>
      </w:pPr>
      <w:r>
        <w:rPr>
          <w:lang w:val="en-US" w:eastAsia="ja-JP"/>
        </w:rPr>
        <w:t xml:space="preserve">Over the past couple of years one technology, initially the butt of jokes, has come to be taken very seriously and captured a big share of the incremental investment dollars. And that’s batteries, or for engineers, never satisfied unless there is an acronym, its BESS. </w:t>
      </w:r>
      <w:proofErr w:type="spellStart"/>
      <w:proofErr w:type="gramStart"/>
      <w:r>
        <w:rPr>
          <w:lang w:val="en-US" w:eastAsia="ja-JP"/>
        </w:rPr>
        <w:t>Its</w:t>
      </w:r>
      <w:proofErr w:type="spellEnd"/>
      <w:proofErr w:type="gramEnd"/>
      <w:r>
        <w:rPr>
          <w:lang w:val="en-US" w:eastAsia="ja-JP"/>
        </w:rPr>
        <w:t xml:space="preserve"> become clear that the role of batteries, evident to me for close on a decade, is moving from the fringes to the mainstream. In the case of the </w:t>
      </w:r>
      <w:proofErr w:type="gramStart"/>
      <w:r>
        <w:rPr>
          <w:lang w:val="en-US" w:eastAsia="ja-JP"/>
        </w:rPr>
        <w:t>NEM</w:t>
      </w:r>
      <w:proofErr w:type="gramEnd"/>
      <w:r>
        <w:rPr>
          <w:lang w:val="en-US" w:eastAsia="ja-JP"/>
        </w:rPr>
        <w:t xml:space="preserve"> we can think of the fringe as FCAS or </w:t>
      </w:r>
      <w:r w:rsidR="004D519C">
        <w:rPr>
          <w:lang w:val="en-US" w:eastAsia="ja-JP"/>
        </w:rPr>
        <w:t>ancillary</w:t>
      </w:r>
      <w:r>
        <w:rPr>
          <w:lang w:val="en-US" w:eastAsia="ja-JP"/>
        </w:rPr>
        <w:t xml:space="preserve"> services, to </w:t>
      </w:r>
      <w:r w:rsidR="004D519C">
        <w:rPr>
          <w:lang w:val="en-US" w:eastAsia="ja-JP"/>
        </w:rPr>
        <w:t xml:space="preserve">firming wind and solar, [VRE]. Even on the fringes its now I think, accepted by the industry that batteries are the ideal technology for frequency control, capable of virtual inertia as well as very fast frequency control. Cost reductions driven </w:t>
      </w:r>
      <w:proofErr w:type="gramStart"/>
      <w:r w:rsidR="004D519C">
        <w:rPr>
          <w:lang w:val="en-US" w:eastAsia="ja-JP"/>
        </w:rPr>
        <w:t>by  learning</w:t>
      </w:r>
      <w:proofErr w:type="gramEnd"/>
      <w:r w:rsidR="004D519C">
        <w:rPr>
          <w:lang w:val="en-US" w:eastAsia="ja-JP"/>
        </w:rPr>
        <w:t xml:space="preserve"> rates seen the use of batteries in EVs are now seeing developers start to choose batteries over pumped hydro projects even in the 8-10 hour duration task. Development times are so much faster, </w:t>
      </w:r>
      <w:proofErr w:type="gramStart"/>
      <w:r w:rsidR="004D519C">
        <w:rPr>
          <w:lang w:val="en-US" w:eastAsia="ja-JP"/>
        </w:rPr>
        <w:t>environmental</w:t>
      </w:r>
      <w:proofErr w:type="gramEnd"/>
      <w:r w:rsidR="004D519C">
        <w:rPr>
          <w:lang w:val="en-US" w:eastAsia="ja-JP"/>
        </w:rPr>
        <w:t xml:space="preserve"> and more broadly social license issues are so much easier even if the useful life is much shorter.</w:t>
      </w:r>
    </w:p>
    <w:p w14:paraId="7C8A2BF5" w14:textId="78EDF615" w:rsidR="004D519C" w:rsidRDefault="00825D6A" w:rsidP="00825D6A">
      <w:pPr>
        <w:pStyle w:val="Heading1"/>
        <w:rPr>
          <w:lang w:val="en-US" w:eastAsia="ja-JP"/>
        </w:rPr>
      </w:pPr>
      <w:r>
        <w:rPr>
          <w:lang w:val="en-US" w:eastAsia="ja-JP"/>
        </w:rPr>
        <w:t>Battery revenue by source</w:t>
      </w:r>
    </w:p>
    <w:p w14:paraId="01892DB8" w14:textId="27EA816E" w:rsidR="00825D6A" w:rsidRDefault="00825D6A" w:rsidP="00825D6A">
      <w:pPr>
        <w:rPr>
          <w:lang w:val="en-US" w:eastAsia="ja-JP"/>
        </w:rPr>
      </w:pPr>
      <w:r>
        <w:rPr>
          <w:lang w:val="en-US" w:eastAsia="ja-JP"/>
        </w:rPr>
        <w:t xml:space="preserve">The GSD is indexed by alphabetic DUID. </w:t>
      </w:r>
      <w:proofErr w:type="spellStart"/>
      <w:r>
        <w:rPr>
          <w:lang w:val="en-US" w:eastAsia="ja-JP"/>
        </w:rPr>
        <w:t>Unfotunately</w:t>
      </w:r>
      <w:proofErr w:type="spellEnd"/>
      <w:r>
        <w:rPr>
          <w:lang w:val="en-US" w:eastAsia="ja-JP"/>
        </w:rPr>
        <w:t xml:space="preserve"> there is no “fuel type” index. I was interested to find out where batteries get their revenue from and how this is changing. The GSD does a great job of presenting this information. For instance if I look up the battery that got the ball rolling in Australia, that is the </w:t>
      </w:r>
      <w:proofErr w:type="spellStart"/>
      <w:r>
        <w:rPr>
          <w:lang w:val="en-US" w:eastAsia="ja-JP"/>
        </w:rPr>
        <w:t>Hornsdale</w:t>
      </w:r>
      <w:proofErr w:type="spellEnd"/>
      <w:r>
        <w:rPr>
          <w:lang w:val="en-US" w:eastAsia="ja-JP"/>
        </w:rPr>
        <w:t xml:space="preserve"> Power Reserve [HPR] (</w:t>
      </w:r>
      <w:proofErr w:type="gramStart"/>
      <w:r>
        <w:rPr>
          <w:lang w:val="en-US" w:eastAsia="ja-JP"/>
        </w:rPr>
        <w:t>page  684</w:t>
      </w:r>
      <w:proofErr w:type="gramEnd"/>
      <w:r>
        <w:rPr>
          <w:lang w:val="en-US" w:eastAsia="ja-JP"/>
        </w:rPr>
        <w:t>) in the digest can see the following figure.</w:t>
      </w:r>
    </w:p>
    <w:p w14:paraId="55BDFA8C" w14:textId="77777777" w:rsidR="00E06F3C" w:rsidRDefault="00825D6A" w:rsidP="00E06F3C">
      <w:pPr>
        <w:keepNext/>
      </w:pPr>
      <w:r w:rsidRPr="00825D6A">
        <w:rPr>
          <w:lang w:val="en-US" w:eastAsia="ja-JP"/>
        </w:rPr>
        <w:lastRenderedPageBreak/>
        <w:drawing>
          <wp:inline distT="0" distB="0" distL="0" distR="0" wp14:anchorId="2C69C7F4" wp14:editId="4C8460A0">
            <wp:extent cx="5731510" cy="1692910"/>
            <wp:effectExtent l="0" t="0" r="0" b="0"/>
            <wp:docPr id="137567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74675" name=""/>
                    <pic:cNvPicPr/>
                  </pic:nvPicPr>
                  <pic:blipFill>
                    <a:blip r:embed="rId5"/>
                    <a:stretch>
                      <a:fillRect/>
                    </a:stretch>
                  </pic:blipFill>
                  <pic:spPr>
                    <a:xfrm>
                      <a:off x="0" y="0"/>
                      <a:ext cx="5731510" cy="1692910"/>
                    </a:xfrm>
                    <a:prstGeom prst="rect">
                      <a:avLst/>
                    </a:prstGeom>
                  </pic:spPr>
                </pic:pic>
              </a:graphicData>
            </a:graphic>
          </wp:inline>
        </w:drawing>
      </w:r>
      <w:r w:rsidRPr="00825D6A">
        <w:rPr>
          <w:noProof/>
        </w:rPr>
        <w:t xml:space="preserve"> </w:t>
      </w:r>
      <w:r w:rsidRPr="00825D6A">
        <w:rPr>
          <w:lang w:val="en-US" w:eastAsia="ja-JP"/>
        </w:rPr>
        <w:drawing>
          <wp:inline distT="0" distB="0" distL="0" distR="0" wp14:anchorId="28382AEE" wp14:editId="29AD365F">
            <wp:extent cx="5731510" cy="133350"/>
            <wp:effectExtent l="0" t="0" r="0" b="6350"/>
            <wp:docPr id="109284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47060" name=""/>
                    <pic:cNvPicPr/>
                  </pic:nvPicPr>
                  <pic:blipFill>
                    <a:blip r:embed="rId6"/>
                    <a:stretch>
                      <a:fillRect/>
                    </a:stretch>
                  </pic:blipFill>
                  <pic:spPr>
                    <a:xfrm>
                      <a:off x="0" y="0"/>
                      <a:ext cx="5731510" cy="133350"/>
                    </a:xfrm>
                    <a:prstGeom prst="rect">
                      <a:avLst/>
                    </a:prstGeom>
                  </pic:spPr>
                </pic:pic>
              </a:graphicData>
            </a:graphic>
          </wp:inline>
        </w:drawing>
      </w:r>
    </w:p>
    <w:p w14:paraId="710F60AD" w14:textId="42BA6740" w:rsidR="00825D6A" w:rsidRDefault="00E06F3C" w:rsidP="00E06F3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Hornsdale</w:t>
      </w:r>
      <w:proofErr w:type="spellEnd"/>
      <w:r>
        <w:t xml:space="preserve"> Power Reserve, monthly revenue by segment. Source: GSD</w:t>
      </w:r>
    </w:p>
    <w:p w14:paraId="510E4507" w14:textId="63E64BF0" w:rsidR="00825D6A" w:rsidRDefault="00825D6A" w:rsidP="00825D6A">
      <w:pPr>
        <w:rPr>
          <w:noProof/>
        </w:rPr>
      </w:pPr>
      <w:r>
        <w:rPr>
          <w:noProof/>
        </w:rPr>
        <w:t>From this I can see that HPR</w:t>
      </w:r>
      <w:r w:rsidR="00065FE9">
        <w:rPr>
          <w:noProof/>
        </w:rPr>
        <w:t>’s revenue is lumpy and that much of its revenue is derived from lowering frequency. In general its eaerned negative revenue from selling, and buying energy.</w:t>
      </w:r>
      <w:r w:rsidR="00536538">
        <w:rPr>
          <w:noProof/>
        </w:rPr>
        <w:t xml:space="preserve"> Using the excellent Global-Roam NEM Review product which does allow selection by fuel I was able to identify the 1</w:t>
      </w:r>
      <w:r w:rsidR="00CD5567">
        <w:rPr>
          <w:noProof/>
        </w:rPr>
        <w:t xml:space="preserve">6 utilty </w:t>
      </w:r>
      <w:r w:rsidR="00536538">
        <w:rPr>
          <w:noProof/>
        </w:rPr>
        <w:t xml:space="preserve"> batteries that were in operation at one time or another </w:t>
      </w:r>
      <w:r w:rsidR="00CD5567">
        <w:rPr>
          <w:noProof/>
        </w:rPr>
        <w:t xml:space="preserve">in the NEM in </w:t>
      </w:r>
      <w:r w:rsidR="00536538">
        <w:rPr>
          <w:noProof/>
        </w:rPr>
        <w:t xml:space="preserve"> the past year. I used these with the GSD to produce an analysis of batteries by revenue source for all of 2023.</w:t>
      </w:r>
      <w:r w:rsidR="000023C8">
        <w:rPr>
          <w:noProof/>
        </w:rPr>
        <w:t xml:space="preserve"> </w:t>
      </w:r>
    </w:p>
    <w:p w14:paraId="5B45FE7B" w14:textId="489691B3" w:rsidR="000023C8" w:rsidRDefault="00E06F3C" w:rsidP="000023C8">
      <w:pPr>
        <w:keepNext/>
      </w:pPr>
      <w:r>
        <w:rPr>
          <w:noProof/>
        </w:rPr>
        <w:drawing>
          <wp:inline distT="0" distB="0" distL="0" distR="0" wp14:anchorId="53604EB4" wp14:editId="4447E6DC">
            <wp:extent cx="5731510" cy="3740785"/>
            <wp:effectExtent l="0" t="0" r="0" b="5715"/>
            <wp:docPr id="558132838" name="Picture 1"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2838" name="Picture 1" descr="A graph of energy consumption&#10;&#10;Description automatically generated"/>
                    <pic:cNvPicPr/>
                  </pic:nvPicPr>
                  <pic:blipFill>
                    <a:blip r:embed="rId7"/>
                    <a:stretch>
                      <a:fillRect/>
                    </a:stretch>
                  </pic:blipFill>
                  <pic:spPr>
                    <a:xfrm>
                      <a:off x="0" y="0"/>
                      <a:ext cx="5731510" cy="3740785"/>
                    </a:xfrm>
                    <a:prstGeom prst="rect">
                      <a:avLst/>
                    </a:prstGeom>
                  </pic:spPr>
                </pic:pic>
              </a:graphicData>
            </a:graphic>
          </wp:inline>
        </w:drawing>
      </w:r>
    </w:p>
    <w:p w14:paraId="25198D0E" w14:textId="5566B4B6" w:rsidR="000023C8" w:rsidRDefault="000023C8" w:rsidP="000023C8">
      <w:pPr>
        <w:pStyle w:val="Caption"/>
      </w:pPr>
      <w:r>
        <w:t xml:space="preserve">Figure </w:t>
      </w:r>
      <w:r>
        <w:fldChar w:fldCharType="begin"/>
      </w:r>
      <w:r>
        <w:instrText xml:space="preserve"> SEQ Figure \* ARABIC </w:instrText>
      </w:r>
      <w:r>
        <w:fldChar w:fldCharType="separate"/>
      </w:r>
      <w:r w:rsidR="00E06F3C">
        <w:rPr>
          <w:noProof/>
        </w:rPr>
        <w:t>2</w:t>
      </w:r>
      <w:r>
        <w:fldChar w:fldCharType="end"/>
      </w:r>
      <w:r>
        <w:t xml:space="preserve"> NEM batteries revenue 2023. Source: GSD</w:t>
      </w:r>
    </w:p>
    <w:p w14:paraId="791AD7EE" w14:textId="56ECCB68" w:rsidR="000023C8" w:rsidRDefault="000023C8" w:rsidP="000023C8">
      <w:pPr>
        <w:rPr>
          <w:lang w:val="en-US" w:eastAsia="ja-JP"/>
        </w:rPr>
      </w:pPr>
      <w:r>
        <w:rPr>
          <w:lang w:val="en-US" w:eastAsia="ja-JP"/>
        </w:rPr>
        <w:lastRenderedPageBreak/>
        <w:t xml:space="preserve">Readers should note that battery analysts are really interested in the “spread” revenue rather than just “sales” as the battery energy </w:t>
      </w:r>
      <w:proofErr w:type="gramStart"/>
      <w:r>
        <w:rPr>
          <w:lang w:val="en-US" w:eastAsia="ja-JP"/>
        </w:rPr>
        <w:t>has to</w:t>
      </w:r>
      <w:proofErr w:type="gramEnd"/>
      <w:r>
        <w:rPr>
          <w:lang w:val="en-US" w:eastAsia="ja-JP"/>
        </w:rPr>
        <w:t xml:space="preserve"> be bought as well as sold.</w:t>
      </w:r>
      <w:r w:rsidR="00661A39">
        <w:rPr>
          <w:lang w:val="en-US" w:eastAsia="ja-JP"/>
        </w:rPr>
        <w:t xml:space="preserve"> Still based solely on the chart it seems that the sale of “energy” is a big share of category revenue. </w:t>
      </w:r>
    </w:p>
    <w:p w14:paraId="54F5FA58" w14:textId="3E5028A9" w:rsidR="000023C8" w:rsidRDefault="000023C8" w:rsidP="000023C8">
      <w:pPr>
        <w:rPr>
          <w:lang w:val="en-US" w:eastAsia="ja-JP"/>
        </w:rPr>
      </w:pPr>
      <w:r>
        <w:rPr>
          <w:lang w:val="en-US" w:eastAsia="ja-JP"/>
        </w:rPr>
        <w:t>Looking at only the FCAS revenue</w:t>
      </w:r>
      <w:r w:rsidR="00661A39">
        <w:rPr>
          <w:lang w:val="en-US" w:eastAsia="ja-JP"/>
        </w:rPr>
        <w:t xml:space="preserve"> </w:t>
      </w:r>
      <w:proofErr w:type="spellStart"/>
      <w:r w:rsidR="00661A39">
        <w:rPr>
          <w:lang w:val="en-US" w:eastAsia="ja-JP"/>
        </w:rPr>
        <w:t>its</w:t>
      </w:r>
      <w:proofErr w:type="spellEnd"/>
      <w:r w:rsidR="00661A39">
        <w:rPr>
          <w:lang w:val="en-US" w:eastAsia="ja-JP"/>
        </w:rPr>
        <w:t xml:space="preserve"> interesting to see that although “raise contingency” is the main sector driver a couple of batteries had lower contingency as the main source.</w:t>
      </w:r>
    </w:p>
    <w:p w14:paraId="0728BC24" w14:textId="68466EC5" w:rsidR="00661A39" w:rsidRDefault="00E06F3C" w:rsidP="00661A39">
      <w:pPr>
        <w:keepNext/>
      </w:pPr>
      <w:r>
        <w:rPr>
          <w:noProof/>
        </w:rPr>
        <w:drawing>
          <wp:inline distT="0" distB="0" distL="0" distR="0" wp14:anchorId="71146B22" wp14:editId="0CE20DEB">
            <wp:extent cx="5731510" cy="3740785"/>
            <wp:effectExtent l="0" t="0" r="0" b="5715"/>
            <wp:docPr id="103688844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88440" name="Picture 1" descr="A graph of a number of people&#10;&#10;Description automatically generated with medium confidence"/>
                    <pic:cNvPicPr/>
                  </pic:nvPicPr>
                  <pic:blipFill>
                    <a:blip r:embed="rId8"/>
                    <a:stretch>
                      <a:fillRect/>
                    </a:stretch>
                  </pic:blipFill>
                  <pic:spPr>
                    <a:xfrm>
                      <a:off x="0" y="0"/>
                      <a:ext cx="5731510" cy="3740785"/>
                    </a:xfrm>
                    <a:prstGeom prst="rect">
                      <a:avLst/>
                    </a:prstGeom>
                  </pic:spPr>
                </pic:pic>
              </a:graphicData>
            </a:graphic>
          </wp:inline>
        </w:drawing>
      </w:r>
    </w:p>
    <w:p w14:paraId="773AF700" w14:textId="05B8DD87" w:rsidR="00661A39" w:rsidRDefault="00661A39" w:rsidP="00661A39">
      <w:pPr>
        <w:pStyle w:val="Caption"/>
      </w:pPr>
      <w:r>
        <w:t xml:space="preserve">Figure </w:t>
      </w:r>
      <w:r>
        <w:fldChar w:fldCharType="begin"/>
      </w:r>
      <w:r>
        <w:instrText xml:space="preserve"> SEQ Figure \* ARABIC </w:instrText>
      </w:r>
      <w:r>
        <w:fldChar w:fldCharType="separate"/>
      </w:r>
      <w:r w:rsidR="00E06F3C">
        <w:rPr>
          <w:noProof/>
        </w:rPr>
        <w:t>3</w:t>
      </w:r>
      <w:r>
        <w:fldChar w:fldCharType="end"/>
      </w:r>
      <w:r>
        <w:t xml:space="preserve"> NEM battery FCAS revenue 2023. Source: GSD</w:t>
      </w:r>
    </w:p>
    <w:p w14:paraId="48A701BF" w14:textId="53FB79DA" w:rsidR="000023C8" w:rsidRDefault="00661A39" w:rsidP="000023C8">
      <w:pPr>
        <w:rPr>
          <w:lang w:val="en-US" w:eastAsia="ja-JP"/>
        </w:rPr>
      </w:pPr>
      <w:r>
        <w:rPr>
          <w:lang w:val="en-US" w:eastAsia="ja-JP"/>
        </w:rPr>
        <w:t xml:space="preserve">In terms of </w:t>
      </w:r>
      <w:proofErr w:type="gramStart"/>
      <w:r>
        <w:rPr>
          <w:lang w:val="en-US" w:eastAsia="ja-JP"/>
        </w:rPr>
        <w:t>forecasts</w:t>
      </w:r>
      <w:proofErr w:type="gramEnd"/>
      <w:r>
        <w:rPr>
          <w:lang w:val="en-US" w:eastAsia="ja-JP"/>
        </w:rPr>
        <w:t xml:space="preserve"> I expect both energy and FCAS revenues to grow over time. As the coal generators close batteries will provide all the frequency control in an </w:t>
      </w:r>
      <w:proofErr w:type="gramStart"/>
      <w:r>
        <w:rPr>
          <w:lang w:val="en-US" w:eastAsia="ja-JP"/>
        </w:rPr>
        <w:t>inverter based</w:t>
      </w:r>
      <w:proofErr w:type="gramEnd"/>
      <w:r>
        <w:rPr>
          <w:lang w:val="en-US" w:eastAsia="ja-JP"/>
        </w:rPr>
        <w:t xml:space="preserve"> grid. To the best of my knowledge based on discussions with the technical people this is not something to be feared but rather embraced. Batteries can be widely distributed in the grid providing resilience at many points to frequency shocks.</w:t>
      </w:r>
    </w:p>
    <w:p w14:paraId="2E9A1B12" w14:textId="14F6CC98" w:rsidR="00D864F1" w:rsidRDefault="00DC644B" w:rsidP="00DC644B">
      <w:pPr>
        <w:pStyle w:val="Heading1"/>
        <w:rPr>
          <w:lang w:val="en-US" w:eastAsia="ja-JP"/>
        </w:rPr>
      </w:pPr>
      <w:r>
        <w:rPr>
          <w:lang w:val="en-US" w:eastAsia="ja-JP"/>
        </w:rPr>
        <w:lastRenderedPageBreak/>
        <w:t xml:space="preserve">Coal units dominate the top revenue </w:t>
      </w:r>
      <w:proofErr w:type="gramStart"/>
      <w:r>
        <w:rPr>
          <w:lang w:val="en-US" w:eastAsia="ja-JP"/>
        </w:rPr>
        <w:t>DUIDs</w:t>
      </w:r>
      <w:proofErr w:type="gramEnd"/>
    </w:p>
    <w:p w14:paraId="31F87CF8" w14:textId="5AEE8DDD" w:rsidR="00DC644B" w:rsidRDefault="00E06F3C" w:rsidP="00DC644B">
      <w:pPr>
        <w:keepNext/>
      </w:pPr>
      <w:r>
        <w:rPr>
          <w:noProof/>
        </w:rPr>
        <w:drawing>
          <wp:inline distT="0" distB="0" distL="0" distR="0" wp14:anchorId="0CC535D9" wp14:editId="1512BF7C">
            <wp:extent cx="5731510" cy="3737610"/>
            <wp:effectExtent l="0" t="0" r="0" b="0"/>
            <wp:docPr id="13222796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79660" name="Picture 1" descr="A graph of a graph&#10;&#10;Description automatically generated with medium confidence"/>
                    <pic:cNvPicPr/>
                  </pic:nvPicPr>
                  <pic:blipFill>
                    <a:blip r:embed="rId9"/>
                    <a:stretch>
                      <a:fillRect/>
                    </a:stretch>
                  </pic:blipFill>
                  <pic:spPr>
                    <a:xfrm>
                      <a:off x="0" y="0"/>
                      <a:ext cx="5731510" cy="3737610"/>
                    </a:xfrm>
                    <a:prstGeom prst="rect">
                      <a:avLst/>
                    </a:prstGeom>
                  </pic:spPr>
                </pic:pic>
              </a:graphicData>
            </a:graphic>
          </wp:inline>
        </w:drawing>
      </w:r>
    </w:p>
    <w:p w14:paraId="1C99B908" w14:textId="6867F5F8" w:rsidR="00DC644B" w:rsidRDefault="00DC644B" w:rsidP="00DC644B">
      <w:pPr>
        <w:pStyle w:val="Caption"/>
      </w:pPr>
      <w:r>
        <w:t xml:space="preserve">Figure </w:t>
      </w:r>
      <w:r>
        <w:fldChar w:fldCharType="begin"/>
      </w:r>
      <w:r>
        <w:instrText xml:space="preserve"> SEQ Figure \* ARABIC </w:instrText>
      </w:r>
      <w:r>
        <w:fldChar w:fldCharType="separate"/>
      </w:r>
      <w:r w:rsidR="00E06F3C">
        <w:rPr>
          <w:noProof/>
        </w:rPr>
        <w:t>4</w:t>
      </w:r>
      <w:r>
        <w:fldChar w:fldCharType="end"/>
      </w:r>
      <w:r>
        <w:t xml:space="preserve"> Top revenue earning units in the NEM 2023. Source: GSD</w:t>
      </w:r>
    </w:p>
    <w:p w14:paraId="2516D616" w14:textId="7AAE4F79" w:rsidR="00DC644B" w:rsidRDefault="009002E6" w:rsidP="00DC644B">
      <w:pPr>
        <w:pStyle w:val="Heading1"/>
        <w:rPr>
          <w:lang w:val="en-US" w:eastAsia="ja-JP"/>
        </w:rPr>
      </w:pPr>
      <w:r>
        <w:rPr>
          <w:lang w:val="en-US" w:eastAsia="ja-JP"/>
        </w:rPr>
        <w:t>Demand response achieves highest volume weighted price but…</w:t>
      </w:r>
    </w:p>
    <w:p w14:paraId="06EB4B19" w14:textId="0DC313AA" w:rsidR="009002E6" w:rsidRDefault="009002E6" w:rsidP="009002E6">
      <w:pPr>
        <w:rPr>
          <w:lang w:val="en-US" w:eastAsia="ja-JP"/>
        </w:rPr>
      </w:pPr>
      <w:r>
        <w:rPr>
          <w:lang w:val="en-US" w:eastAsia="ja-JP"/>
        </w:rPr>
        <w:t xml:space="preserve">Demand Response volumes are tiny </w:t>
      </w:r>
      <w:proofErr w:type="gramStart"/>
      <w:r>
        <w:rPr>
          <w:lang w:val="en-US" w:eastAsia="ja-JP"/>
        </w:rPr>
        <w:t>as yet</w:t>
      </w:r>
      <w:proofErr w:type="gramEnd"/>
      <w:r>
        <w:rPr>
          <w:lang w:val="en-US" w:eastAsia="ja-JP"/>
        </w:rPr>
        <w:t xml:space="preserve"> and I don’t focus on them. For both producers and consumers what really matters is average day peak prices. For </w:t>
      </w:r>
      <w:proofErr w:type="gramStart"/>
      <w:r>
        <w:rPr>
          <w:lang w:val="en-US" w:eastAsia="ja-JP"/>
        </w:rPr>
        <w:t>instance</w:t>
      </w:r>
      <w:proofErr w:type="gramEnd"/>
      <w:r w:rsidR="004355FD">
        <w:rPr>
          <w:lang w:val="en-US" w:eastAsia="ja-JP"/>
        </w:rPr>
        <w:t xml:space="preserve"> the following figure shows the average time of day price over the past year for selected States.</w:t>
      </w:r>
    </w:p>
    <w:p w14:paraId="5B2510EE" w14:textId="77777777" w:rsidR="00E06F3C" w:rsidRDefault="004355FD" w:rsidP="00E06F3C">
      <w:pPr>
        <w:keepNext/>
      </w:pPr>
      <w:r w:rsidRPr="004355FD">
        <w:rPr>
          <w:lang w:val="en-US" w:eastAsia="ja-JP"/>
        </w:rPr>
        <w:lastRenderedPageBreak/>
        <w:drawing>
          <wp:inline distT="0" distB="0" distL="0" distR="0" wp14:anchorId="06A16CF8" wp14:editId="2A5DA9E1">
            <wp:extent cx="5731510" cy="3290570"/>
            <wp:effectExtent l="0" t="0" r="0" b="0"/>
            <wp:docPr id="71142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9456" name=""/>
                    <pic:cNvPicPr/>
                  </pic:nvPicPr>
                  <pic:blipFill>
                    <a:blip r:embed="rId10"/>
                    <a:stretch>
                      <a:fillRect/>
                    </a:stretch>
                  </pic:blipFill>
                  <pic:spPr>
                    <a:xfrm>
                      <a:off x="0" y="0"/>
                      <a:ext cx="5731510" cy="3290570"/>
                    </a:xfrm>
                    <a:prstGeom prst="rect">
                      <a:avLst/>
                    </a:prstGeom>
                  </pic:spPr>
                </pic:pic>
              </a:graphicData>
            </a:graphic>
          </wp:inline>
        </w:drawing>
      </w:r>
    </w:p>
    <w:p w14:paraId="21F2DD8F" w14:textId="2E58346B" w:rsidR="004355FD" w:rsidRDefault="00E06F3C" w:rsidP="00E06F3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Major state average time of day prices, last 12 months. Source: NEM Review</w:t>
      </w:r>
    </w:p>
    <w:p w14:paraId="5FE0571D" w14:textId="6ACC395E" w:rsidR="004355FD" w:rsidRDefault="004355FD" w:rsidP="009002E6">
      <w:pPr>
        <w:rPr>
          <w:lang w:val="en-US" w:eastAsia="ja-JP"/>
        </w:rPr>
      </w:pPr>
      <w:proofErr w:type="spellStart"/>
      <w:r>
        <w:rPr>
          <w:lang w:val="en-US" w:eastAsia="ja-JP"/>
        </w:rPr>
        <w:t>Its</w:t>
      </w:r>
      <w:proofErr w:type="spellEnd"/>
      <w:r>
        <w:rPr>
          <w:lang w:val="en-US" w:eastAsia="ja-JP"/>
        </w:rPr>
        <w:t xml:space="preserve"> clear that that the average time weighted priced is impacted by peak prices.</w:t>
      </w:r>
      <w:r w:rsidR="00401FE7">
        <w:rPr>
          <w:lang w:val="en-US" w:eastAsia="ja-JP"/>
        </w:rPr>
        <w:t xml:space="preserve"> For </w:t>
      </w:r>
      <w:proofErr w:type="gramStart"/>
      <w:r w:rsidR="00401FE7">
        <w:rPr>
          <w:lang w:val="en-US" w:eastAsia="ja-JP"/>
        </w:rPr>
        <w:t>instance</w:t>
      </w:r>
      <w:proofErr w:type="gramEnd"/>
      <w:r w:rsidR="00401FE7">
        <w:rPr>
          <w:lang w:val="en-US" w:eastAsia="ja-JP"/>
        </w:rPr>
        <w:t xml:space="preserve"> for NSW last year keeping the average maximum </w:t>
      </w:r>
      <w:proofErr w:type="spellStart"/>
      <w:r w:rsidR="00401FE7">
        <w:rPr>
          <w:lang w:val="en-US" w:eastAsia="ja-JP"/>
        </w:rPr>
        <w:t>halfhourly</w:t>
      </w:r>
      <w:proofErr w:type="spellEnd"/>
      <w:r w:rsidR="00401FE7">
        <w:rPr>
          <w:lang w:val="en-US" w:eastAsia="ja-JP"/>
        </w:rPr>
        <w:t xml:space="preserve"> price to $130/MWh (above the fuel cost of gas) drops NSW prices by over $10/MWh.</w:t>
      </w:r>
    </w:p>
    <w:p w14:paraId="53913793" w14:textId="77777777" w:rsidR="00E06F3C" w:rsidRDefault="00401FE7" w:rsidP="00E06F3C">
      <w:pPr>
        <w:keepNext/>
      </w:pPr>
      <w:r>
        <w:rPr>
          <w:noProof/>
        </w:rPr>
        <w:lastRenderedPageBreak/>
        <w:drawing>
          <wp:inline distT="0" distB="0" distL="0" distR="0" wp14:anchorId="737AF4C8" wp14:editId="54777B89">
            <wp:extent cx="5731510" cy="3737610"/>
            <wp:effectExtent l="0" t="0" r="0" b="0"/>
            <wp:docPr id="39396255" name="Chart 1">
              <a:extLst xmlns:a="http://schemas.openxmlformats.org/drawingml/2006/main">
                <a:ext uri="{FF2B5EF4-FFF2-40B4-BE49-F238E27FC236}">
                  <a16:creationId xmlns:a16="http://schemas.microsoft.com/office/drawing/2014/main" id="{47789743-7440-D4E0-0B16-9B61DD4C40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647E54" w14:textId="2A8445D7" w:rsidR="00401FE7" w:rsidRDefault="00E06F3C" w:rsidP="00E06F3C">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NSW actual prices and impact of lowering only evening peak prices. Source: NEM Review, ITK</w:t>
      </w:r>
    </w:p>
    <w:p w14:paraId="3EC7DC79" w14:textId="77777777" w:rsidR="004355FD" w:rsidRPr="009002E6" w:rsidRDefault="004355FD" w:rsidP="009002E6">
      <w:pPr>
        <w:rPr>
          <w:lang w:val="en-US" w:eastAsia="ja-JP"/>
        </w:rPr>
      </w:pPr>
    </w:p>
    <w:p w14:paraId="0AAAC2B8" w14:textId="52BEA70E" w:rsidR="00DC644B" w:rsidRDefault="00DC644B" w:rsidP="00DC644B">
      <w:pPr>
        <w:rPr>
          <w:lang w:val="en-US" w:eastAsia="ja-JP"/>
        </w:rPr>
      </w:pPr>
      <w:r>
        <w:rPr>
          <w:lang w:val="en-US" w:eastAsia="ja-JP"/>
        </w:rPr>
        <w:t>Batteries are already choosing to price above gas in some instance, but as more batteries are built there will essentially be more competition to be dispatched and peak prices will come under pressure. Or at least that is my expectation.</w:t>
      </w:r>
    </w:p>
    <w:p w14:paraId="3A01C26E" w14:textId="77777777" w:rsidR="00E06F3C" w:rsidRDefault="00E06F3C" w:rsidP="00E06F3C">
      <w:pPr>
        <w:keepNext/>
      </w:pPr>
      <w:r>
        <w:rPr>
          <w:noProof/>
        </w:rPr>
        <w:lastRenderedPageBreak/>
        <w:drawing>
          <wp:inline distT="0" distB="0" distL="0" distR="0" wp14:anchorId="512A69AA" wp14:editId="080E630C">
            <wp:extent cx="5731510" cy="3740785"/>
            <wp:effectExtent l="0" t="0" r="0" b="5715"/>
            <wp:docPr id="803742024"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42024" name="Picture 1" descr="A graph with blue and white lines&#10;&#10;Description automatically generated"/>
                    <pic:cNvPicPr/>
                  </pic:nvPicPr>
                  <pic:blipFill>
                    <a:blip r:embed="rId12"/>
                    <a:stretch>
                      <a:fillRect/>
                    </a:stretch>
                  </pic:blipFill>
                  <pic:spPr>
                    <a:xfrm>
                      <a:off x="0" y="0"/>
                      <a:ext cx="5731510" cy="3740785"/>
                    </a:xfrm>
                    <a:prstGeom prst="rect">
                      <a:avLst/>
                    </a:prstGeom>
                  </pic:spPr>
                </pic:pic>
              </a:graphicData>
            </a:graphic>
          </wp:inline>
        </w:drawing>
      </w:r>
    </w:p>
    <w:p w14:paraId="7BCDE483" w14:textId="6B92F62D" w:rsidR="00DC644B" w:rsidRDefault="00E06F3C" w:rsidP="00E06F3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Highest average price earners in NEM. Source: GSD</w:t>
      </w:r>
    </w:p>
    <w:p w14:paraId="2F39088A" w14:textId="114D6C04" w:rsidR="00401FE7" w:rsidRDefault="00401FE7" w:rsidP="00DC644B">
      <w:pPr>
        <w:rPr>
          <w:lang w:val="en-US" w:eastAsia="ja-JP"/>
        </w:rPr>
      </w:pPr>
      <w:r>
        <w:rPr>
          <w:lang w:val="en-US" w:eastAsia="ja-JP"/>
        </w:rPr>
        <w:t>Finally at this glance through the GSD what about the lowest price receivers?</w:t>
      </w:r>
    </w:p>
    <w:p w14:paraId="3DF2002E" w14:textId="77777777" w:rsidR="00401FE7" w:rsidRDefault="00401FE7" w:rsidP="00DC644B">
      <w:pPr>
        <w:rPr>
          <w:lang w:val="en-US" w:eastAsia="ja-JP"/>
        </w:rPr>
      </w:pPr>
    </w:p>
    <w:p w14:paraId="2D3BF09E" w14:textId="3E7B7D61" w:rsidR="00401FE7" w:rsidRDefault="00EF154F" w:rsidP="00DC644B">
      <w:pPr>
        <w:rPr>
          <w:lang w:val="en-US" w:eastAsia="ja-JP"/>
        </w:rPr>
      </w:pPr>
      <w:proofErr w:type="gramStart"/>
      <w:r>
        <w:rPr>
          <w:lang w:val="en-US" w:eastAsia="ja-JP"/>
        </w:rPr>
        <w:t>Certainly</w:t>
      </w:r>
      <w:proofErr w:type="gramEnd"/>
      <w:r>
        <w:rPr>
          <w:lang w:val="en-US" w:eastAsia="ja-JP"/>
        </w:rPr>
        <w:t xml:space="preserve"> there were, as you would expect, some solar farms near the bottom of the list. Kiama Solar Farm 1 average price was $12/MWh, GLENSF1 (Glen Rowan) did worse averaging -9.71/MWh. Essentially it was generating to earn RECs, not really a happy place should its PPA </w:t>
      </w:r>
      <w:proofErr w:type="gramStart"/>
      <w:r>
        <w:rPr>
          <w:lang w:val="en-US" w:eastAsia="ja-JP"/>
        </w:rPr>
        <w:t>expire</w:t>
      </w:r>
      <w:proofErr w:type="gramEnd"/>
      <w:r>
        <w:rPr>
          <w:lang w:val="en-US" w:eastAsia="ja-JP"/>
        </w:rPr>
        <w:t xml:space="preserve"> and conditions not have changed.</w:t>
      </w:r>
    </w:p>
    <w:p w14:paraId="042C1356" w14:textId="545733CA" w:rsidR="00EF154F" w:rsidRPr="00DC644B" w:rsidRDefault="00EF154F" w:rsidP="00DC644B">
      <w:pPr>
        <w:rPr>
          <w:lang w:val="en-US" w:eastAsia="ja-JP"/>
        </w:rPr>
      </w:pPr>
      <w:proofErr w:type="gramStart"/>
      <w:r>
        <w:rPr>
          <w:lang w:val="en-US" w:eastAsia="ja-JP"/>
        </w:rPr>
        <w:t>However</w:t>
      </w:r>
      <w:proofErr w:type="gramEnd"/>
      <w:r>
        <w:rPr>
          <w:lang w:val="en-US" w:eastAsia="ja-JP"/>
        </w:rPr>
        <w:t xml:space="preserve"> it was interesting to see, given that AGL received just $22/MWh for Macarthur wind farm, one of the largest in the NEM. </w:t>
      </w:r>
    </w:p>
    <w:sectPr w:rsidR="00EF154F" w:rsidRPr="00DC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653"/>
    <w:multiLevelType w:val="hybridMultilevel"/>
    <w:tmpl w:val="D05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215D"/>
    <w:multiLevelType w:val="hybridMultilevel"/>
    <w:tmpl w:val="37A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2696D"/>
    <w:multiLevelType w:val="multilevel"/>
    <w:tmpl w:val="A314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4DC"/>
    <w:multiLevelType w:val="hybridMultilevel"/>
    <w:tmpl w:val="FE40A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B103E"/>
    <w:multiLevelType w:val="hybridMultilevel"/>
    <w:tmpl w:val="C17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619C7"/>
    <w:multiLevelType w:val="hybridMultilevel"/>
    <w:tmpl w:val="8680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E2457"/>
    <w:multiLevelType w:val="hybridMultilevel"/>
    <w:tmpl w:val="8E32A0D6"/>
    <w:lvl w:ilvl="0" w:tplc="542ED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75E58"/>
    <w:multiLevelType w:val="hybridMultilevel"/>
    <w:tmpl w:val="3C2A9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F26"/>
    <w:multiLevelType w:val="multilevel"/>
    <w:tmpl w:val="2EDE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95785"/>
    <w:multiLevelType w:val="hybridMultilevel"/>
    <w:tmpl w:val="813E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C6561"/>
    <w:multiLevelType w:val="hybridMultilevel"/>
    <w:tmpl w:val="7626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54585">
    <w:abstractNumId w:val="6"/>
  </w:num>
  <w:num w:numId="2" w16cid:durableId="1156216304">
    <w:abstractNumId w:val="5"/>
  </w:num>
  <w:num w:numId="3" w16cid:durableId="113330580">
    <w:abstractNumId w:val="8"/>
  </w:num>
  <w:num w:numId="4" w16cid:durableId="1598564170">
    <w:abstractNumId w:val="0"/>
  </w:num>
  <w:num w:numId="5" w16cid:durableId="1251622443">
    <w:abstractNumId w:val="7"/>
  </w:num>
  <w:num w:numId="6" w16cid:durableId="1825974314">
    <w:abstractNumId w:val="2"/>
  </w:num>
  <w:num w:numId="7" w16cid:durableId="1326740850">
    <w:abstractNumId w:val="10"/>
  </w:num>
  <w:num w:numId="8" w16cid:durableId="1563981774">
    <w:abstractNumId w:val="3"/>
  </w:num>
  <w:num w:numId="9" w16cid:durableId="1484733871">
    <w:abstractNumId w:val="1"/>
  </w:num>
  <w:num w:numId="10" w16cid:durableId="828987307">
    <w:abstractNumId w:val="9"/>
  </w:num>
  <w:num w:numId="11" w16cid:durableId="1289552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1"/>
    <w:rsid w:val="000023C8"/>
    <w:rsid w:val="00002FD1"/>
    <w:rsid w:val="00004A22"/>
    <w:rsid w:val="0002206C"/>
    <w:rsid w:val="00027025"/>
    <w:rsid w:val="0003255D"/>
    <w:rsid w:val="000348AE"/>
    <w:rsid w:val="000427BB"/>
    <w:rsid w:val="00053C9A"/>
    <w:rsid w:val="00057DF4"/>
    <w:rsid w:val="00064D55"/>
    <w:rsid w:val="00065FE9"/>
    <w:rsid w:val="000840D5"/>
    <w:rsid w:val="000A4B83"/>
    <w:rsid w:val="000B1E0D"/>
    <w:rsid w:val="000D2691"/>
    <w:rsid w:val="000D4CDE"/>
    <w:rsid w:val="00101121"/>
    <w:rsid w:val="001349A9"/>
    <w:rsid w:val="00154A07"/>
    <w:rsid w:val="00155141"/>
    <w:rsid w:val="0017406B"/>
    <w:rsid w:val="00190FF9"/>
    <w:rsid w:val="00193FA2"/>
    <w:rsid w:val="00196866"/>
    <w:rsid w:val="001C2C0A"/>
    <w:rsid w:val="001D7B42"/>
    <w:rsid w:val="001F2F3E"/>
    <w:rsid w:val="001F5B11"/>
    <w:rsid w:val="001F6CC8"/>
    <w:rsid w:val="002109C6"/>
    <w:rsid w:val="00226812"/>
    <w:rsid w:val="0023257F"/>
    <w:rsid w:val="0025087D"/>
    <w:rsid w:val="0025539E"/>
    <w:rsid w:val="002570FC"/>
    <w:rsid w:val="00263F7E"/>
    <w:rsid w:val="0027135B"/>
    <w:rsid w:val="002763A4"/>
    <w:rsid w:val="00291D0C"/>
    <w:rsid w:val="00294737"/>
    <w:rsid w:val="00302379"/>
    <w:rsid w:val="003165E5"/>
    <w:rsid w:val="00336C93"/>
    <w:rsid w:val="00345EE3"/>
    <w:rsid w:val="00352DC8"/>
    <w:rsid w:val="00360AB5"/>
    <w:rsid w:val="00362AE7"/>
    <w:rsid w:val="00373732"/>
    <w:rsid w:val="003928FD"/>
    <w:rsid w:val="00393B9A"/>
    <w:rsid w:val="003A55B4"/>
    <w:rsid w:val="003B2F2C"/>
    <w:rsid w:val="003C6804"/>
    <w:rsid w:val="004013E3"/>
    <w:rsid w:val="00401FE7"/>
    <w:rsid w:val="00404B5A"/>
    <w:rsid w:val="004122E2"/>
    <w:rsid w:val="0041647D"/>
    <w:rsid w:val="004355FD"/>
    <w:rsid w:val="00442562"/>
    <w:rsid w:val="00450174"/>
    <w:rsid w:val="00450FF4"/>
    <w:rsid w:val="004515D2"/>
    <w:rsid w:val="00451B62"/>
    <w:rsid w:val="00473534"/>
    <w:rsid w:val="00492760"/>
    <w:rsid w:val="004A245B"/>
    <w:rsid w:val="004A3E77"/>
    <w:rsid w:val="004B3DE4"/>
    <w:rsid w:val="004C34D2"/>
    <w:rsid w:val="004C7687"/>
    <w:rsid w:val="004D0CB3"/>
    <w:rsid w:val="004D2AE4"/>
    <w:rsid w:val="004D3248"/>
    <w:rsid w:val="004D519C"/>
    <w:rsid w:val="004E3286"/>
    <w:rsid w:val="004E4707"/>
    <w:rsid w:val="005043D4"/>
    <w:rsid w:val="00507374"/>
    <w:rsid w:val="005209EB"/>
    <w:rsid w:val="005363A5"/>
    <w:rsid w:val="00536538"/>
    <w:rsid w:val="00536D37"/>
    <w:rsid w:val="00544B97"/>
    <w:rsid w:val="005451EE"/>
    <w:rsid w:val="005504A9"/>
    <w:rsid w:val="0055324D"/>
    <w:rsid w:val="00562D03"/>
    <w:rsid w:val="00565770"/>
    <w:rsid w:val="00567B25"/>
    <w:rsid w:val="00570222"/>
    <w:rsid w:val="0058348C"/>
    <w:rsid w:val="00591E02"/>
    <w:rsid w:val="005956B6"/>
    <w:rsid w:val="00596320"/>
    <w:rsid w:val="005F2EE2"/>
    <w:rsid w:val="00602368"/>
    <w:rsid w:val="00602963"/>
    <w:rsid w:val="00610A04"/>
    <w:rsid w:val="006170FC"/>
    <w:rsid w:val="00630DEF"/>
    <w:rsid w:val="006347D8"/>
    <w:rsid w:val="0064784E"/>
    <w:rsid w:val="00653E13"/>
    <w:rsid w:val="0065649F"/>
    <w:rsid w:val="00661A39"/>
    <w:rsid w:val="0066402E"/>
    <w:rsid w:val="006A2FA8"/>
    <w:rsid w:val="006D45E9"/>
    <w:rsid w:val="006E3777"/>
    <w:rsid w:val="0071548A"/>
    <w:rsid w:val="00717F79"/>
    <w:rsid w:val="00722042"/>
    <w:rsid w:val="0073266A"/>
    <w:rsid w:val="00772072"/>
    <w:rsid w:val="00777B9D"/>
    <w:rsid w:val="00795259"/>
    <w:rsid w:val="00795DBD"/>
    <w:rsid w:val="007A5FBE"/>
    <w:rsid w:val="007D22D2"/>
    <w:rsid w:val="007F1624"/>
    <w:rsid w:val="008147ED"/>
    <w:rsid w:val="00825D6A"/>
    <w:rsid w:val="00843106"/>
    <w:rsid w:val="0084616E"/>
    <w:rsid w:val="00854895"/>
    <w:rsid w:val="008736BA"/>
    <w:rsid w:val="008A3AB0"/>
    <w:rsid w:val="008D1D20"/>
    <w:rsid w:val="008D4BE6"/>
    <w:rsid w:val="008E4E3F"/>
    <w:rsid w:val="008F1DDB"/>
    <w:rsid w:val="008F5C98"/>
    <w:rsid w:val="008F7255"/>
    <w:rsid w:val="009002E6"/>
    <w:rsid w:val="009030CE"/>
    <w:rsid w:val="00906A03"/>
    <w:rsid w:val="00923C52"/>
    <w:rsid w:val="00931463"/>
    <w:rsid w:val="00944CDB"/>
    <w:rsid w:val="009464ED"/>
    <w:rsid w:val="009571B0"/>
    <w:rsid w:val="00961451"/>
    <w:rsid w:val="0096544F"/>
    <w:rsid w:val="00974DA3"/>
    <w:rsid w:val="00990C4F"/>
    <w:rsid w:val="009A35A5"/>
    <w:rsid w:val="009B0A19"/>
    <w:rsid w:val="009B20BD"/>
    <w:rsid w:val="009F2759"/>
    <w:rsid w:val="009F5A8C"/>
    <w:rsid w:val="00A00213"/>
    <w:rsid w:val="00A1051C"/>
    <w:rsid w:val="00A40134"/>
    <w:rsid w:val="00A41BF0"/>
    <w:rsid w:val="00A45FFB"/>
    <w:rsid w:val="00A57B0D"/>
    <w:rsid w:val="00A61968"/>
    <w:rsid w:val="00A77E41"/>
    <w:rsid w:val="00A82DC6"/>
    <w:rsid w:val="00A8506A"/>
    <w:rsid w:val="00AB1839"/>
    <w:rsid w:val="00AB4E28"/>
    <w:rsid w:val="00AC5A15"/>
    <w:rsid w:val="00AD1C8D"/>
    <w:rsid w:val="00AE293C"/>
    <w:rsid w:val="00AF2C70"/>
    <w:rsid w:val="00AF760A"/>
    <w:rsid w:val="00B13DB9"/>
    <w:rsid w:val="00B15A8D"/>
    <w:rsid w:val="00B428B4"/>
    <w:rsid w:val="00B6020B"/>
    <w:rsid w:val="00B7234D"/>
    <w:rsid w:val="00B96C68"/>
    <w:rsid w:val="00BB30CF"/>
    <w:rsid w:val="00BC1C25"/>
    <w:rsid w:val="00BC4183"/>
    <w:rsid w:val="00BC5AD6"/>
    <w:rsid w:val="00BD0688"/>
    <w:rsid w:val="00BD670E"/>
    <w:rsid w:val="00BE2C3D"/>
    <w:rsid w:val="00BE66EA"/>
    <w:rsid w:val="00BF4EF8"/>
    <w:rsid w:val="00C02D59"/>
    <w:rsid w:val="00C3051A"/>
    <w:rsid w:val="00C51DFD"/>
    <w:rsid w:val="00C520C8"/>
    <w:rsid w:val="00C603FA"/>
    <w:rsid w:val="00C61258"/>
    <w:rsid w:val="00C64E63"/>
    <w:rsid w:val="00C66185"/>
    <w:rsid w:val="00C739EC"/>
    <w:rsid w:val="00C829D2"/>
    <w:rsid w:val="00CB290F"/>
    <w:rsid w:val="00CB3B56"/>
    <w:rsid w:val="00CC3B4F"/>
    <w:rsid w:val="00CC521E"/>
    <w:rsid w:val="00CD5567"/>
    <w:rsid w:val="00CE3BE2"/>
    <w:rsid w:val="00CE4BD5"/>
    <w:rsid w:val="00CF4901"/>
    <w:rsid w:val="00CF4C32"/>
    <w:rsid w:val="00D01CD9"/>
    <w:rsid w:val="00D141F3"/>
    <w:rsid w:val="00D15FE5"/>
    <w:rsid w:val="00D20DA1"/>
    <w:rsid w:val="00D217D9"/>
    <w:rsid w:val="00D30224"/>
    <w:rsid w:val="00D30403"/>
    <w:rsid w:val="00D43A95"/>
    <w:rsid w:val="00D623B6"/>
    <w:rsid w:val="00D65105"/>
    <w:rsid w:val="00D7765D"/>
    <w:rsid w:val="00D864F1"/>
    <w:rsid w:val="00D96B43"/>
    <w:rsid w:val="00DC0A53"/>
    <w:rsid w:val="00DC644B"/>
    <w:rsid w:val="00DD3079"/>
    <w:rsid w:val="00E0101B"/>
    <w:rsid w:val="00E03114"/>
    <w:rsid w:val="00E06F3C"/>
    <w:rsid w:val="00E113FA"/>
    <w:rsid w:val="00E24AC5"/>
    <w:rsid w:val="00E31FF3"/>
    <w:rsid w:val="00E376F0"/>
    <w:rsid w:val="00E37837"/>
    <w:rsid w:val="00E41486"/>
    <w:rsid w:val="00E41B20"/>
    <w:rsid w:val="00E533E3"/>
    <w:rsid w:val="00E54DF9"/>
    <w:rsid w:val="00E60184"/>
    <w:rsid w:val="00E7225F"/>
    <w:rsid w:val="00E722D1"/>
    <w:rsid w:val="00E73944"/>
    <w:rsid w:val="00E9577E"/>
    <w:rsid w:val="00EA00FE"/>
    <w:rsid w:val="00EA2990"/>
    <w:rsid w:val="00EC0384"/>
    <w:rsid w:val="00EC2F56"/>
    <w:rsid w:val="00EC760F"/>
    <w:rsid w:val="00ED14F7"/>
    <w:rsid w:val="00ED5B94"/>
    <w:rsid w:val="00EE71D3"/>
    <w:rsid w:val="00EF154F"/>
    <w:rsid w:val="00EF57E8"/>
    <w:rsid w:val="00EF70E3"/>
    <w:rsid w:val="00F03A51"/>
    <w:rsid w:val="00F31BE5"/>
    <w:rsid w:val="00F3637E"/>
    <w:rsid w:val="00F418CA"/>
    <w:rsid w:val="00F66F37"/>
    <w:rsid w:val="00F81884"/>
    <w:rsid w:val="00F975FC"/>
    <w:rsid w:val="00FA3027"/>
    <w:rsid w:val="00FA59F7"/>
    <w:rsid w:val="00FD38A2"/>
    <w:rsid w:val="00FF2991"/>
    <w:rsid w:val="00FF2AE3"/>
    <w:rsid w:val="00FF3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F31"/>
  <w15:chartTrackingRefBased/>
  <w15:docId w15:val="{1B3939F1-8F47-824F-925C-E123CEFB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0184"/>
    <w:rPr>
      <w:rFonts w:ascii="Constantia" w:hAnsi="Constantia"/>
    </w:rPr>
  </w:style>
  <w:style w:type="paragraph" w:styleId="Heading1">
    <w:name w:val="heading 1"/>
    <w:basedOn w:val="Normal"/>
    <w:next w:val="Normal"/>
    <w:link w:val="Heading1Char"/>
    <w:uiPriority w:val="9"/>
    <w:qFormat/>
    <w:rsid w:val="00FF29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77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dger">
    <w:name w:val="Badger"/>
    <w:basedOn w:val="TableNormal"/>
    <w:uiPriority w:val="99"/>
    <w:rsid w:val="008F5C98"/>
    <w:rPr>
      <w:sz w:val="20"/>
      <w:szCs w:val="18"/>
      <w:lang w:val="en-US"/>
    </w:rPr>
    <w:tblPr>
      <w:tblInd w:w="567" w:type="dxa"/>
    </w:tbl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Caption">
    <w:name w:val="caption"/>
    <w:next w:val="Normal"/>
    <w:autoRedefine/>
    <w:qFormat/>
    <w:rsid w:val="008F5C98"/>
    <w:pPr>
      <w:autoSpaceDN w:val="0"/>
      <w:spacing w:after="240"/>
      <w:textAlignment w:val="baseline"/>
    </w:pPr>
    <w:rPr>
      <w:rFonts w:eastAsia="Constantia" w:cs="Times New Roman"/>
      <w:b/>
      <w:iCs/>
      <w:sz w:val="22"/>
      <w:szCs w:val="20"/>
      <w:lang w:val="en-US" w:eastAsia="ja-JP"/>
    </w:rPr>
  </w:style>
  <w:style w:type="table" w:customStyle="1" w:styleId="ITK">
    <w:name w:val="ITK"/>
    <w:basedOn w:val="TableNormal"/>
    <w:uiPriority w:val="99"/>
    <w:rsid w:val="00A41BF0"/>
    <w:pPr>
      <w:jc w:val="right"/>
    </w:pPr>
    <w:rPr>
      <w:rFonts w:cs="Times New Roman (Body CS)"/>
      <w:sz w:val="18"/>
      <w:szCs w:val="18"/>
      <w:lang w:val="en-US"/>
    </w:rPr>
    <w:tblPr>
      <w:tblInd w:w="567" w:type="dxa"/>
    </w:tblPr>
    <w:tblStylePr w:type="firstRow">
      <w:rPr>
        <w:rFonts w:ascii="Calibri" w:hAnsi="Calibri"/>
        <w:color w:val="FFFFFF" w:themeColor="background1"/>
        <w:sz w:val="18"/>
      </w:rPr>
      <w:tblPr/>
      <w:tcPr>
        <w:shd w:val="clear" w:color="auto" w:fill="4472C4" w:themeFill="accent1"/>
      </w:tcPr>
    </w:tblStylePr>
    <w:tblStylePr w:type="lastRow">
      <w:tblPr/>
      <w:tcPr>
        <w:tcBorders>
          <w:bottom w:val="single" w:sz="4" w:space="0" w:color="auto"/>
        </w:tcBorders>
      </w:tcPr>
    </w:tblStylePr>
  </w:style>
  <w:style w:type="table" w:customStyle="1" w:styleId="ITK2">
    <w:name w:val="ITK2"/>
    <w:basedOn w:val="TableNormal"/>
    <w:uiPriority w:val="99"/>
    <w:rsid w:val="00E60184"/>
    <w:rPr>
      <w:rFonts w:cs="Times New Roman (Body CS)"/>
      <w:sz w:val="18"/>
      <w:szCs w:val="18"/>
      <w:lang w:val="en-US"/>
    </w:rPr>
    <w:tblPr>
      <w:tblCellMar>
        <w:left w:w="0" w:type="dxa"/>
        <w:right w:w="0" w:type="dxa"/>
      </w:tblCellMar>
    </w:tblPr>
    <w:trPr>
      <w:cantSplit/>
    </w:tr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BodyText">
    <w:name w:val="Body Text"/>
    <w:link w:val="BodyTextChar"/>
    <w:uiPriority w:val="99"/>
    <w:unhideWhenUsed/>
    <w:qFormat/>
    <w:rsid w:val="00AB4E28"/>
    <w:rPr>
      <w:rFonts w:ascii="Constantia" w:hAnsi="Constantia"/>
      <w:sz w:val="22"/>
    </w:rPr>
  </w:style>
  <w:style w:type="character" w:customStyle="1" w:styleId="BodyTextChar">
    <w:name w:val="Body Text Char"/>
    <w:basedOn w:val="DefaultParagraphFont"/>
    <w:link w:val="BodyText"/>
    <w:uiPriority w:val="99"/>
    <w:rsid w:val="00AB4E28"/>
    <w:rPr>
      <w:rFonts w:ascii="Constantia" w:hAnsi="Constantia"/>
      <w:sz w:val="22"/>
    </w:rPr>
  </w:style>
  <w:style w:type="paragraph" w:customStyle="1" w:styleId="Tablebody">
    <w:name w:val="Table body"/>
    <w:qFormat/>
    <w:rsid w:val="00E60184"/>
    <w:rPr>
      <w:rFonts w:ascii="Calibri" w:eastAsia="Times New Roman" w:hAnsi="Calibri" w:cs="Calibri"/>
      <w:color w:val="000000"/>
      <w:sz w:val="18"/>
      <w:szCs w:val="18"/>
      <w:lang w:val="en-US" w:eastAsia="en-GB"/>
    </w:rPr>
  </w:style>
  <w:style w:type="paragraph" w:customStyle="1" w:styleId="Tableheading">
    <w:name w:val="Table heading"/>
    <w:basedOn w:val="Normal"/>
    <w:qFormat/>
    <w:rsid w:val="00E60184"/>
    <w:rPr>
      <w:rFonts w:ascii="Calibri" w:hAnsi="Calibri" w:cs="Times New Roman (Body CS)"/>
      <w:color w:val="FFFFFF" w:themeColor="background1"/>
      <w:sz w:val="28"/>
      <w:szCs w:val="18"/>
      <w:lang w:val="en-US"/>
    </w:rPr>
  </w:style>
  <w:style w:type="paragraph" w:styleId="Title">
    <w:name w:val="Title"/>
    <w:basedOn w:val="Normal"/>
    <w:next w:val="Normal"/>
    <w:link w:val="TitleChar"/>
    <w:uiPriority w:val="10"/>
    <w:qFormat/>
    <w:rsid w:val="00E60184"/>
    <w:pPr>
      <w:contextualSpacing/>
    </w:pPr>
    <w:rPr>
      <w:rFonts w:eastAsiaTheme="majorEastAsia" w:cstheme="majorBidi"/>
      <w:color w:val="4472C4" w:themeColor="accent1"/>
      <w:spacing w:val="-10"/>
      <w:kern w:val="28"/>
      <w:sz w:val="56"/>
      <w:szCs w:val="56"/>
    </w:rPr>
  </w:style>
  <w:style w:type="character" w:customStyle="1" w:styleId="TitleChar">
    <w:name w:val="Title Char"/>
    <w:basedOn w:val="DefaultParagraphFont"/>
    <w:link w:val="Title"/>
    <w:uiPriority w:val="10"/>
    <w:rsid w:val="00E60184"/>
    <w:rPr>
      <w:rFonts w:ascii="Constantia" w:eastAsiaTheme="majorEastAsia" w:hAnsi="Constantia" w:cstheme="majorBidi"/>
      <w:color w:val="4472C4" w:themeColor="accent1"/>
      <w:spacing w:val="-10"/>
      <w:kern w:val="28"/>
      <w:sz w:val="56"/>
      <w:szCs w:val="56"/>
    </w:rPr>
  </w:style>
  <w:style w:type="paragraph" w:styleId="Quote">
    <w:name w:val="Quote"/>
    <w:basedOn w:val="BodyText"/>
    <w:next w:val="BodyText"/>
    <w:link w:val="QuoteChar"/>
    <w:uiPriority w:val="29"/>
    <w:qFormat/>
    <w:rsid w:val="00E60184"/>
    <w:pPr>
      <w:spacing w:before="200" w:after="160"/>
      <w:ind w:left="567" w:right="567"/>
    </w:pPr>
    <w:rPr>
      <w:i/>
      <w:iCs/>
      <w:color w:val="404040" w:themeColor="text1" w:themeTint="BF"/>
      <w:sz w:val="20"/>
    </w:rPr>
  </w:style>
  <w:style w:type="character" w:customStyle="1" w:styleId="QuoteChar">
    <w:name w:val="Quote Char"/>
    <w:basedOn w:val="DefaultParagraphFont"/>
    <w:link w:val="Quote"/>
    <w:uiPriority w:val="29"/>
    <w:rsid w:val="00E60184"/>
    <w:rPr>
      <w:rFonts w:ascii="Constantia" w:hAnsi="Constantia"/>
      <w:i/>
      <w:iCs/>
      <w:color w:val="404040" w:themeColor="text1" w:themeTint="BF"/>
      <w:sz w:val="20"/>
    </w:rPr>
  </w:style>
  <w:style w:type="character" w:customStyle="1" w:styleId="Heading1Char">
    <w:name w:val="Heading 1 Char"/>
    <w:basedOn w:val="DefaultParagraphFont"/>
    <w:link w:val="Heading1"/>
    <w:uiPriority w:val="9"/>
    <w:rsid w:val="00FF29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0A19"/>
    <w:rPr>
      <w:color w:val="0563C1" w:themeColor="hyperlink"/>
      <w:u w:val="single"/>
    </w:rPr>
  </w:style>
  <w:style w:type="character" w:styleId="UnresolvedMention">
    <w:name w:val="Unresolved Mention"/>
    <w:basedOn w:val="DefaultParagraphFont"/>
    <w:uiPriority w:val="99"/>
    <w:semiHidden/>
    <w:unhideWhenUsed/>
    <w:rsid w:val="009B0A19"/>
    <w:rPr>
      <w:color w:val="605E5C"/>
      <w:shd w:val="clear" w:color="auto" w:fill="E1DFDD"/>
    </w:rPr>
  </w:style>
  <w:style w:type="character" w:customStyle="1" w:styleId="Heading2Char">
    <w:name w:val="Heading 2 Char"/>
    <w:basedOn w:val="DefaultParagraphFont"/>
    <w:link w:val="Heading2"/>
    <w:uiPriority w:val="9"/>
    <w:rsid w:val="00A00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2F3E"/>
    <w:pPr>
      <w:ind w:left="720"/>
      <w:contextualSpacing/>
    </w:pPr>
  </w:style>
  <w:style w:type="character" w:styleId="BookTitle">
    <w:name w:val="Book Title"/>
    <w:basedOn w:val="DefaultParagraphFont"/>
    <w:uiPriority w:val="33"/>
    <w:qFormat/>
    <w:rsid w:val="00F31BE5"/>
    <w:rPr>
      <w:b/>
      <w:bCs/>
      <w:i/>
      <w:iCs/>
      <w:spacing w:val="5"/>
    </w:rPr>
  </w:style>
  <w:style w:type="paragraph" w:styleId="NormalWeb">
    <w:name w:val="Normal (Web)"/>
    <w:basedOn w:val="Normal"/>
    <w:uiPriority w:val="99"/>
    <w:semiHidden/>
    <w:unhideWhenUsed/>
    <w:rsid w:val="008D1D20"/>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E37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78">
      <w:bodyDiv w:val="1"/>
      <w:marLeft w:val="0"/>
      <w:marRight w:val="0"/>
      <w:marTop w:val="0"/>
      <w:marBottom w:val="0"/>
      <w:divBdr>
        <w:top w:val="none" w:sz="0" w:space="0" w:color="auto"/>
        <w:left w:val="none" w:sz="0" w:space="0" w:color="auto"/>
        <w:bottom w:val="none" w:sz="0" w:space="0" w:color="auto"/>
        <w:right w:val="none" w:sz="0" w:space="0" w:color="auto"/>
      </w:divBdr>
    </w:div>
    <w:div w:id="565342500">
      <w:bodyDiv w:val="1"/>
      <w:marLeft w:val="0"/>
      <w:marRight w:val="0"/>
      <w:marTop w:val="0"/>
      <w:marBottom w:val="0"/>
      <w:divBdr>
        <w:top w:val="none" w:sz="0" w:space="0" w:color="auto"/>
        <w:left w:val="none" w:sz="0" w:space="0" w:color="auto"/>
        <w:bottom w:val="none" w:sz="0" w:space="0" w:color="auto"/>
        <w:right w:val="none" w:sz="0" w:space="0" w:color="auto"/>
      </w:divBdr>
      <w:divsChild>
        <w:div w:id="1905481431">
          <w:marLeft w:val="0"/>
          <w:marRight w:val="0"/>
          <w:marTop w:val="0"/>
          <w:marBottom w:val="0"/>
          <w:divBdr>
            <w:top w:val="none" w:sz="0" w:space="0" w:color="auto"/>
            <w:left w:val="none" w:sz="0" w:space="0" w:color="auto"/>
            <w:bottom w:val="none" w:sz="0" w:space="0" w:color="auto"/>
            <w:right w:val="none" w:sz="0" w:space="0" w:color="auto"/>
          </w:divBdr>
          <w:divsChild>
            <w:div w:id="1533423782">
              <w:marLeft w:val="0"/>
              <w:marRight w:val="0"/>
              <w:marTop w:val="0"/>
              <w:marBottom w:val="0"/>
              <w:divBdr>
                <w:top w:val="none" w:sz="0" w:space="0" w:color="auto"/>
                <w:left w:val="none" w:sz="0" w:space="0" w:color="auto"/>
                <w:bottom w:val="none" w:sz="0" w:space="0" w:color="auto"/>
                <w:right w:val="none" w:sz="0" w:space="0" w:color="auto"/>
              </w:divBdr>
              <w:divsChild>
                <w:div w:id="44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7268">
      <w:bodyDiv w:val="1"/>
      <w:marLeft w:val="0"/>
      <w:marRight w:val="0"/>
      <w:marTop w:val="0"/>
      <w:marBottom w:val="0"/>
      <w:divBdr>
        <w:top w:val="none" w:sz="0" w:space="0" w:color="auto"/>
        <w:left w:val="none" w:sz="0" w:space="0" w:color="auto"/>
        <w:bottom w:val="none" w:sz="0" w:space="0" w:color="auto"/>
        <w:right w:val="none" w:sz="0" w:space="0" w:color="auto"/>
      </w:divBdr>
    </w:div>
    <w:div w:id="1062602821">
      <w:bodyDiv w:val="1"/>
      <w:marLeft w:val="0"/>
      <w:marRight w:val="0"/>
      <w:marTop w:val="0"/>
      <w:marBottom w:val="0"/>
      <w:divBdr>
        <w:top w:val="none" w:sz="0" w:space="0" w:color="auto"/>
        <w:left w:val="none" w:sz="0" w:space="0" w:color="auto"/>
        <w:bottom w:val="none" w:sz="0" w:space="0" w:color="auto"/>
        <w:right w:val="none" w:sz="0" w:space="0" w:color="auto"/>
      </w:divBdr>
    </w:div>
    <w:div w:id="1672827922">
      <w:bodyDiv w:val="1"/>
      <w:marLeft w:val="0"/>
      <w:marRight w:val="0"/>
      <w:marTop w:val="0"/>
      <w:marBottom w:val="0"/>
      <w:divBdr>
        <w:top w:val="none" w:sz="0" w:space="0" w:color="auto"/>
        <w:left w:val="none" w:sz="0" w:space="0" w:color="auto"/>
        <w:bottom w:val="none" w:sz="0" w:space="0" w:color="auto"/>
        <w:right w:val="none" w:sz="0" w:space="0" w:color="auto"/>
      </w:divBdr>
    </w:div>
    <w:div w:id="1792018767">
      <w:bodyDiv w:val="1"/>
      <w:marLeft w:val="0"/>
      <w:marRight w:val="0"/>
      <w:marTop w:val="0"/>
      <w:marBottom w:val="0"/>
      <w:divBdr>
        <w:top w:val="none" w:sz="0" w:space="0" w:color="auto"/>
        <w:left w:val="none" w:sz="0" w:space="0" w:color="auto"/>
        <w:bottom w:val="none" w:sz="0" w:space="0" w:color="auto"/>
        <w:right w:val="none" w:sz="0" w:space="0" w:color="auto"/>
      </w:divBdr>
    </w:div>
    <w:div w:id="1844010517">
      <w:bodyDiv w:val="1"/>
      <w:marLeft w:val="0"/>
      <w:marRight w:val="0"/>
      <w:marTop w:val="0"/>
      <w:marBottom w:val="0"/>
      <w:divBdr>
        <w:top w:val="none" w:sz="0" w:space="0" w:color="auto"/>
        <w:left w:val="none" w:sz="0" w:space="0" w:color="auto"/>
        <w:bottom w:val="none" w:sz="0" w:space="0" w:color="auto"/>
        <w:right w:val="none" w:sz="0" w:space="0" w:color="auto"/>
      </w:divBdr>
    </w:div>
    <w:div w:id="1881016961">
      <w:bodyDiv w:val="1"/>
      <w:marLeft w:val="0"/>
      <w:marRight w:val="0"/>
      <w:marTop w:val="0"/>
      <w:marBottom w:val="0"/>
      <w:divBdr>
        <w:top w:val="none" w:sz="0" w:space="0" w:color="auto"/>
        <w:left w:val="none" w:sz="0" w:space="0" w:color="auto"/>
        <w:bottom w:val="none" w:sz="0" w:space="0" w:color="auto"/>
        <w:right w:val="none" w:sz="0" w:space="0" w:color="auto"/>
      </w:divBdr>
    </w:div>
    <w:div w:id="18840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vidleitch/Downloads/GSD2023_data_extract_v2024-02-07/current_year_monthly.t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Lowering evening</a:t>
            </a:r>
            <a:r>
              <a:rPr lang="en-US" baseline="0"/>
              <a:t> peak prices can cut $10/MWh off average, NSW actual  last full year compared to cutting max to $130/MWh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Sheet4!$C$2</c:f>
              <c:strCache>
                <c:ptCount val="1"/>
                <c:pt idx="0">
                  <c:v>NSW actual (avg $92.8)</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Sheet4!$B$3:$B$49</c:f>
              <c:numCache>
                <c:formatCode>h:mm:ss</c:formatCode>
                <c:ptCount val="47"/>
                <c:pt idx="0">
                  <c:v>2.0833333333333332E-2</c:v>
                </c:pt>
                <c:pt idx="1">
                  <c:v>4.1666666666666664E-2</c:v>
                </c:pt>
                <c:pt idx="2">
                  <c:v>6.25E-2</c:v>
                </c:pt>
                <c:pt idx="3">
                  <c:v>8.3333333333333329E-2</c:v>
                </c:pt>
                <c:pt idx="4">
                  <c:v>0.10416666666666667</c:v>
                </c:pt>
                <c:pt idx="5">
                  <c:v>0.125</c:v>
                </c:pt>
                <c:pt idx="6">
                  <c:v>0.14583333333333334</c:v>
                </c:pt>
                <c:pt idx="7">
                  <c:v>0.16666666666666666</c:v>
                </c:pt>
                <c:pt idx="8">
                  <c:v>0.1875</c:v>
                </c:pt>
                <c:pt idx="9">
                  <c:v>0.20833333333333334</c:v>
                </c:pt>
                <c:pt idx="10">
                  <c:v>0.22916666666666666</c:v>
                </c:pt>
                <c:pt idx="11">
                  <c:v>0.25</c:v>
                </c:pt>
                <c:pt idx="12">
                  <c:v>0.27083333333333331</c:v>
                </c:pt>
                <c:pt idx="13">
                  <c:v>0.29166666666666669</c:v>
                </c:pt>
                <c:pt idx="14">
                  <c:v>0.3125</c:v>
                </c:pt>
                <c:pt idx="15">
                  <c:v>0.33333333333333331</c:v>
                </c:pt>
                <c:pt idx="16">
                  <c:v>0.35416666666666669</c:v>
                </c:pt>
                <c:pt idx="17">
                  <c:v>0.375</c:v>
                </c:pt>
                <c:pt idx="18">
                  <c:v>0.39583333333333331</c:v>
                </c:pt>
                <c:pt idx="19">
                  <c:v>0.41666666666666669</c:v>
                </c:pt>
                <c:pt idx="20">
                  <c:v>0.4375</c:v>
                </c:pt>
                <c:pt idx="21">
                  <c:v>0.45833333333333331</c:v>
                </c:pt>
                <c:pt idx="22">
                  <c:v>0.47916666666666669</c:v>
                </c:pt>
                <c:pt idx="23">
                  <c:v>0.5</c:v>
                </c:pt>
                <c:pt idx="24">
                  <c:v>0.52083333333333337</c:v>
                </c:pt>
                <c:pt idx="25">
                  <c:v>0.54166666666666663</c:v>
                </c:pt>
                <c:pt idx="26">
                  <c:v>0.5625</c:v>
                </c:pt>
                <c:pt idx="27">
                  <c:v>0.58333333333333337</c:v>
                </c:pt>
                <c:pt idx="28">
                  <c:v>0.60416666666666663</c:v>
                </c:pt>
                <c:pt idx="29">
                  <c:v>0.625</c:v>
                </c:pt>
                <c:pt idx="30">
                  <c:v>0.64583333333333337</c:v>
                </c:pt>
                <c:pt idx="31">
                  <c:v>0.66666666666666663</c:v>
                </c:pt>
                <c:pt idx="32">
                  <c:v>0.6875</c:v>
                </c:pt>
                <c:pt idx="33">
                  <c:v>0.70833333333333337</c:v>
                </c:pt>
                <c:pt idx="34">
                  <c:v>0.72916666666666663</c:v>
                </c:pt>
                <c:pt idx="35">
                  <c:v>0.75</c:v>
                </c:pt>
                <c:pt idx="36">
                  <c:v>0.77083333333333337</c:v>
                </c:pt>
                <c:pt idx="37">
                  <c:v>0.79166666666666663</c:v>
                </c:pt>
                <c:pt idx="38">
                  <c:v>0.8125</c:v>
                </c:pt>
                <c:pt idx="39">
                  <c:v>0.83333333333333337</c:v>
                </c:pt>
                <c:pt idx="40">
                  <c:v>0.85416666666666663</c:v>
                </c:pt>
                <c:pt idx="41">
                  <c:v>0.875</c:v>
                </c:pt>
                <c:pt idx="42">
                  <c:v>0.89583333333333337</c:v>
                </c:pt>
                <c:pt idx="43">
                  <c:v>0.91666666666666663</c:v>
                </c:pt>
                <c:pt idx="44">
                  <c:v>0.9375</c:v>
                </c:pt>
                <c:pt idx="45">
                  <c:v>0.95833333333333337</c:v>
                </c:pt>
                <c:pt idx="46">
                  <c:v>0.97916666666666663</c:v>
                </c:pt>
              </c:numCache>
            </c:numRef>
          </c:cat>
          <c:val>
            <c:numRef>
              <c:f>Sheet4!$C$3:$C$49</c:f>
              <c:numCache>
                <c:formatCode>General</c:formatCode>
                <c:ptCount val="47"/>
                <c:pt idx="0">
                  <c:v>92.7</c:v>
                </c:pt>
                <c:pt idx="1">
                  <c:v>89.8</c:v>
                </c:pt>
                <c:pt idx="2">
                  <c:v>85.4</c:v>
                </c:pt>
                <c:pt idx="3">
                  <c:v>79.3</c:v>
                </c:pt>
                <c:pt idx="4">
                  <c:v>78.8</c:v>
                </c:pt>
                <c:pt idx="5">
                  <c:v>77.3</c:v>
                </c:pt>
                <c:pt idx="6">
                  <c:v>76.3</c:v>
                </c:pt>
                <c:pt idx="7">
                  <c:v>76.3</c:v>
                </c:pt>
                <c:pt idx="8">
                  <c:v>80.2</c:v>
                </c:pt>
                <c:pt idx="9">
                  <c:v>82.8</c:v>
                </c:pt>
                <c:pt idx="10">
                  <c:v>92.7</c:v>
                </c:pt>
                <c:pt idx="11">
                  <c:v>89.1</c:v>
                </c:pt>
                <c:pt idx="12">
                  <c:v>98.5</c:v>
                </c:pt>
                <c:pt idx="13">
                  <c:v>111.5</c:v>
                </c:pt>
                <c:pt idx="14">
                  <c:v>87.1</c:v>
                </c:pt>
                <c:pt idx="15">
                  <c:v>69.8</c:v>
                </c:pt>
                <c:pt idx="16">
                  <c:v>61.8</c:v>
                </c:pt>
                <c:pt idx="17">
                  <c:v>52.3</c:v>
                </c:pt>
                <c:pt idx="18">
                  <c:v>52.7</c:v>
                </c:pt>
                <c:pt idx="19">
                  <c:v>42.5</c:v>
                </c:pt>
                <c:pt idx="20">
                  <c:v>47</c:v>
                </c:pt>
                <c:pt idx="21">
                  <c:v>36</c:v>
                </c:pt>
                <c:pt idx="22">
                  <c:v>35.299999999999997</c:v>
                </c:pt>
                <c:pt idx="23">
                  <c:v>35.6</c:v>
                </c:pt>
                <c:pt idx="24">
                  <c:v>36.1</c:v>
                </c:pt>
                <c:pt idx="25">
                  <c:v>39.9</c:v>
                </c:pt>
                <c:pt idx="26">
                  <c:v>44.4</c:v>
                </c:pt>
                <c:pt idx="27">
                  <c:v>50.4</c:v>
                </c:pt>
                <c:pt idx="28">
                  <c:v>54.1</c:v>
                </c:pt>
                <c:pt idx="29">
                  <c:v>75.2</c:v>
                </c:pt>
                <c:pt idx="30">
                  <c:v>65.3</c:v>
                </c:pt>
                <c:pt idx="31">
                  <c:v>77.7</c:v>
                </c:pt>
                <c:pt idx="32">
                  <c:v>91.7</c:v>
                </c:pt>
                <c:pt idx="33">
                  <c:v>130</c:v>
                </c:pt>
                <c:pt idx="34">
                  <c:v>203.1</c:v>
                </c:pt>
                <c:pt idx="35">
                  <c:v>354.5</c:v>
                </c:pt>
                <c:pt idx="36">
                  <c:v>271.39999999999998</c:v>
                </c:pt>
                <c:pt idx="37">
                  <c:v>216.8</c:v>
                </c:pt>
                <c:pt idx="38">
                  <c:v>141.9</c:v>
                </c:pt>
                <c:pt idx="39">
                  <c:v>129.1</c:v>
                </c:pt>
                <c:pt idx="40">
                  <c:v>117.4</c:v>
                </c:pt>
                <c:pt idx="41">
                  <c:v>111.2</c:v>
                </c:pt>
                <c:pt idx="42">
                  <c:v>109.4</c:v>
                </c:pt>
                <c:pt idx="43">
                  <c:v>98.3</c:v>
                </c:pt>
                <c:pt idx="44">
                  <c:v>105.3</c:v>
                </c:pt>
                <c:pt idx="45">
                  <c:v>100.2</c:v>
                </c:pt>
                <c:pt idx="46">
                  <c:v>99.7</c:v>
                </c:pt>
              </c:numCache>
            </c:numRef>
          </c:val>
          <c:smooth val="0"/>
          <c:extLst>
            <c:ext xmlns:c16="http://schemas.microsoft.com/office/drawing/2014/chart" uri="{C3380CC4-5D6E-409C-BE32-E72D297353CC}">
              <c16:uniqueId val="{00000000-4E58-6B4C-BE62-B563E7E058B3}"/>
            </c:ext>
          </c:extLst>
        </c:ser>
        <c:ser>
          <c:idx val="1"/>
          <c:order val="1"/>
          <c:tx>
            <c:strRef>
              <c:f>Sheet4!$D$2</c:f>
              <c:strCache>
                <c:ptCount val="1"/>
                <c:pt idx="0">
                  <c:v>NSW peak $130 (avg$81.6)</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Sheet4!$B$3:$B$49</c:f>
              <c:numCache>
                <c:formatCode>h:mm:ss</c:formatCode>
                <c:ptCount val="47"/>
                <c:pt idx="0">
                  <c:v>2.0833333333333332E-2</c:v>
                </c:pt>
                <c:pt idx="1">
                  <c:v>4.1666666666666664E-2</c:v>
                </c:pt>
                <c:pt idx="2">
                  <c:v>6.25E-2</c:v>
                </c:pt>
                <c:pt idx="3">
                  <c:v>8.3333333333333329E-2</c:v>
                </c:pt>
                <c:pt idx="4">
                  <c:v>0.10416666666666667</c:v>
                </c:pt>
                <c:pt idx="5">
                  <c:v>0.125</c:v>
                </c:pt>
                <c:pt idx="6">
                  <c:v>0.14583333333333334</c:v>
                </c:pt>
                <c:pt idx="7">
                  <c:v>0.16666666666666666</c:v>
                </c:pt>
                <c:pt idx="8">
                  <c:v>0.1875</c:v>
                </c:pt>
                <c:pt idx="9">
                  <c:v>0.20833333333333334</c:v>
                </c:pt>
                <c:pt idx="10">
                  <c:v>0.22916666666666666</c:v>
                </c:pt>
                <c:pt idx="11">
                  <c:v>0.25</c:v>
                </c:pt>
                <c:pt idx="12">
                  <c:v>0.27083333333333331</c:v>
                </c:pt>
                <c:pt idx="13">
                  <c:v>0.29166666666666669</c:v>
                </c:pt>
                <c:pt idx="14">
                  <c:v>0.3125</c:v>
                </c:pt>
                <c:pt idx="15">
                  <c:v>0.33333333333333331</c:v>
                </c:pt>
                <c:pt idx="16">
                  <c:v>0.35416666666666669</c:v>
                </c:pt>
                <c:pt idx="17">
                  <c:v>0.375</c:v>
                </c:pt>
                <c:pt idx="18">
                  <c:v>0.39583333333333331</c:v>
                </c:pt>
                <c:pt idx="19">
                  <c:v>0.41666666666666669</c:v>
                </c:pt>
                <c:pt idx="20">
                  <c:v>0.4375</c:v>
                </c:pt>
                <c:pt idx="21">
                  <c:v>0.45833333333333331</c:v>
                </c:pt>
                <c:pt idx="22">
                  <c:v>0.47916666666666669</c:v>
                </c:pt>
                <c:pt idx="23">
                  <c:v>0.5</c:v>
                </c:pt>
                <c:pt idx="24">
                  <c:v>0.52083333333333337</c:v>
                </c:pt>
                <c:pt idx="25">
                  <c:v>0.54166666666666663</c:v>
                </c:pt>
                <c:pt idx="26">
                  <c:v>0.5625</c:v>
                </c:pt>
                <c:pt idx="27">
                  <c:v>0.58333333333333337</c:v>
                </c:pt>
                <c:pt idx="28">
                  <c:v>0.60416666666666663</c:v>
                </c:pt>
                <c:pt idx="29">
                  <c:v>0.625</c:v>
                </c:pt>
                <c:pt idx="30">
                  <c:v>0.64583333333333337</c:v>
                </c:pt>
                <c:pt idx="31">
                  <c:v>0.66666666666666663</c:v>
                </c:pt>
                <c:pt idx="32">
                  <c:v>0.6875</c:v>
                </c:pt>
                <c:pt idx="33">
                  <c:v>0.70833333333333337</c:v>
                </c:pt>
                <c:pt idx="34">
                  <c:v>0.72916666666666663</c:v>
                </c:pt>
                <c:pt idx="35">
                  <c:v>0.75</c:v>
                </c:pt>
                <c:pt idx="36">
                  <c:v>0.77083333333333337</c:v>
                </c:pt>
                <c:pt idx="37">
                  <c:v>0.79166666666666663</c:v>
                </c:pt>
                <c:pt idx="38">
                  <c:v>0.8125</c:v>
                </c:pt>
                <c:pt idx="39">
                  <c:v>0.83333333333333337</c:v>
                </c:pt>
                <c:pt idx="40">
                  <c:v>0.85416666666666663</c:v>
                </c:pt>
                <c:pt idx="41">
                  <c:v>0.875</c:v>
                </c:pt>
                <c:pt idx="42">
                  <c:v>0.89583333333333337</c:v>
                </c:pt>
                <c:pt idx="43">
                  <c:v>0.91666666666666663</c:v>
                </c:pt>
                <c:pt idx="44">
                  <c:v>0.9375</c:v>
                </c:pt>
                <c:pt idx="45">
                  <c:v>0.95833333333333337</c:v>
                </c:pt>
                <c:pt idx="46">
                  <c:v>0.97916666666666663</c:v>
                </c:pt>
              </c:numCache>
            </c:numRef>
          </c:cat>
          <c:val>
            <c:numRef>
              <c:f>Sheet4!$D$3:$D$49</c:f>
              <c:numCache>
                <c:formatCode>General</c:formatCode>
                <c:ptCount val="47"/>
                <c:pt idx="0">
                  <c:v>92.7</c:v>
                </c:pt>
                <c:pt idx="1">
                  <c:v>89.8</c:v>
                </c:pt>
                <c:pt idx="2">
                  <c:v>85.4</c:v>
                </c:pt>
                <c:pt idx="3">
                  <c:v>79.3</c:v>
                </c:pt>
                <c:pt idx="4">
                  <c:v>78.8</c:v>
                </c:pt>
                <c:pt idx="5">
                  <c:v>77.3</c:v>
                </c:pt>
                <c:pt idx="6">
                  <c:v>76.3</c:v>
                </c:pt>
                <c:pt idx="7">
                  <c:v>76.3</c:v>
                </c:pt>
                <c:pt idx="8">
                  <c:v>80.2</c:v>
                </c:pt>
                <c:pt idx="9">
                  <c:v>82.8</c:v>
                </c:pt>
                <c:pt idx="10">
                  <c:v>92.7</c:v>
                </c:pt>
                <c:pt idx="11">
                  <c:v>89.1</c:v>
                </c:pt>
                <c:pt idx="12">
                  <c:v>98.5</c:v>
                </c:pt>
                <c:pt idx="13">
                  <c:v>111.5</c:v>
                </c:pt>
                <c:pt idx="14">
                  <c:v>87.1</c:v>
                </c:pt>
                <c:pt idx="15">
                  <c:v>69.8</c:v>
                </c:pt>
                <c:pt idx="16">
                  <c:v>61.8</c:v>
                </c:pt>
                <c:pt idx="17">
                  <c:v>52.3</c:v>
                </c:pt>
                <c:pt idx="18">
                  <c:v>52.7</c:v>
                </c:pt>
                <c:pt idx="19">
                  <c:v>42.5</c:v>
                </c:pt>
                <c:pt idx="20">
                  <c:v>47</c:v>
                </c:pt>
                <c:pt idx="21">
                  <c:v>36</c:v>
                </c:pt>
                <c:pt idx="22">
                  <c:v>35.299999999999997</c:v>
                </c:pt>
                <c:pt idx="23">
                  <c:v>35.6</c:v>
                </c:pt>
                <c:pt idx="24">
                  <c:v>36.1</c:v>
                </c:pt>
                <c:pt idx="25">
                  <c:v>39.9</c:v>
                </c:pt>
                <c:pt idx="26">
                  <c:v>44.4</c:v>
                </c:pt>
                <c:pt idx="27">
                  <c:v>50.4</c:v>
                </c:pt>
                <c:pt idx="28">
                  <c:v>54.1</c:v>
                </c:pt>
                <c:pt idx="29">
                  <c:v>75.2</c:v>
                </c:pt>
                <c:pt idx="30">
                  <c:v>65.3</c:v>
                </c:pt>
                <c:pt idx="31">
                  <c:v>77.7</c:v>
                </c:pt>
                <c:pt idx="32">
                  <c:v>91.7</c:v>
                </c:pt>
                <c:pt idx="33">
                  <c:v>130</c:v>
                </c:pt>
                <c:pt idx="34">
                  <c:v>130</c:v>
                </c:pt>
                <c:pt idx="35">
                  <c:v>130</c:v>
                </c:pt>
                <c:pt idx="36">
                  <c:v>130</c:v>
                </c:pt>
                <c:pt idx="37">
                  <c:v>130</c:v>
                </c:pt>
                <c:pt idx="38">
                  <c:v>130</c:v>
                </c:pt>
                <c:pt idx="39">
                  <c:v>129.1</c:v>
                </c:pt>
                <c:pt idx="40">
                  <c:v>117.4</c:v>
                </c:pt>
                <c:pt idx="41">
                  <c:v>111.2</c:v>
                </c:pt>
                <c:pt idx="42">
                  <c:v>109.4</c:v>
                </c:pt>
                <c:pt idx="43">
                  <c:v>98.3</c:v>
                </c:pt>
                <c:pt idx="44">
                  <c:v>105.3</c:v>
                </c:pt>
                <c:pt idx="45">
                  <c:v>100.2</c:v>
                </c:pt>
                <c:pt idx="46">
                  <c:v>99.7</c:v>
                </c:pt>
              </c:numCache>
            </c:numRef>
          </c:val>
          <c:smooth val="0"/>
          <c:extLst>
            <c:ext xmlns:c16="http://schemas.microsoft.com/office/drawing/2014/chart" uri="{C3380CC4-5D6E-409C-BE32-E72D297353CC}">
              <c16:uniqueId val="{00000001-4E58-6B4C-BE62-B563E7E058B3}"/>
            </c:ext>
          </c:extLst>
        </c:ser>
        <c:dLbls>
          <c:showLegendKey val="0"/>
          <c:showVal val="0"/>
          <c:showCatName val="0"/>
          <c:showSerName val="0"/>
          <c:showPercent val="0"/>
          <c:showBubbleSize val="0"/>
        </c:dLbls>
        <c:smooth val="0"/>
        <c:axId val="500680047"/>
        <c:axId val="863058079"/>
      </c:lineChart>
      <c:catAx>
        <c:axId val="500680047"/>
        <c:scaling>
          <c:orientation val="minMax"/>
        </c:scaling>
        <c:delete val="0"/>
        <c:axPos val="b"/>
        <c:numFmt formatCode="h:mm:ss"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3058079"/>
        <c:crosses val="autoZero"/>
        <c:auto val="1"/>
        <c:lblAlgn val="ctr"/>
        <c:lblOffset val="100"/>
        <c:noMultiLvlLbl val="0"/>
      </c:catAx>
      <c:valAx>
        <c:axId val="8630580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$/MWh</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068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soli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Leitch</dc:creator>
  <cp:keywords/>
  <dc:description/>
  <cp:lastModifiedBy>David Leitch</cp:lastModifiedBy>
  <cp:revision>3</cp:revision>
  <dcterms:created xsi:type="dcterms:W3CDTF">2024-02-11T10:34:00Z</dcterms:created>
  <dcterms:modified xsi:type="dcterms:W3CDTF">2024-02-11T10:55:00Z</dcterms:modified>
</cp:coreProperties>
</file>