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transactions) disputes referred via the ATM / POS trace,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transactions)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and Verify the Member</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rPr>
          <w:b w:val="0"/>
          <w:i w:val="0"/>
        </w:rPr>
        <w:t xml:space="preserve">Verify the cardholder's identity and confirm the member is authenticated, </w:t>
      </w:r>
      <w:r>
        <w:rPr>
          <w:b w:val="0"/>
          <w:i/>
        </w:rPr>
        <w:t>per Beem's existing member authentication procedures [TBC — reference to be confirmed]</w:t>
      </w:r>
      <w:r>
        <w:rPr>
          <w:b w:val="0"/>
          <w:i w:val="0"/>
        </w:rPr>
        <w:t>. If the member cannot be authenticated, do not proceed with intake.</w:t>
      </w:r>
    </w:p>
    <w:p>
      <w:pPr>
        <w:pStyle w:val="Heading3"/>
        <w:numPr>
          <w:ilvl w:val="0"/>
          <w:numId w:val="0"/>
        </w:numPr>
        <w:ind w:left="992" w:hanging="992"/>
      </w:pPr>
      <w:r>
        <w:rPr>
          <w:sz w:val="28"/>
        </w:rPr>
        <w:t>4.2.2 Confirm Transaction Posting and Locate the Transaction</w:t>
      </w:r>
    </w:p>
    <w:p>
      <w:r>
        <w:t>The Growth Team member should:</w:t>
      </w:r>
    </w:p>
    <w:p>
      <w:pPr>
        <w:pStyle w:val="ListParagraph"/>
        <w:numPr>
          <w:ilvl w:val="0"/>
          <w:numId w:val="1001"/>
        </w:numPr>
      </w:pPr>
      <w:r>
        <w:rPr>
          <w:b/>
          <w:i w:val="0"/>
        </w:rPr>
        <w:t>Confirm transaction posting</w:t>
      </w:r>
      <w:r>
        <w:t xml:space="preserve"> — has the transaction posted to the member's account?</w:t>
      </w:r>
    </w:p>
    <w:p>
      <w:pPr>
        <w:pStyle w:val="ListParagraph"/>
        <w:numPr>
          <w:ilvl w:val="1"/>
          <w:numId w:val="1001"/>
        </w:numPr>
      </w:pPr>
      <w:r>
        <w:rPr>
          <w:b/>
          <w:i w:val="0"/>
        </w:rPr>
        <w:t xml:space="preserve">If not yet posted: </w:t>
      </w:r>
      <w:r>
        <w:t>advise the member to wait until the transaction posts before a dispute can be initiated.</w:t>
      </w:r>
    </w:p>
    <w:p>
      <w:pPr>
        <w:pStyle w:val="ListParagraph"/>
        <w:numPr>
          <w:ilvl w:val="1"/>
          <w:numId w:val="1001"/>
        </w:numPr>
      </w:pPr>
      <w:r>
        <w:rPr>
          <w:b/>
          <w:i w:val="0"/>
        </w:rPr>
        <w:t xml:space="preserve">If posted: </w:t>
      </w:r>
      <w:r>
        <w:t>proceed to Step 2.</w:t>
      </w:r>
    </w:p>
    <w:p>
      <w:pPr>
        <w:pStyle w:val="ListParagraph"/>
        <w:numPr>
          <w:ilvl w:val="0"/>
          <w:numId w:val="1001"/>
        </w:numPr>
      </w:pPr>
      <w:r>
        <w:rPr>
          <w:b/>
          <w:i w:val="0"/>
        </w:rPr>
        <w:t>Locate the transaction</w:t>
      </w:r>
      <w:r>
        <w:t xml:space="preserve"> the member is disputing in DNA </w:t>
      </w:r>
      <w:r>
        <w:rPr>
          <w:b w:val="0"/>
          <w:i/>
        </w:rPr>
        <w:t>[TBC — system to be confirmed]</w:t>
      </w:r>
      <w:r>
        <w:t>, using the date, amount, and merchant name provided by the member.</w:t>
      </w:r>
    </w:p>
    <w:p>
      <w:pPr>
        <w:pStyle w:val="ListParagraph"/>
        <w:numPr>
          <w:ilvl w:val="1"/>
          <w:numId w:val="1001"/>
        </w:numPr>
      </w:pPr>
      <w:r>
        <w:rPr>
          <w:b/>
          <w:i w:val="0"/>
        </w:rPr>
        <w:t xml:space="preserve">If located: </w:t>
      </w:r>
      <w:r>
        <w:t>proceed to Section 4.2.3 — Create the CRM Case.</w:t>
      </w:r>
    </w:p>
    <w:p>
      <w:pPr>
        <w:pStyle w:val="ListParagraph"/>
        <w:numPr>
          <w:ilvl w:val="1"/>
          <w:numId w:val="1001"/>
        </w:numPr>
      </w:pPr>
      <w:r>
        <w:rPr>
          <w:b/>
          <w:i w:val="0"/>
        </w:rPr>
        <w:t xml:space="preserve">If it cannot be located: </w:t>
      </w:r>
      <w:r>
        <w:t>ask the member to reconfirm the date, amount, and merchant name, and search again. If the transaction still cannot be located, inform the member that Beem has no record of this transaction and a dispute cannot be initiated at this time. This procedure ends.</w:t>
      </w:r>
    </w:p>
    <w:p>
      <w:pPr>
        <w:pStyle w:val="Heading3"/>
        <w:numPr>
          <w:ilvl w:val="0"/>
          <w:numId w:val="0"/>
        </w:numPr>
        <w:ind w:left="992" w:hanging="992"/>
      </w:pPr>
      <w:r>
        <w:rPr>
          <w:sz w:val="28"/>
        </w:rPr>
        <w:t>4.2.3 Create the CRM Case</w:t>
      </w:r>
    </w:p>
    <w:p>
      <w:r>
        <w:t>Open a new CRM Case and populate the following:</w:t>
      </w:r>
    </w:p>
    <w:p>
      <w:pPr>
        <w:numPr>
          <w:ilvl w:val="0"/>
          <w:numId w:val="24"/>
        </w:numPr>
      </w:pPr>
      <w:r>
        <w:rPr>
          <w:b/>
          <w:i w:val="0"/>
        </w:rPr>
        <w:t xml:space="preserve">Case Details </w:t>
      </w:r>
      <w:r>
        <w:rPr>
          <w:b w:val="0"/>
          <w:i/>
        </w:rPr>
        <w:t xml:space="preserve">(auto-populated): </w:t>
      </w:r>
      <w:r>
        <w:t>unique case ID, case creation date, intake agent, current status, and owner.</w:t>
      </w:r>
    </w:p>
    <w:p>
      <w:pPr>
        <w:numPr>
          <w:ilvl w:val="0"/>
          <w:numId w:val="24"/>
        </w:numPr>
      </w:pPr>
      <w:r>
        <w:rPr>
          <w:b/>
          <w:i w:val="0"/>
        </w:rPr>
        <w:t xml:space="preserve">Member Details: </w:t>
      </w:r>
      <w:r>
        <w:t>member full name (select from dropdown), member email (manually entered), member phone number (manually entered).</w:t>
      </w:r>
    </w:p>
    <w:p>
      <w:pPr>
        <w:numPr>
          <w:ilvl w:val="0"/>
          <w:numId w:val="24"/>
        </w:numPr>
      </w:pPr>
      <w:r>
        <w:rPr>
          <w:b/>
          <w:i w:val="0"/>
        </w:rPr>
        <w:t xml:space="preserve">Transaction Details </w:t>
      </w:r>
      <w:r>
        <w:rPr>
          <w:b w:val="0"/>
          <w:i/>
        </w:rPr>
        <w:t xml:space="preserve">(manually entered based on the DNA transaction located in Section 4.2.2): </w:t>
      </w:r>
      <w:r>
        <w:t>date, merchant, amount, and type (POS, ATM, or Card-Not-Present).</w:t>
      </w:r>
    </w:p>
    <w:p>
      <w:pPr>
        <w:numPr>
          <w:ilvl w:val="0"/>
          <w:numId w:val="24"/>
        </w:numPr>
      </w:pPr>
      <w:r>
        <w:rPr>
          <w:b/>
          <w:i w:val="0"/>
        </w:rPr>
        <w:t>Dispute Narrative</w:t>
      </w:r>
      <w:r>
        <w:t xml:space="preserve"> — using the open-text Dispute Narrative field, record notes on what the member is disputing, and determine whether the transaction is recognized or unrecognized in order to route the case to the correct team. See below guidance questions — not every question needs to be asked in every case; if the first question already gives a clear answer, the second question may not be necessary:</w:t>
      </w:r>
    </w:p>
    <w:p>
      <w:pPr>
        <w:numPr>
          <w:ilvl w:val="1"/>
          <w:numId w:val="24"/>
        </w:numPr>
      </w:pPr>
      <w:r>
        <w:t>Ask: “Did you authorize this transaction? Do you recognize the merchant name, even if you don’t recall the specific purchase?”</w:t>
      </w:r>
    </w:p>
    <w:p>
      <w:pPr>
        <w:numPr>
          <w:ilvl w:val="1"/>
          <w:numId w:val="24"/>
        </w:numPr>
      </w:pPr>
      <w:r>
        <w:t>Example answer: “No, I’ve never heard of this merchant.” — What it means: this indicates Fraud.</w:t>
      </w:r>
    </w:p>
    <w:p>
      <w:pPr>
        <w:numPr>
          <w:ilvl w:val="1"/>
          <w:numId w:val="24"/>
        </w:numPr>
      </w:pPr>
      <w:r>
        <w:t>Example answer: “Yes, I recognize the merchant and I made that transaction.” — What it means: this indicates Non-Fraud.</w:t>
      </w:r>
    </w:p>
    <w:p>
      <w:pPr>
        <w:numPr>
          <w:ilvl w:val="1"/>
          <w:numId w:val="24"/>
        </w:numPr>
      </w:pPr>
      <w:r>
        <w:t>If needed, ask: “Could this charge be part of a recurring subscription or membership you may have forgotten about?”</w:t>
      </w:r>
    </w:p>
    <w:p>
      <w:pPr>
        <w:numPr>
          <w:ilvl w:val="1"/>
          <w:numId w:val="24"/>
        </w:numPr>
      </w:pPr>
      <w:r>
        <w:t>Example answer: “Oh, I think I signed up for a trial a few months ago.” — What it means: this indicates Non-Fraud (a forgotten subscription).</w:t>
      </w:r>
    </w:p>
    <w:p>
      <w:pPr>
        <w:numPr>
          <w:ilvl w:val="1"/>
          <w:numId w:val="24"/>
        </w:numPr>
      </w:pPr>
      <w:r>
        <w:t>Example answer: “No, I don’t have any subscriptions with this merchant.” — What it means: this indicates Fraud (likely an unauthorized transaction).</w:t>
      </w:r>
    </w:p>
    <w:p>
      <w:pPr>
        <w:pStyle w:val="Heading3"/>
        <w:numPr>
          <w:ilvl w:val="0"/>
          <w:numId w:val="0"/>
        </w:numPr>
        <w:ind w:left="992" w:hanging="992"/>
      </w:pPr>
      <w:r>
        <w:rPr>
          <w:sz w:val="28"/>
        </w:rPr>
        <w:t>4.2.4 Determine Fraud or Non-Fraud and Route the Case</w:t>
      </w:r>
    </w:p>
    <w:p>
      <w:r>
        <w:t>Based on the member's responses captured in the Dispute Narrative, the Growth Team member selects in the CRM whether the member recognizes the transaction. The CRM then automatically surfaces the applicable form within the case:</w:t>
      </w:r>
    </w:p>
    <w:p>
      <w:pPr>
        <w:numPr>
          <w:ilvl w:val="0"/>
          <w:numId w:val="24"/>
        </w:numPr>
      </w:pPr>
      <w:r>
        <w:rPr>
          <w:b/>
          <w:i w:val="0"/>
        </w:rPr>
        <w:t xml:space="preserve">Non-Fraud: </w:t>
      </w:r>
      <w:r>
        <w:t>the ATM/POS Trace Request form appears. Proceed to Section 4.2.5 — ATM/POS Trace Request (Non-Fraud).</w:t>
      </w:r>
    </w:p>
    <w:p>
      <w:pPr>
        <w:numPr>
          <w:ilvl w:val="0"/>
          <w:numId w:val="24"/>
        </w:numPr>
      </w:pPr>
      <w:r>
        <w:rPr>
          <w:b/>
          <w:i w:val="0"/>
        </w:rPr>
        <w:t xml:space="preserve">Fraud: </w:t>
      </w:r>
      <w:r>
        <w:t>the Fraud Intake Form appears. Proceed to Section 4.2.6 — Fraud Intake Form (Fraud).</w:t>
      </w:r>
    </w:p>
    <w:p>
      <w:pPr>
        <w:pStyle w:val="Heading3"/>
        <w:numPr>
          <w:ilvl w:val="0"/>
          <w:numId w:val="0"/>
        </w:numPr>
        <w:ind w:left="992" w:hanging="992"/>
      </w:pPr>
      <w:r>
        <w:rPr>
          <w:sz w:val="28"/>
        </w:rPr>
        <w:t>4.2.5 ATM/POS Trace Request (Non-Fraud)</w:t>
      </w:r>
    </w:p>
    <w:p>
      <w:r>
        <w:t>The Growth team member should then populate the remaining ATM/POS Trace Request fields within the case, including a note with the following details to help with the Payment Services team investigation:</w:t>
      </w:r>
    </w:p>
    <w:p>
      <w:pPr>
        <w:numPr>
          <w:ilvl w:val="0"/>
          <w:numId w:val="24"/>
        </w:numPr>
      </w:pPr>
      <w:r>
        <w:t>Date/time of conversation with the member</w:t>
      </w:r>
    </w:p>
    <w:p>
      <w:pPr>
        <w:numPr>
          <w:ilvl w:val="0"/>
          <w:numId w:val="24"/>
        </w:numPr>
      </w:pPr>
      <w:r>
        <w:t>Method of instruction (e.g., Branch or phone)</w:t>
      </w:r>
    </w:p>
    <w:p>
      <w:pPr>
        <w:numPr>
          <w:ilvl w:val="0"/>
          <w:numId w:val="24"/>
        </w:numPr>
      </w:pPr>
      <w:r>
        <w:t>The network the transaction occurred on (found within DNA [TBC])</w:t>
      </w:r>
    </w:p>
    <w:p>
      <w:pPr>
        <w:numPr>
          <w:ilvl w:val="0"/>
          <w:numId w:val="24"/>
        </w:numPr>
      </w:pPr>
      <w:r>
        <w:t>Any other relevant details the member provided</w:t>
      </w:r>
    </w:p>
    <w:p>
      <w:pPr>
        <w:numPr>
          <w:ilvl w:val="0"/>
          <w:numId w:val="24"/>
        </w:numPr>
      </w:pPr>
      <w:r>
        <w:rPr>
          <w:b/>
          <w:i w:val="0"/>
        </w:rPr>
        <w:t>Dispute narrative</w:t>
      </w:r>
      <w:r>
        <w:t xml:space="preserve"> — see below guidance questions to ask the member:</w:t>
      </w:r>
    </w:p>
    <w:p>
      <w:pPr>
        <w:numPr>
          <w:ilvl w:val="1"/>
          <w:numId w:val="24"/>
        </w:numPr>
      </w:pPr>
      <w:r>
        <w:rPr>
          <w:b w:val="0"/>
          <w:i/>
        </w:rPr>
        <w:t>Reason for the dispute</w:t>
      </w:r>
      <w:r>
        <w:t xml:space="preserve"> — ask: “Were the goods or services not received or not as described, or were you charged twice or the wrong amount?”</w:t>
      </w:r>
    </w:p>
    <w:p>
      <w:pPr>
        <w:numPr>
          <w:ilvl w:val="1"/>
          <w:numId w:val="24"/>
        </w:numPr>
      </w:pPr>
      <w:r>
        <w:rPr>
          <w:b w:val="0"/>
          <w:i/>
        </w:rPr>
        <w:t>Prior merchant contact</w:t>
      </w:r>
      <w:r>
        <w:t xml:space="preserve"> — ask: “Have you contacted the merchant to try to resolve the issue? If so, what was their response?”</w:t>
      </w:r>
    </w:p>
    <w:p>
      <w:pPr>
        <w:numPr>
          <w:ilvl w:val="2"/>
          <w:numId w:val="24"/>
        </w:numPr>
      </w:pPr>
      <w:r>
        <w:t>Example answer: “No, I haven’t reached out to them yet.” — Guidance: recommend that the member try contacting the merchant first, as it may resolve the issue faster — but this is a recommendation, not a requirement.</w:t>
      </w:r>
    </w:p>
    <w:p>
      <w:pPr>
        <w:pStyle w:val="Heading3"/>
        <w:numPr>
          <w:ilvl w:val="0"/>
          <w:numId w:val="0"/>
        </w:numPr>
        <w:ind w:left="992" w:hanging="992"/>
      </w:pPr>
      <w:r>
        <w:rPr>
          <w:sz w:val="28"/>
        </w:rPr>
        <w:t>4.2.6 Fraud Intake Form (Fraud)</w:t>
      </w:r>
    </w:p>
    <w:p>
      <w:r>
        <w:t>The Growth Team member should then follow existing fraud procedures (e.g., Account Takeover, scams, etc.), including completing the Fraud Intake Form (FIF) fields within the case — see the Fraud Intake Form Procedures — which hands the case off to the Fraud Prevention team.</w:t>
      </w:r>
    </w:p>
    <w:p>
      <w:pPr>
        <w:pStyle w:val="Heading3"/>
        <w:numPr>
          <w:ilvl w:val="0"/>
          <w:numId w:val="0"/>
        </w:numPr>
        <w:ind w:left="992" w:hanging="992"/>
      </w:pPr>
      <w:r>
        <w:rPr>
          <w:sz w:val="28"/>
        </w:rPr>
        <w:t>4.2.7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2"/>
        </w:numPr>
      </w:pPr>
      <w:r>
        <w:t>Open the assigned case and review the documented details received from Growth.</w:t>
      </w:r>
    </w:p>
    <w:p>
      <w:pPr>
        <w:pStyle w:val="ListParagraph"/>
        <w:numPr>
          <w:ilvl w:val="0"/>
          <w:numId w:val="1002"/>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3"/>
        </w:numPr>
      </w:pPr>
      <w:r>
        <w:t>Validate the provisional credit amount and the member's account.</w:t>
      </w:r>
    </w:p>
    <w:p>
      <w:pPr>
        <w:pStyle w:val="ListParagraph"/>
        <w:numPr>
          <w:ilvl w:val="0"/>
          <w:numId w:val="1003"/>
        </w:numPr>
      </w:pPr>
      <w:r>
        <w:t>Post the temporary provisional credit to the member's account within the applicable Visa SLA.</w:t>
      </w:r>
    </w:p>
    <w:p>
      <w:pPr>
        <w:pStyle w:val="ListParagraph"/>
        <w:numPr>
          <w:ilvl w:val="0"/>
          <w:numId w:val="1003"/>
        </w:numPr>
      </w:pPr>
      <w:r>
        <w:t>Select the completion status in the case and add a comment.</w:t>
      </w:r>
    </w:p>
    <w:p>
      <w:pPr>
        <w:pStyle w:val="ListParagraph"/>
        <w:numPr>
          <w:ilvl w:val="0"/>
          <w:numId w:val="1003"/>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4"/>
        </w:numPr>
      </w:pPr>
      <w:r>
        <w:t>Submit the dispute to Central 1, for submission to Visa via VROL, within 120 calendar days from the transaction date (75 calendar days in the specific conditions set out in Appendix A).</w:t>
      </w:r>
    </w:p>
    <w:p>
      <w:pPr>
        <w:pStyle w:val="ListParagraph"/>
        <w:numPr>
          <w:ilvl w:val="0"/>
          <w:numId w:val="1004"/>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5"/>
        </w:numPr>
      </w:pPr>
      <w:r>
        <w:t>Confirm whether the Acquirer accepts the Pre-Arbitration Attempt. If accepted, proceed to Section 8.2.4 — Determine and Record the Outcome.</w:t>
      </w:r>
    </w:p>
    <w:p>
      <w:pPr>
        <w:pStyle w:val="ListParagraph"/>
        <w:numPr>
          <w:ilvl w:val="0"/>
          <w:numId w:val="1005"/>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5"/>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5"/>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6"/>
        </w:numPr>
      </w:pPr>
      <w:r>
        <w:t>Reverse the provisional credit from the cardholder's account.</w:t>
      </w:r>
    </w:p>
    <w:p>
      <w:pPr>
        <w:pStyle w:val="ListParagraph"/>
        <w:numPr>
          <w:ilvl w:val="0"/>
          <w:numId w:val="1006"/>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07"/>
        </w:numPr>
      </w:pPr>
      <w:r>
        <w:t>Finalize the provisional credit in the member's account.</w:t>
      </w:r>
    </w:p>
    <w:p>
      <w:pPr>
        <w:pStyle w:val="ListParagraph"/>
        <w:numPr>
          <w:ilvl w:val="0"/>
          <w:numId w:val="1007"/>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08"/>
        </w:numPr>
      </w:pPr>
      <w:r>
        <w:t>Finalize the provisional credit in the member's account.</w:t>
      </w:r>
    </w:p>
    <w:p>
      <w:pPr>
        <w:pStyle w:val="ListParagraph"/>
        <w:numPr>
          <w:ilvl w:val="0"/>
          <w:numId w:val="1008"/>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09"/>
        </w:numPr>
      </w:pPr>
      <w:r>
        <w:t>Archive the supporting evidence.</w:t>
      </w:r>
    </w:p>
    <w:p>
      <w:pPr>
        <w:pStyle w:val="ListParagraph"/>
        <w:numPr>
          <w:ilvl w:val="0"/>
          <w:numId w:val="1009"/>
        </w:numPr>
      </w:pPr>
      <w:r>
        <w:t>Prepare reporting and trend analysis.</w:t>
      </w:r>
    </w:p>
    <w:p>
      <w:pPr>
        <w:pStyle w:val="ListParagraph"/>
        <w:numPr>
          <w:ilvl w:val="0"/>
          <w:numId w:val="1009"/>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TBC-01</w:t>
            </w:r>
          </w:p>
        </w:tc>
        <w:tc>
          <w:tcPr>
            <w:tcW w:type="dxa" w:w="3120"/>
          </w:tcPr>
          <w:p>
            <w:r/>
            <w:r>
              <w:rPr>
                <w:b w:val="0"/>
              </w:rPr>
              <w:t>Open Item</w:t>
            </w:r>
          </w:p>
        </w:tc>
        <w:tc>
          <w:tcPr>
            <w:tcW w:type="dxa" w:w="3120"/>
          </w:tcPr>
          <w:p>
            <w:r/>
            <w:r>
              <w:rPr>
                <w:b w:val="0"/>
              </w:rPr>
              <w:t>Reference document for member authentication procedures (Stage 1, Section 4.2.1) to be confirmed.</w:t>
            </w:r>
          </w:p>
        </w:tc>
      </w:tr>
      <w:tr>
        <w:tc>
          <w:tcPr>
            <w:tcW w:type="dxa" w:w="3120"/>
          </w:tcPr>
          <w:p>
            <w:r/>
            <w:r>
              <w:rPr>
                <w:b w:val="0"/>
              </w:rPr>
              <w:t>TBC-02</w:t>
            </w:r>
          </w:p>
        </w:tc>
        <w:tc>
          <w:tcPr>
            <w:tcW w:type="dxa" w:w="3120"/>
          </w:tcPr>
          <w:p>
            <w:r/>
            <w:r>
              <w:rPr>
                <w:b w:val="0"/>
              </w:rPr>
              <w:t>Open Item</w:t>
            </w:r>
          </w:p>
        </w:tc>
        <w:tc>
          <w:tcPr>
            <w:tcW w:type="dxa" w:w="3120"/>
          </w:tcPr>
          <w:p>
            <w:r/>
            <w:r>
              <w:rPr>
                <w:b w:val="0"/>
              </w:rPr>
              <w:t>System used to locate the disputed transaction and confirm the network it occurred on (Stage 1, Sections 4.2.2 and 4.2.5) to be confirmed — believed to be DNA.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lvlOverride w:ilvl="0">
      <w:startOverride w:val="1"/>
    </w:lvlOverride>
    <w:lvlOverride w:ilvl="1">
      <w:startOverride w:val="1"/>
    </w:lvlOverride>
  </w:num>
  <w:num w:numId="1001">
    <w:abstractNumId w:val="22"/>
    <w:lvlOverride w:ilvl="0">
      <w:startOverride w:val="1"/>
    </w:lvlOverride>
    <w:lvlOverride w:ilvl="1">
      <w:startOverride w:val="1"/>
    </w:lvlOverride>
  </w:num>
  <w:num w:numId="1002">
    <w:abstractNumId w:val="22"/>
    <w:lvlOverride w:ilvl="0">
      <w:startOverride w:val="1"/>
    </w:lvlOverride>
    <w:lvlOverride w:ilvl="1">
      <w:startOverride w:val="1"/>
    </w:lvlOverride>
  </w:num>
  <w:num w:numId="1003">
    <w:abstractNumId w:val="22"/>
    <w:lvlOverride w:ilvl="0">
      <w:startOverride w:val="1"/>
    </w:lvlOverride>
    <w:lvlOverride w:ilvl="1">
      <w:startOverride w:val="1"/>
    </w:lvlOverride>
  </w:num>
  <w:num w:numId="1004">
    <w:abstractNumId w:val="22"/>
    <w:lvlOverride w:ilvl="0">
      <w:startOverride w:val="1"/>
    </w:lvlOverride>
    <w:lvlOverride w:ilvl="1">
      <w:startOverride w:val="1"/>
    </w:lvlOverride>
  </w:num>
  <w:num w:numId="1005">
    <w:abstractNumId w:val="22"/>
    <w:lvlOverride w:ilvl="0">
      <w:startOverride w:val="1"/>
    </w:lvlOverride>
    <w:lvlOverride w:ilvl="1">
      <w:startOverride w:val="1"/>
    </w:lvlOverride>
  </w:num>
  <w:num w:numId="1006">
    <w:abstractNumId w:val="22"/>
    <w:lvlOverride w:ilvl="0">
      <w:startOverride w:val="1"/>
    </w:lvlOverride>
    <w:lvlOverride w:ilvl="1">
      <w:startOverride w:val="1"/>
    </w:lvlOverride>
  </w:num>
  <w:num w:numId="1007">
    <w:abstractNumId w:val="22"/>
    <w:lvlOverride w:ilvl="0">
      <w:startOverride w:val="1"/>
    </w:lvlOverride>
    <w:lvlOverride w:ilvl="1">
      <w:startOverride w:val="1"/>
    </w:lvlOverride>
  </w:num>
  <w:num w:numId="1008">
    <w:abstractNumId w:val="22"/>
    <w:lvlOverride w:ilvl="0">
      <w:startOverride w:val="1"/>
    </w:lvlOverride>
    <w:lvlOverride w:ilvl="1">
      <w:startOverride w:val="1"/>
    </w:lvlOverride>
  </w:num>
  <w:num w:numId="1009">
    <w:abstractNumId w:val="22"/>
    <w:lvlOverride w:ilvl="0">
      <w:startOverride w:val="1"/>
    </w:lvlOverride>
    <w:lvlOverride w:ilvl="1">
      <w:startOverride w:val="1"/>
    </w:lvlOverride>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