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Administer the Visa Debit Dispute Questions</w:t>
      </w:r>
    </w:p>
    <w:p>
      <w:r>
        <w:t>To confirm the transaction has posted and determine whether it is recognized/authorized (Non-Fraud) or unrecognized/unauthorized (Fraud), the Growth Team member should ask Questions 1-3 of the Visa Debit Dispute Questions below:</w:t>
      </w:r>
    </w:p>
    <w:p>
      <w:pPr>
        <w:pStyle w:val="ListParagraph"/>
        <w:numPr>
          <w:ilvl w:val="0"/>
          <w:numId w:val="1001"/>
        </w:numPr>
      </w:pPr>
      <w:r>
        <w:rPr>
          <w:b/>
          <w:i w:val="0"/>
        </w:rPr>
        <w:t>Confirm transaction posting</w:t>
      </w:r>
      <w:r>
        <w:t xml:space="preserve"> — has the transaction posted to the member's account?</w:t>
      </w:r>
    </w:p>
    <w:p>
      <w:pPr>
        <w:pStyle w:val="ListParagraph"/>
        <w:numPr>
          <w:ilvl w:val="1"/>
          <w:numId w:val="1001"/>
        </w:numPr>
      </w:pPr>
      <w:r>
        <w:rPr>
          <w:b/>
          <w:i w:val="0"/>
        </w:rPr>
        <w:t xml:space="preserve">If not yet posted: </w:t>
      </w:r>
      <w:r>
        <w:t>advise the member to wait until the transaction posts before a dispute can be filed.</w:t>
      </w:r>
    </w:p>
    <w:p>
      <w:pPr>
        <w:pStyle w:val="ListParagraph"/>
        <w:numPr>
          <w:ilvl w:val="1"/>
          <w:numId w:val="1001"/>
        </w:numPr>
      </w:pPr>
      <w:r>
        <w:rPr>
          <w:b/>
          <w:i w:val="0"/>
        </w:rPr>
        <w:t xml:space="preserve">If posted: </w:t>
      </w:r>
      <w:r>
        <w:t>proceed to Question 2.</w:t>
      </w:r>
    </w:p>
    <w:p>
      <w:pPr>
        <w:pStyle w:val="ListParagraph"/>
        <w:numPr>
          <w:ilvl w:val="0"/>
          <w:numId w:val="1001"/>
        </w:numPr>
      </w:pPr>
      <w:r>
        <w:rPr>
          <w:b/>
          <w:i w:val="0"/>
        </w:rPr>
        <w:t>Confirm transaction authorization and merchant recognition</w:t>
      </w:r>
      <w:r>
        <w:t xml:space="preserve"> — did the member authorize this transaction? Does the member recognize the merchant name, even if they do not recall the specific purchase?</w:t>
      </w:r>
    </w:p>
    <w:p>
      <w:pPr>
        <w:pStyle w:val="ListParagraph"/>
        <w:numPr>
          <w:ilvl w:val="1"/>
          <w:numId w:val="1001"/>
        </w:numPr>
      </w:pPr>
      <w:r>
        <w:rPr>
          <w:b/>
          <w:i w:val="0"/>
        </w:rPr>
        <w:t xml:space="preserve">If the member authorized the transaction and/or recognizes the merchant: </w:t>
      </w:r>
      <w:r>
        <w:t>this indicates a Non-Fraud dispute. Proceed to Question 3, then Section 4.2.3 — If Recognized (Non-Fraud).</w:t>
      </w:r>
    </w:p>
    <w:p>
      <w:pPr>
        <w:pStyle w:val="ListParagraph"/>
        <w:numPr>
          <w:ilvl w:val="1"/>
          <w:numId w:val="1001"/>
        </w:numPr>
      </w:pPr>
      <w:r>
        <w:rPr>
          <w:b/>
          <w:i w:val="0"/>
        </w:rPr>
        <w:t xml:space="preserve">If the member did not authorize the transaction and/or does not recognize the merchant: </w:t>
      </w:r>
      <w:r>
        <w:t>this indicates a Fraud dispute. Proceed to Question 3, then Section 4.2.4 — If Unrecognized or Unauthorized (Fraud).</w:t>
      </w:r>
    </w:p>
    <w:p>
      <w:pPr>
        <w:pStyle w:val="ListParagraph"/>
        <w:numPr>
          <w:ilvl w:val="0"/>
          <w:numId w:val="1001"/>
        </w:numPr>
      </w:pPr>
      <w:r>
        <w:rPr>
          <w:b/>
          <w:i w:val="0"/>
        </w:rPr>
        <w:t>Confirm transaction details</w:t>
      </w:r>
      <w:r>
        <w:t xml:space="preserve"> — what are the date, amount, and merchant name of the disputed transaction?</w:t>
      </w:r>
    </w:p>
    <w:p>
      <w:pPr>
        <w:pStyle w:val="Heading3"/>
        <w:numPr>
          <w:ilvl w:val="0"/>
          <w:numId w:val="0"/>
        </w:numPr>
        <w:ind w:left="992" w:hanging="992"/>
      </w:pPr>
      <w:r>
        <w:rPr>
          <w:sz w:val="28"/>
        </w:rPr>
        <w:t>4.2.3 If Recognized (Non-Fraud) — Confirm Dispute Reason</w:t>
      </w:r>
    </w:p>
    <w:p>
      <w:r>
        <w:t>If the member recognizes and authorized the transaction, the Growth Team member should also ask:</w:t>
      </w:r>
    </w:p>
    <w:p>
      <w:pPr>
        <w:pStyle w:val="ListParagraph"/>
        <w:numPr>
          <w:ilvl w:val="0"/>
          <w:numId w:val="1002"/>
        </w:numPr>
      </w:pPr>
      <w:r>
        <w:rPr>
          <w:b/>
          <w:i w:val="0"/>
        </w:rPr>
        <w:t>Confirm prior merchant contact</w:t>
      </w:r>
      <w:r>
        <w:t xml:space="preserve"> — has the member contacted the merchant to try to resolve the issue? If so, what was the merchant's response?</w:t>
      </w:r>
    </w:p>
    <w:p>
      <w:pPr>
        <w:pStyle w:val="ListParagraph"/>
        <w:numPr>
          <w:ilvl w:val="0"/>
          <w:numId w:val="1002"/>
        </w:numPr>
      </w:pPr>
      <w:r>
        <w:rPr>
          <w:b/>
          <w:i w:val="0"/>
        </w:rPr>
        <w:t>Confirm recurring/subscription billing</w:t>
      </w:r>
      <w:r>
        <w:t xml:space="preserve"> — could this charge be part of a recurring subscription or membership?</w:t>
      </w:r>
    </w:p>
    <w:p>
      <w:pPr>
        <w:pStyle w:val="ListParagraph"/>
        <w:numPr>
          <w:ilvl w:val="0"/>
          <w:numId w:val="1002"/>
        </w:numPr>
      </w:pPr>
      <w:r>
        <w:rPr>
          <w:b/>
          <w:i w:val="0"/>
        </w:rPr>
        <w:t>Confirm reason for the dispute</w:t>
      </w:r>
      <w:r>
        <w:t xml:space="preserve"> — were the goods or services not received or not as described, or was the member charged twice or the wrong amount?</w:t>
      </w:r>
    </w:p>
    <w:p>
      <w:r>
        <w:t>The Growth Team member should then fill out the existing POS/ATM trace form, record the member's narrative, create the case, add any required notices, and hand off the case to the Payment Services team. See the Current Process — How to Initiate an ATM &amp; POS Trace for the detailed trace form completion steps.</w:t>
      </w:r>
    </w:p>
    <w:p>
      <w:pPr>
        <w:pStyle w:val="Heading3"/>
        <w:numPr>
          <w:ilvl w:val="0"/>
          <w:numId w:val="0"/>
        </w:numPr>
        <w:ind w:left="992" w:hanging="992"/>
      </w:pPr>
      <w:r>
        <w:rPr>
          <w:sz w:val="28"/>
        </w:rPr>
        <w:t>4.2.4 If Unrecognized or Unauthorized (Fraud) — Secure the Account and Confirm Card and Credential Security</w:t>
      </w:r>
    </w:p>
    <w:p>
      <w:r>
        <w:t>Once the transaction is determined to be unrecognized or unauthorized, the Growth Team member should first secure the member's account:</w:t>
      </w:r>
    </w:p>
    <w:p>
      <w:pPr>
        <w:pStyle w:val="ListParagraph"/>
        <w:numPr>
          <w:ilvl w:val="0"/>
          <w:numId w:val="1003"/>
        </w:numPr>
      </w:pPr>
      <w:r>
        <w:rPr>
          <w:b w:val="0"/>
          <w:i w:val="0"/>
        </w:rPr>
        <w:t xml:space="preserve">Block or reissue the Visa Debit Card </w:t>
      </w:r>
      <w:r>
        <w:rPr>
          <w:b w:val="0"/>
          <w:i/>
        </w:rPr>
        <w:t>[TBC — system to be confirmed, e.g., DNA]</w:t>
      </w:r>
      <w:r>
        <w:rPr>
          <w:b w:val="0"/>
          <w:i w:val="0"/>
        </w:rPr>
        <w:t xml:space="preserve"> and set the card status to “HOT”.</w:t>
      </w:r>
    </w:p>
    <w:p>
      <w:r>
        <w:t>The Growth Team member should then ask:</w:t>
      </w:r>
    </w:p>
    <w:p>
      <w:pPr>
        <w:pStyle w:val="ListParagraph"/>
        <w:numPr>
          <w:ilvl w:val="0"/>
          <w:numId w:val="1004"/>
        </w:numPr>
      </w:pPr>
      <w:r>
        <w:rPr>
          <w:b/>
          <w:i w:val="0"/>
        </w:rPr>
        <w:t>Confirm card possession</w:t>
      </w:r>
      <w:r>
        <w:t xml:space="preserve"> — is the card currently in the member's possession?</w:t>
      </w:r>
    </w:p>
    <w:p>
      <w:pPr>
        <w:pStyle w:val="ListParagraph"/>
        <w:numPr>
          <w:ilvl w:val="0"/>
          <w:numId w:val="1004"/>
        </w:numPr>
      </w:pPr>
      <w:r>
        <w:rPr>
          <w:b/>
          <w:i w:val="0"/>
        </w:rPr>
        <w:t>Confirm PIN sharing</w:t>
      </w:r>
      <w:r>
        <w:t xml:space="preserve"> — has the member shared their PIN with anyone?</w:t>
      </w:r>
    </w:p>
    <w:p>
      <w:pPr>
        <w:pStyle w:val="ListParagraph"/>
        <w:numPr>
          <w:ilvl w:val="0"/>
          <w:numId w:val="1004"/>
        </w:numPr>
      </w:pPr>
      <w:r>
        <w:rPr>
          <w:b/>
          <w:i w:val="0"/>
        </w:rPr>
        <w:t>Confirm security information sharing</w:t>
      </w:r>
      <w:r>
        <w:t xml:space="preserve"> — has the member provided a card verification code (CVV), one-time passcode (OTP), or other security information to anyone?</w:t>
      </w:r>
    </w:p>
    <w:p>
      <w:r>
        <w:t>The Growth Team member should then follow existing fraud procedures (e.g., Account Takeover, scams, etc.), including completing the Fraud Intake Form (FIF) — see the Fraud Intake Form Procedures — which creates the case and hands it off to the Fraud Prevention team.</w:t>
      </w:r>
    </w:p>
    <w:p>
      <w:pPr>
        <w:pStyle w:val="Heading3"/>
        <w:numPr>
          <w:ilvl w:val="0"/>
          <w:numId w:val="0"/>
        </w:numPr>
        <w:ind w:left="992" w:hanging="992"/>
      </w:pPr>
      <w:r>
        <w:rPr>
          <w:sz w:val="28"/>
        </w:rPr>
        <w:t>4.2.5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5"/>
        </w:numPr>
      </w:pPr>
      <w:r>
        <w:t>Open the assigned case and review the documented details received from Growth.</w:t>
      </w:r>
    </w:p>
    <w:p>
      <w:pPr>
        <w:pStyle w:val="ListParagraph"/>
        <w:numPr>
          <w:ilvl w:val="0"/>
          <w:numId w:val="1005"/>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6"/>
        </w:numPr>
      </w:pPr>
      <w:r>
        <w:t>Validate the provisional credit amount and the member's account.</w:t>
      </w:r>
    </w:p>
    <w:p>
      <w:pPr>
        <w:pStyle w:val="ListParagraph"/>
        <w:numPr>
          <w:ilvl w:val="0"/>
          <w:numId w:val="1006"/>
        </w:numPr>
      </w:pPr>
      <w:r>
        <w:t>Post the temporary provisional credit to the member's account within the applicable Visa SLA.</w:t>
      </w:r>
    </w:p>
    <w:p>
      <w:pPr>
        <w:pStyle w:val="ListParagraph"/>
        <w:numPr>
          <w:ilvl w:val="0"/>
          <w:numId w:val="1006"/>
        </w:numPr>
      </w:pPr>
      <w:r>
        <w:t>Select the completion status in the case and add a comment.</w:t>
      </w:r>
    </w:p>
    <w:p>
      <w:pPr>
        <w:pStyle w:val="ListParagraph"/>
        <w:numPr>
          <w:ilvl w:val="0"/>
          <w:numId w:val="1006"/>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7"/>
        </w:numPr>
      </w:pPr>
      <w:r>
        <w:t>Submit the dispute to Central 1, for submission to Visa via VROL, within 120 calendar days from the transaction date (75 calendar days in the specific conditions set out in Appendix A).</w:t>
      </w:r>
    </w:p>
    <w:p>
      <w:pPr>
        <w:pStyle w:val="ListParagraph"/>
        <w:numPr>
          <w:ilvl w:val="0"/>
          <w:numId w:val="1007"/>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8"/>
        </w:numPr>
      </w:pPr>
      <w:r>
        <w:t>Confirm whether the Acquirer accepts the Pre-Arbitration Attempt. If accepted, proceed to Section 8.2.4 — Determine and Record the Outcome.</w:t>
      </w:r>
    </w:p>
    <w:p>
      <w:pPr>
        <w:pStyle w:val="ListParagraph"/>
        <w:numPr>
          <w:ilvl w:val="0"/>
          <w:numId w:val="1008"/>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8"/>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8"/>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9"/>
        </w:numPr>
      </w:pPr>
      <w:r>
        <w:t>Reverse the provisional credit from the cardholder's account.</w:t>
      </w:r>
    </w:p>
    <w:p>
      <w:pPr>
        <w:pStyle w:val="ListParagraph"/>
        <w:numPr>
          <w:ilvl w:val="0"/>
          <w:numId w:val="1009"/>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10"/>
        </w:numPr>
      </w:pPr>
      <w:r>
        <w:t>Finalize the provisional credit in the member's account.</w:t>
      </w:r>
    </w:p>
    <w:p>
      <w:pPr>
        <w:pStyle w:val="ListParagraph"/>
        <w:numPr>
          <w:ilvl w:val="0"/>
          <w:numId w:val="1010"/>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11"/>
        </w:numPr>
      </w:pPr>
      <w:r>
        <w:t>Finalize the provisional credit in the member's account.</w:t>
      </w:r>
    </w:p>
    <w:p>
      <w:pPr>
        <w:pStyle w:val="ListParagraph"/>
        <w:numPr>
          <w:ilvl w:val="0"/>
          <w:numId w:val="1011"/>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12"/>
        </w:numPr>
      </w:pPr>
      <w:r>
        <w:t>Archive the supporting evidence.</w:t>
      </w:r>
    </w:p>
    <w:p>
      <w:pPr>
        <w:pStyle w:val="ListParagraph"/>
        <w:numPr>
          <w:ilvl w:val="0"/>
          <w:numId w:val="1012"/>
        </w:numPr>
      </w:pPr>
      <w:r>
        <w:t>Prepare reporting and trend analysis.</w:t>
      </w:r>
    </w:p>
    <w:p>
      <w:pPr>
        <w:pStyle w:val="ListParagraph"/>
        <w:numPr>
          <w:ilvl w:val="0"/>
          <w:numId w:val="1012"/>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block/reissue the Visa Debit Card and set it to “HOT” status (Stage 1, Section 4.2.4)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lvlOverride w:ilvl="0">
      <w:startOverride w:val="1"/>
    </w:lvlOverride>
    <w:lvlOverride w:ilvl="1">
      <w:startOverride w:val="1"/>
    </w:lvlOverride>
  </w:num>
  <w:num w:numId="1001">
    <w:abstractNumId w:val="22"/>
    <w:lvlOverride w:ilvl="0">
      <w:startOverride w:val="1"/>
    </w:lvlOverride>
    <w:lvlOverride w:ilvl="1">
      <w:startOverride w:val="1"/>
    </w:lvlOverride>
  </w:num>
  <w:num w:numId="1002">
    <w:abstractNumId w:val="22"/>
    <w:lvlOverride w:ilvl="0">
      <w:startOverride w:val="1"/>
    </w:lvlOverride>
    <w:lvlOverride w:ilvl="1">
      <w:startOverride w:val="1"/>
    </w:lvlOverride>
  </w:num>
  <w:num w:numId="1003">
    <w:abstractNumId w:val="22"/>
    <w:lvlOverride w:ilvl="0">
      <w:startOverride w:val="1"/>
    </w:lvlOverride>
    <w:lvlOverride w:ilvl="1">
      <w:startOverride w:val="1"/>
    </w:lvlOverride>
  </w:num>
  <w:num w:numId="1004">
    <w:abstractNumId w:val="22"/>
    <w:lvlOverride w:ilvl="0">
      <w:startOverride w:val="1"/>
    </w:lvlOverride>
    <w:lvlOverride w:ilvl="1">
      <w:startOverride w:val="1"/>
    </w:lvlOverride>
  </w:num>
  <w:num w:numId="1005">
    <w:abstractNumId w:val="22"/>
    <w:lvlOverride w:ilvl="0">
      <w:startOverride w:val="1"/>
    </w:lvlOverride>
    <w:lvlOverride w:ilvl="1">
      <w:startOverride w:val="1"/>
    </w:lvlOverride>
  </w:num>
  <w:num w:numId="1006">
    <w:abstractNumId w:val="22"/>
    <w:lvlOverride w:ilvl="0">
      <w:startOverride w:val="1"/>
    </w:lvlOverride>
    <w:lvlOverride w:ilvl="1">
      <w:startOverride w:val="1"/>
    </w:lvlOverride>
  </w:num>
  <w:num w:numId="1007">
    <w:abstractNumId w:val="22"/>
    <w:lvlOverride w:ilvl="0">
      <w:startOverride w:val="1"/>
    </w:lvlOverride>
    <w:lvlOverride w:ilvl="1">
      <w:startOverride w:val="1"/>
    </w:lvlOverride>
  </w:num>
  <w:num w:numId="1008">
    <w:abstractNumId w:val="22"/>
    <w:lvlOverride w:ilvl="0">
      <w:startOverride w:val="1"/>
    </w:lvlOverride>
    <w:lvlOverride w:ilvl="1">
      <w:startOverride w:val="1"/>
    </w:lvlOverride>
  </w:num>
  <w:num w:numId="1009">
    <w:abstractNumId w:val="22"/>
    <w:lvlOverride w:ilvl="0">
      <w:startOverride w:val="1"/>
    </w:lvlOverride>
    <w:lvlOverride w:ilvl="1">
      <w:startOverride w:val="1"/>
    </w:lvlOverride>
  </w:num>
  <w:num w:numId="1010">
    <w:abstractNumId w:val="22"/>
    <w:lvlOverride w:ilvl="0">
      <w:startOverride w:val="1"/>
    </w:lvlOverride>
    <w:lvlOverride w:ilvl="1">
      <w:startOverride w:val="1"/>
    </w:lvlOverride>
  </w:num>
  <w:num w:numId="1011">
    <w:abstractNumId w:val="22"/>
    <w:lvlOverride w:ilvl="0">
      <w:startOverride w:val="1"/>
    </w:lvlOverride>
    <w:lvlOverride w:ilvl="1">
      <w:startOverride w:val="1"/>
    </w:lvlOverride>
  </w:num>
  <w:num w:numId="1012">
    <w:abstractNumId w:val="22"/>
    <w:lvlOverride w:ilvl="0">
      <w:startOverride w:val="1"/>
    </w:lvlOverride>
    <w:lvlOverride w:ilvl="1">
      <w:startOverride w:val="1"/>
    </w:lvlOverride>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