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via PPJV,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4"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5" w:author="Bishop, Alex" w:date="2026-10-19T17:12:00Z" w16du:dateUtc="2026-10-19T21:12:00Z">
        <w:r w:rsidR="00115F88">
          <w:rPr>
            <w:b/>
            <w:bCs/>
            <w:i/>
            <w:iCs/>
          </w:rPr>
          <w:t>N</w:t>
        </w:r>
      </w:ins>
      <w:del w:id="6"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proofErr w:type="gramStart"/>
      <w:r>
        <w:t>is</w:t>
      </w:r>
      <w:proofErr w:type="gramEnd"/>
      <w:r>
        <w:t xml:space="preserve">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4"/>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r w:rsidRPr="00FA3CDC">
        <w:rPr>
          <w:b/>
        </w:rPr>
        <w:t xml:space="preserve">Confirm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7" w:author="Lin, David" w:date="2026-10-19T09:40:00Z" w16du:dateUtc="2026-10-19T13:40:00Z">
        <w:r w:rsidR="00E241CB">
          <w:rPr>
            <w:bCs/>
          </w:rPr>
          <w:t>M</w:t>
        </w:r>
      </w:ins>
      <w:ins w:id="8" w:author="Lin, David" w:date="2026-10-19T09:41:00Z" w16du:dateUtc="2026-10-19T13:41:00Z">
        <w:r w:rsidR="00E852DF">
          <w:rPr>
            <w:bCs/>
          </w:rPr>
          <w:t>astek</w:t>
        </w:r>
      </w:ins>
      <w:del w:id="9"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r w:rsidRPr="00FA3CDC">
        <w:rPr>
          <w:b/>
        </w:rPr>
        <w:t xml:space="preserve">If the dispute was submitted within the filing window: </w:t>
      </w:r>
      <w:r w:rsidRPr="00FA3CDC">
        <w:t>proceed to Step 2</w:t>
      </w:r>
      <w:r w:rsidR="00236BDA" w:rsidRPr="00FA3CDC">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5"/>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0" w:author="Bishop, Alex" w:date="2026-10-19T17:20:00Z" w16du:dateUtc="2026-10-19T21:20:00Z">
        <w:r w:rsidR="00426357">
          <w:t>,</w:t>
        </w:r>
      </w:ins>
      <w:r w:rsidRPr="00FA3CDC">
        <w:t xml:space="preserve"> the assigned Payment Services Team member</w:t>
      </w:r>
      <w:del w:id="11"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complete: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incomplete: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 xml:space="preserve">The transaction currency differs from the currency transmitted through </w:t>
      </w:r>
      <w:proofErr w:type="spellStart"/>
      <w:r w:rsidRPr="0025696C">
        <w:t>VisaNet</w:t>
      </w:r>
      <w:proofErr w:type="spellEnd"/>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w:t>
      </w:r>
      <w:proofErr w:type="gramStart"/>
      <w:r w:rsidR="007E757B" w:rsidRPr="0025696C">
        <w:rPr>
          <w:b/>
          <w:bCs/>
        </w:rPr>
        <w:t>met</w:t>
      </w:r>
      <w:r w:rsidRPr="0025696C">
        <w:rPr>
          <w:b/>
          <w:bCs/>
        </w:rPr>
        <w:t>:</w:t>
      </w:r>
      <w:proofErr w:type="gramEnd"/>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 xml:space="preserve">the applicable requirements are not </w:t>
      </w:r>
      <w:proofErr w:type="gramStart"/>
      <w:r w:rsidR="007E757B" w:rsidRPr="0025696C">
        <w:rPr>
          <w:b/>
          <w:bCs/>
        </w:rPr>
        <w:t>met</w:t>
      </w:r>
      <w:r w:rsidRPr="0025696C">
        <w:rPr>
          <w:b/>
          <w:bCs/>
        </w:rPr>
        <w:t>:</w:t>
      </w:r>
      <w:proofErr w:type="gramEnd"/>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pPr>
        <w:pStyle w:val="Heading1"/>
      </w:pPr>
      <w:r>
        <w:t>Stage 4: Network Submission &amp; Response (Payment Services / Fraud)</w:t>
      </w:r>
    </w:p>
    <w:p>
      <w:pPr>
        <w:pStyle w:val="Heading2"/>
        <w:numPr>
          <w:ilvl w:val="0"/>
          <w:numId w:val="0"/>
        </w:numPr>
        <w:ind w:left="851" w:hanging="851"/>
      </w:pPr>
      <w:r>
        <w:t>7.1     Process Flow</w:t>
      </w:r>
    </w:p>
    <w:p>
      <w:r>
        <w:t>[Process flow diagram to be added]</w:t>
      </w:r>
    </w:p>
    <w:p>
      <w:pPr>
        <w:pStyle w:val="Heading2"/>
        <w:numPr>
          <w:ilvl w:val="0"/>
          <w:numId w:val="0"/>
        </w:numPr>
        <w:ind w:left="851" w:hanging="851"/>
      </w:pPr>
      <w:r>
        <w:t>7.2     Procedure</w:t>
      </w:r>
    </w:p>
    <w:p>
      <w:r>
        <w:t>The following procedure provides a step-by-step outline of the activities performed by the Fraud Prevention Department or Payment Services Team as part of network submission and response.</w:t>
      </w:r>
    </w:p>
    <w:p>
      <w:pPr>
        <w:pStyle w:val="Heading3"/>
        <w:numPr>
          <w:ilvl w:val="0"/>
          <w:numId w:val="0"/>
        </w:numPr>
        <w:ind w:left="992" w:hanging="992"/>
      </w:pPr>
      <w:r>
        <w:rPr>
          <w:sz w:val="28"/>
        </w:rPr>
        <w:t>7.2.1 Submit the Dispute to Central 1</w:t>
      </w:r>
    </w:p>
    <w:p>
      <w:r>
        <w:t xml:space="preserve">Once the case has met the applicable network submission requirements (see Section 6.2.4), the Payment Services Team member or Fraud Specialist should complete an ATM/POS Trace via Central 1’s ServiceNow platform to submit the dispute to Central 1. </w:t>
      </w:r>
      <w:r>
        <w:rPr>
          <w:i/>
        </w:rPr>
        <w:t>Please refer to the Current Process — How to Initiate an ATM &amp; POS Trace</w:t>
      </w:r>
      <w:r>
        <w:t xml:space="preserve"> for detailed guidance on completing the submission form.</w:t>
      </w:r>
    </w:p>
    <w:p>
      <w:r>
        <w:t>Once submitted, set the CRM case status to “Submitted to Central 1”.</w:t>
      </w:r>
    </w:p>
    <w:p>
      <w:pPr>
        <w:pStyle w:val="Heading3"/>
        <w:numPr>
          <w:ilvl w:val="0"/>
          <w:numId w:val="0"/>
        </w:numPr>
        <w:ind w:left="992" w:hanging="992"/>
      </w:pPr>
      <w:r>
        <w:rPr>
          <w:sz w:val="28"/>
        </w:rPr>
        <w:t>7.2.2 Monitor and Respond to Network Submission</w:t>
      </w:r>
    </w:p>
    <w:p>
      <w:r>
        <w:t>Once the dispute has been submitted, the Fraud Prevention Department or Payment Services Team should monitor for a response from Central 1 via email, and respond within the applicable timeframes. The table below provides a high-level summary of the dispute cycle (please refer to the Everlink — Visa Debit Program Chargeback User Guide for full detail):</w:t>
      </w:r>
    </w:p>
    <w:tbl>
      <w:tblPr>
        <w:tblStyle w:val="TealFINAL"/>
        <w:tblW w:type="auto" w:w="0"/>
        <w:tblLook w:firstColumn="1" w:firstRow="1" w:lastColumn="0" w:lastRow="0" w:noHBand="0" w:noVBand="1" w:val="04A0"/>
      </w:tblPr>
      <w:tblGrid>
        <w:gridCol w:w="4680"/>
        <w:gridCol w:w="4680"/>
      </w:tblGrid>
      <w:tr>
        <w:tc>
          <w:tcPr>
            <w:tcW w:type="dxa" w:w="4680"/>
          </w:tcPr>
          <w:p>
            <w:r/>
            <w:r>
              <w:rPr>
                <w:b/>
              </w:rPr>
              <w:t>Fraud (Dispute Category 10)</w:t>
            </w:r>
          </w:p>
        </w:tc>
        <w:tc>
          <w:tcPr>
            <w:tcW w:type="dxa" w:w="4680"/>
          </w:tcPr>
          <w:p>
            <w:r/>
            <w:r>
              <w:rPr>
                <w:b/>
              </w:rPr>
              <w:t>Non-Fraud (Dispute Category 12/13)</w:t>
            </w:r>
          </w:p>
        </w:tc>
      </w:tr>
      <w:tr>
        <w:tc>
          <w:tcPr>
            <w:tcW w:type="dxa" w:w="4680"/>
          </w:tcPr>
          <w:p>
            <w:pPr>
              <w:numPr>
                <w:ilvl w:val="0"/>
                <w:numId w:val="950"/>
              </w:numPr>
              <w:contextualSpacing w:val="0"/>
            </w:pPr>
            <w:r>
              <w:rPr>
                <w:b/>
              </w:rPr>
              <w:t xml:space="preserve">Dispute: </w:t>
            </w:r>
            <w:r>
              <w:t xml:space="preserve">Beem (Issuer) files the dispute. </w:t>
            </w:r>
            <w:r>
              <w:rPr>
                <w:i/>
              </w:rPr>
              <w:t>(completed in Section 7.2.1)</w:t>
            </w:r>
          </w:p>
          <w:p>
            <w:pPr>
              <w:numPr>
                <w:ilvl w:val="0"/>
                <w:numId w:val="950"/>
              </w:numPr>
              <w:contextualSpacing w:val="0"/>
            </w:pPr>
            <w:r>
              <w:rPr>
                <w:b/>
              </w:rPr>
              <w:t xml:space="preserve">Pre-Arbitration: </w:t>
            </w:r>
            <w:r>
              <w:t xml:space="preserve">Acquirer may provide compelling evidence supporting the transaction. </w:t>
            </w:r>
            <w:r>
              <w:rPr>
                <w:i/>
              </w:rPr>
              <w:t>(30 calendar days)</w:t>
            </w:r>
          </w:p>
          <w:p>
            <w:pPr>
              <w:numPr>
                <w:ilvl w:val="0"/>
                <w:numId w:val="950"/>
              </w:numPr>
              <w:contextualSpacing w:val="0"/>
            </w:pPr>
            <w:r>
              <w:rPr>
                <w:b/>
              </w:rPr>
              <w:t xml:space="preserve">Pre-Arbitration Response: </w:t>
            </w:r>
            <w:r>
              <w:t xml:space="preserve">Beem (Issuer) accepts financial responsibility or declines the evidence. If the Acquirer supplied compelling evidence, Beem must certify: (a) the contact information provided does not match the cardholder’s records; and (b) Beem has contacted the cardholder to review the evidence and explain why they continue to dispute. </w:t>
            </w:r>
            <w:r>
              <w:rPr>
                <w:i/>
              </w:rPr>
              <w:t>(30 calendar days; a decline must reach Everlink within 10 business days of receipt of the proof)</w:t>
            </w:r>
          </w:p>
          <w:p>
            <w:pPr>
              <w:numPr>
                <w:ilvl w:val="0"/>
                <w:numId w:val="950"/>
              </w:numPr>
              <w:contextualSpacing w:val="0"/>
            </w:pPr>
            <w:r>
              <w:rPr>
                <w:b/>
              </w:rPr>
              <w:t xml:space="preserve">Arbitration: </w:t>
            </w:r>
            <w:r>
              <w:t xml:space="preserve">Acquirer may escalate to Visa. </w:t>
            </w:r>
            <w:r>
              <w:rPr>
                <w:i/>
              </w:rPr>
              <w:t>(10 calendar days)</w:t>
            </w:r>
          </w:p>
        </w:tc>
        <w:tc>
          <w:tcPr>
            <w:tcW w:type="dxa" w:w="4680"/>
          </w:tcPr>
          <w:p>
            <w:pPr>
              <w:numPr>
                <w:ilvl w:val="0"/>
                <w:numId w:val="951"/>
              </w:numPr>
              <w:contextualSpacing w:val="0"/>
            </w:pPr>
            <w:r>
              <w:rPr>
                <w:b/>
              </w:rPr>
              <w:t xml:space="preserve">Dispute: </w:t>
            </w:r>
            <w:r>
              <w:t xml:space="preserve">Beem (Issuer) files the dispute. </w:t>
            </w:r>
            <w:r>
              <w:rPr>
                <w:i/>
              </w:rPr>
              <w:t>(completed in Section 7.2.1)</w:t>
            </w:r>
          </w:p>
          <w:p>
            <w:pPr>
              <w:numPr>
                <w:ilvl w:val="0"/>
                <w:numId w:val="951"/>
              </w:numPr>
              <w:contextualSpacing w:val="0"/>
            </w:pPr>
            <w:r>
              <w:rPr>
                <w:b/>
              </w:rPr>
              <w:t xml:space="preserve">Dispute Response: </w:t>
            </w:r>
            <w:r>
              <w:t xml:space="preserve">Acquirer responds with evidence. </w:t>
            </w:r>
            <w:r>
              <w:rPr>
                <w:i/>
              </w:rPr>
              <w:t>(30 calendar days)</w:t>
            </w:r>
          </w:p>
          <w:p>
            <w:pPr>
              <w:numPr>
                <w:ilvl w:val="0"/>
                <w:numId w:val="951"/>
              </w:numPr>
              <w:contextualSpacing w:val="0"/>
            </w:pPr>
            <w:r>
              <w:rPr>
                <w:b/>
              </w:rPr>
              <w:t xml:space="preserve">Pre-Arbitration: </w:t>
            </w:r>
            <w:r>
              <w:t xml:space="preserve">Beem (Issuer) may initiate if the dispute condition changes or new documentation is provided; if the Acquirer claims the cardholder no longer disputes, Beem must certify the cardholder continues to dispute. </w:t>
            </w:r>
            <w:r>
              <w:rPr>
                <w:i/>
              </w:rPr>
              <w:t>(a decline of the Acquirer’s evidence must reach Everlink within 10 business days of receipt)</w:t>
            </w:r>
          </w:p>
          <w:p>
            <w:pPr>
              <w:numPr>
                <w:ilvl w:val="0"/>
                <w:numId w:val="951"/>
              </w:numPr>
              <w:contextualSpacing w:val="0"/>
            </w:pPr>
            <w:r>
              <w:rPr>
                <w:b/>
              </w:rPr>
              <w:t xml:space="preserve">Pre-Arbitration Response: </w:t>
            </w:r>
            <w:r>
              <w:t xml:space="preserve">Acquirer accepts financial responsibility or declines the pre-arbitration. </w:t>
            </w:r>
            <w:r>
              <w:rPr>
                <w:i/>
              </w:rPr>
              <w:t>(30 calendar days)</w:t>
            </w:r>
          </w:p>
          <w:p>
            <w:pPr>
              <w:numPr>
                <w:ilvl w:val="0"/>
                <w:numId w:val="951"/>
              </w:numPr>
              <w:contextualSpacing w:val="0"/>
            </w:pPr>
            <w:r>
              <w:rPr>
                <w:b/>
              </w:rPr>
              <w:t xml:space="preserve">Arbitration: </w:t>
            </w:r>
            <w:r>
              <w:t xml:space="preserve">Beem (Issuer) may escalate to Visa if the cycle is complete, Beem remains unresolved, and the Acquirer did not meet the Visa Rules requirements. </w:t>
            </w:r>
            <w:r>
              <w:rPr>
                <w:i/>
              </w:rPr>
              <w:t>(10 calendar days)</w:t>
            </w:r>
          </w:p>
        </w:tc>
      </w:tr>
    </w:tbl>
    <w:p>
      <w:r>
        <w:t>Once the network submission and response cycle concludes (e.g., the Acquirer accepts the dispute, Beem accepts the Acquirer’s response, or an Arbitration ruling is received), determine whether liability rests with Beem (the Issuer), the member, or the Acquirer, and proceed to Section 8 — Stage 5: Resolution &amp; Recovery.</w:t>
      </w:r>
    </w:p>
    <w:p>
      <w:pPr>
        <w:pStyle w:val="Heading1"/>
      </w:pPr>
      <w:r>
        <w:t>Stage 5: Resolution &amp; Recovery (Payment Services / Fraud)</w:t>
      </w:r>
    </w:p>
    <w:p>
      <w:pPr>
        <w:pStyle w:val="Heading2"/>
        <w:numPr>
          <w:ilvl w:val="0"/>
          <w:numId w:val="0"/>
        </w:numPr>
        <w:ind w:left="851" w:hanging="851"/>
      </w:pPr>
      <w:r>
        <w:t>8.1     Process Flow</w:t>
      </w:r>
    </w:p>
    <w:p>
      <w:r>
        <w:t>[Process flow diagram to be added]</w:t>
      </w:r>
    </w:p>
    <w:p>
      <w:pPr>
        <w:pStyle w:val="Heading2"/>
        <w:numPr>
          <w:ilvl w:val="0"/>
          <w:numId w:val="0"/>
        </w:numPr>
        <w:ind w:left="851" w:hanging="851"/>
      </w:pPr>
      <w:r>
        <w:t>8.2     Procedure</w:t>
      </w:r>
    </w:p>
    <w:p>
      <w:r>
        <w:t>The following procedure provides a step-by-step outline of the activities performed by the Fraud Prevention Department and Payment Services Team as part of resolution and recovery.</w:t>
      </w:r>
    </w:p>
    <w:p>
      <w:pPr>
        <w:pStyle w:val="Heading3"/>
        <w:numPr>
          <w:ilvl w:val="0"/>
          <w:numId w:val="0"/>
        </w:numPr>
        <w:ind w:left="992" w:hanging="992"/>
      </w:pPr>
      <w:r>
        <w:rPr>
          <w:sz w:val="28"/>
        </w:rPr>
        <w:t>8.2.1 Record the Final Outcome</w:t>
      </w:r>
    </w:p>
    <w:p>
      <w:r>
        <w:t>Once the network submission and response cycle has concluded (see Section 7.2.2), the Fraud Prevention Department or Payment Services Team should record the final outcome of the dispute in the CRM case notes. There are three possible outcomes:</w:t>
      </w:r>
    </w:p>
    <w:p>
      <w:pPr>
        <w:pStyle w:val="ListParagraph"/>
        <w:numPr>
          <w:ilvl w:val="0"/>
          <w:numId w:val="901"/>
        </w:numPr>
        <w:contextualSpacing w:val="0"/>
      </w:pPr>
      <w:r>
        <w:rPr>
          <w:b/>
          <w:i w:val="0"/>
        </w:rPr>
        <w:t xml:space="preserve">Member Liable: </w:t>
      </w:r>
      <w:r>
        <w:t>the member is responsible for the disputed transaction.</w:t>
      </w:r>
    </w:p>
    <w:p>
      <w:pPr>
        <w:pStyle w:val="ListParagraph"/>
        <w:numPr>
          <w:ilvl w:val="0"/>
          <w:numId w:val="901"/>
        </w:numPr>
        <w:contextualSpacing w:val="0"/>
      </w:pPr>
      <w:r>
        <w:rPr>
          <w:b/>
          <w:i w:val="0"/>
        </w:rPr>
        <w:t xml:space="preserve">Issuer (Beem) Liable: </w:t>
      </w:r>
      <w:r>
        <w:t>Beem is responsible for the disputed transaction.</w:t>
      </w:r>
    </w:p>
    <w:p>
      <w:pPr>
        <w:pStyle w:val="ListParagraph"/>
        <w:numPr>
          <w:ilvl w:val="0"/>
          <w:numId w:val="901"/>
        </w:numPr>
        <w:contextualSpacing w:val="0"/>
      </w:pPr>
      <w:r>
        <w:rPr>
          <w:b/>
          <w:i w:val="0"/>
        </w:rPr>
        <w:t xml:space="preserve">Acquirer Liable: </w:t>
      </w:r>
      <w:r>
        <w:t>the Acquirer is responsible for the disputed transaction (e.g., Beem prevailed through Arbitration).</w:t>
      </w:r>
    </w:p>
    <w:p>
      <w:r>
        <w:rPr>
          <w:b/>
          <w:i w:val="0"/>
        </w:rPr>
        <w:t xml:space="preserve">Fraud Prevention Department: </w:t>
      </w:r>
      <w:r>
        <w:t>once the outcome is recorded, route the case to the Payment Services Team to finalize or reverse the provisional credit.</w:t>
      </w:r>
    </w:p>
    <w:p>
      <w:pPr>
        <w:pStyle w:val="Heading3"/>
        <w:numPr>
          <w:ilvl w:val="0"/>
          <w:numId w:val="0"/>
        </w:numPr>
        <w:ind w:left="992" w:hanging="992"/>
      </w:pPr>
      <w:r>
        <w:rPr>
          <w:sz w:val="28"/>
        </w:rPr>
        <w:t>8.2.2 Finalize or Reverse the Provisional Credit (Payment Services Team)</w:t>
      </w:r>
    </w:p>
    <w:p>
      <w:r>
        <w:t>Based on the recorded outcome, the Payment Services Team should finalize or reverse the provisional credit on the member’s account, for both Fraud and Non-Fraud disputes:</w:t>
      </w:r>
    </w:p>
    <w:p>
      <w:pPr>
        <w:pStyle w:val="ListParagraph"/>
        <w:numPr>
          <w:ilvl w:val="0"/>
          <w:numId w:val="902"/>
        </w:numPr>
        <w:contextualSpacing w:val="0"/>
      </w:pPr>
      <w:r>
        <w:rPr>
          <w:b/>
          <w:i w:val="0"/>
        </w:rPr>
        <w:t xml:space="preserve">If Member Liable: </w:t>
      </w:r>
      <w:r>
        <w:t>reverse the provisional credit from the member’s account.</w:t>
      </w:r>
    </w:p>
    <w:p>
      <w:pPr>
        <w:pStyle w:val="ListParagraph"/>
        <w:numPr>
          <w:ilvl w:val="0"/>
          <w:numId w:val="902"/>
        </w:numPr>
        <w:contextualSpacing w:val="0"/>
      </w:pPr>
      <w:r>
        <w:rPr>
          <w:b/>
          <w:i w:val="0"/>
        </w:rPr>
        <w:t xml:space="preserve">If Issuer (Beem) Liable: </w:t>
      </w:r>
      <w:r>
        <w:t>finalize the provisional credit in the member’s account.</w:t>
      </w:r>
    </w:p>
    <w:p>
      <w:pPr>
        <w:pStyle w:val="ListParagraph"/>
        <w:numPr>
          <w:ilvl w:val="0"/>
          <w:numId w:val="902"/>
        </w:numPr>
        <w:contextualSpacing w:val="0"/>
      </w:pPr>
      <w:r>
        <w:rPr>
          <w:b/>
          <w:i w:val="0"/>
        </w:rPr>
        <w:t xml:space="preserve">If Acquirer Liable: </w:t>
      </w:r>
      <w:r>
        <w:t>finalize the provisional credit in the member’s account.</w:t>
      </w:r>
    </w:p>
    <w:p>
      <w:pPr>
        <w:pStyle w:val="Heading3"/>
        <w:numPr>
          <w:ilvl w:val="0"/>
          <w:numId w:val="0"/>
        </w:numPr>
        <w:ind w:left="992" w:hanging="992"/>
      </w:pPr>
      <w:r>
        <w:rPr>
          <w:sz w:val="28"/>
        </w:rPr>
        <w:t>8.2.3 Close the Case</w:t>
      </w:r>
    </w:p>
    <w:p>
      <w:r>
        <w:t>The Payment Services Team should then close the case by setting the CRM case status to “Closed”, which routes the case back to the Growth Team for final member communication.</w:t>
      </w:r>
    </w:p>
    <w:p w14:paraId="272AD981" w14:textId="77777777" w:rsidR="00E26FBA" w:rsidRDefault="00E26FBA" w:rsidP="00E26FBA">
      <w:pPr>
        <w:pStyle w:val="AppendixHeading1"/>
      </w:pPr>
      <w:bookmarkStart w:id="12" w:name="_Toc242379257"/>
      <w:r w:rsidRPr="007E2EC9">
        <w:lastRenderedPageBreak/>
        <w:t>Appendices</w:t>
      </w:r>
      <w:bookmarkEnd w:id="12"/>
    </w:p>
    <w:p w14:paraId="31E6FD56" w14:textId="74476446" w:rsidR="00E26FBA" w:rsidRDefault="00E26FBA" w:rsidP="00E26FBA">
      <w:pPr>
        <w:pStyle w:val="Heading2"/>
        <w:numPr>
          <w:ilvl w:val="0"/>
          <w:numId w:val="0"/>
        </w:numPr>
        <w:ind w:left="851" w:hanging="851"/>
      </w:pPr>
      <w:bookmarkStart w:id="13" w:name="_Toc242379258"/>
      <w:r>
        <w:t>Appendix A –</w:t>
      </w:r>
      <w:bookmarkEnd w:id="13"/>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26"/>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F4A7" w14:textId="77777777" w:rsidR="00B041F4" w:rsidRPr="00BD2C13" w:rsidRDefault="00B041F4" w:rsidP="008436BE">
      <w:pPr>
        <w:spacing w:before="0" w:after="0"/>
      </w:pPr>
      <w:r w:rsidRPr="00BD2C13">
        <w:separator/>
      </w:r>
    </w:p>
    <w:p w14:paraId="039C5C0D" w14:textId="77777777" w:rsidR="00B041F4" w:rsidRPr="00BD2C13" w:rsidRDefault="00B041F4"/>
    <w:p w14:paraId="208406BD" w14:textId="77777777" w:rsidR="00B041F4" w:rsidRPr="00BD2C13" w:rsidRDefault="00B041F4" w:rsidP="00590789"/>
  </w:endnote>
  <w:endnote w:type="continuationSeparator" w:id="0">
    <w:p w14:paraId="09EE34A6" w14:textId="77777777" w:rsidR="00B041F4" w:rsidRPr="00BD2C13" w:rsidRDefault="00B041F4" w:rsidP="008436BE">
      <w:pPr>
        <w:spacing w:before="0" w:after="0"/>
      </w:pPr>
      <w:r w:rsidRPr="00BD2C13">
        <w:continuationSeparator/>
      </w:r>
    </w:p>
    <w:p w14:paraId="12667F93" w14:textId="77777777" w:rsidR="00B041F4" w:rsidRPr="00BD2C13" w:rsidRDefault="00B041F4"/>
    <w:p w14:paraId="0138F7E2" w14:textId="77777777" w:rsidR="00B041F4" w:rsidRPr="00BD2C13" w:rsidRDefault="00B041F4" w:rsidP="00590789"/>
  </w:endnote>
  <w:endnote w:type="continuationNotice" w:id="1">
    <w:p w14:paraId="309A6799" w14:textId="77777777" w:rsidR="00B041F4" w:rsidRPr="00BD2C13" w:rsidRDefault="00B041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BDB8" w14:textId="77777777" w:rsidR="00B041F4" w:rsidRPr="00BD2C13" w:rsidRDefault="00B041F4" w:rsidP="00590789">
      <w:r w:rsidRPr="00BD2C13">
        <w:separator/>
      </w:r>
    </w:p>
  </w:footnote>
  <w:footnote w:type="continuationSeparator" w:id="0">
    <w:p w14:paraId="43F32797" w14:textId="77777777" w:rsidR="00B041F4" w:rsidRPr="00BD2C13" w:rsidRDefault="00B041F4" w:rsidP="00590789">
      <w:r w:rsidRPr="00BD2C13">
        <w:continuationSeparator/>
      </w:r>
    </w:p>
  </w:footnote>
  <w:footnote w:type="continuationNotice" w:id="1">
    <w:p w14:paraId="328DA752" w14:textId="77777777" w:rsidR="00B041F4" w:rsidRPr="00BD2C13" w:rsidRDefault="00B041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900">
    <w:abstractNumId w:val="26"/>
    <w:lvlOverride w:ilvl="0">
      <w:startOverride w:val="1"/>
    </w:lvlOverride>
    <w:lvlOverride w:ilvl="1">
      <w:startOverride w:val="1"/>
    </w:lvlOverride>
    <w:lvlOverride w:ilvl="2">
      <w:startOverride w:val="1"/>
    </w:lvlOverride>
  </w:num>
  <w:num w:numId="901">
    <w:abstractNumId w:val="26"/>
    <w:lvlOverride w:ilvl="0">
      <w:startOverride w:val="1"/>
    </w:lvlOverride>
    <w:lvlOverride w:ilvl="1">
      <w:startOverride w:val="1"/>
    </w:lvlOverride>
    <w:lvlOverride w:ilvl="2">
      <w:startOverride w:val="1"/>
    </w:lvlOverride>
  </w:num>
  <w:num w:numId="902">
    <w:abstractNumId w:val="26"/>
    <w:lvlOverride w:ilvl="0">
      <w:startOverride w:val="1"/>
    </w:lvlOverride>
    <w:lvlOverride w:ilvl="1">
      <w:startOverride w:val="1"/>
    </w:lvlOverride>
    <w:lvlOverride w:ilvl="2">
      <w:startOverride w:val="1"/>
    </w:lvlOverride>
  </w:num>
  <w:num w:numId="950">
    <w:abstractNumId w:val="5"/>
    <w:lvlOverride w:ilvl="0">
      <w:startOverride w:val="1"/>
    </w:lvlOverride>
  </w:num>
  <w:num w:numId="951">
    <w:abstractNumId w:val="5"/>
    <w:lvlOverride w:ilvl="0">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 David">
    <w15:presenceInfo w15:providerId="AD" w15:userId="S::davlin@deloitte.ca::ce1f04b3-c96a-433f-995d-d2a58be28702"/>
  </w15:person>
  <w15:person w15:author="Bishop, Alex">
    <w15:presenceInfo w15:providerId="AD" w15:userId="S::alebishop@deloitte.ca::68c25a83-463d-43a8-be9a-17deb2bdef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47CFB"/>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1F4"/>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fontTable" Target="fontTable.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12</TotalTime>
  <Pages>13</Pages>
  <Words>2871</Words>
  <Characters>16624</Characters>
  <Application>Microsoft Office Word</Application>
  <DocSecurity>0</DocSecurity>
  <Lines>488</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3</cp:revision>
  <dcterms:created xsi:type="dcterms:W3CDTF">2026-10-20T19:01:00Z</dcterms:created>
  <dcterms:modified xsi:type="dcterms:W3CDTF">2026-10-20T19:13:00Z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