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China Innovative Pharma
Industry Opportunities
Deep Research Report</w:t>
      </w:r>
    </w:p>
    <w:p>
      <w:pPr>
        <w:pStyle w:val="Subtitle"/>
      </w:pPr>
      <w:r>
        <w:t xml:space="preserve">McKinsey-Level Strategic Analysis | February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E8F4F8" w:val="clear"/>
        <w:ind w:left="360" w:right="360"/>
      </w:pPr>
      <w:r>
        <w:rPr>
          <w:b/>
          <w:bCs/>
        </w:rPr>
        <w:t xml:space="preserve">Data Sources:
</w:t>
      </w:r>
      <w:r>
        <w:t xml:space="preserve">Reuters, McKinsey, BCG, Deloitte, KPMG, Frost &amp; Sullivan, NHSA, Securities Research Reports
</w:t>
      </w:r>
      <w:r>
        <w:rPr>
          <w:b/>
          <w:bCs/>
        </w:rPr>
        <w:t xml:space="preserve">Report Generated: </w:t>
      </w:r>
      <w:r>
        <w:t xml:space="preserve">February 20, 2026
</w:t>
      </w:r>
      <w:r>
        <w:rPr>
          <w:b/>
          <w:bCs/>
        </w:rPr>
        <w:t xml:space="preserve">Data Cut-off: </w:t>
      </w:r>
      <w:r>
        <w:t xml:space="preserve">Mid-February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ExecutiveSummary"/>
      </w:pPr>
      <w:r>
        <w:rPr>
          <w:b/>
          <w:bCs/>
          <w:color w:val="0F4C81"/>
        </w:rPr>
        <w:t xml:space="preserve">Key Insight</w:t>
      </w:r>
      <w:r>
        <w:t xml:space="preserve">
</w:t>
      </w:r>
      <w:r>
        <w:t xml:space="preserve">China's innovative pharma industry is at a historic inflection point, transitioning from </w:t>
      </w:r>
      <w:r>
        <w:rPr>
          <w:b/>
          <w:bCs/>
        </w:rPr>
        <w:t xml:space="preserve">follow-on innovation</w:t>
      </w:r>
      <w:r>
        <w:t xml:space="preserve"> to </w:t>
      </w:r>
      <w:r>
        <w:rPr>
          <w:b/>
          <w:bCs/>
        </w:rPr>
        <w:t xml:space="preserve">global leadership</w:t>
      </w:r>
      <w:r>
        <w:t xml:space="preserve">. In 2025, total BD transaction value exceeded </w:t>
      </w:r>
      <w:r>
        <w:rPr>
          <w:b/>
          <w:bCs/>
          <w:color w:val="C00000"/>
        </w:rPr>
        <w:t xml:space="preserve">USD 130 billion</w:t>
      </w:r>
      <w:r>
        <w:t xml:space="preserve">, ranking first globally, marking the </w:t>
      </w:r>
      <w:r>
        <w:rPr>
          <w:b/>
          <w:bCs/>
        </w:rPr>
        <w:t xml:space="preserve">Year of Value Realization</w:t>
      </w:r>
      <w:r>
        <w:t xml:space="preserve"> for China's innovative drugs.</w:t>
      </w:r>
    </w:p>
    <w:p>
      <w:r>
        <w:t xml:space="preserve"/>
      </w:r>
    </w:p>
    <w:p>
      <w:r>
        <w:rPr>
          <w:b/>
          <w:bCs/>
          <w:color w:val="0F4C81"/>
        </w:rPr>
        <w:t xml:space="preserve">Four Strategic Opportunity Areas</w:t>
      </w:r>
    </w:p>
    <w:p>
      <w:pPr>
        <w:pStyle w:val="ListParagraph"/>
        <w:numPr>
          <w:ilvl w:val="0"/>
          <w:numId w:val="2"/>
        </w:numPr>
      </w:pPr>
      <w:r>
        <w:t xml:space="preserve">Overseas BD Licensing: 2025 BD value USD 130B, 2026 YTD exceeded USD 30B, China R&amp;D efficiency leads globally</w:t>
      </w:r>
    </w:p>
    <w:p>
      <w:pPr>
        <w:pStyle w:val="ListParagraph"/>
        <w:numPr>
          <w:ilvl w:val="0"/>
          <w:numId w:val="2"/>
        </w:numPr>
      </w:pPr>
      <w:r>
        <w:t xml:space="preserve">Technology Breakthroughs: ADC and bispecific antibodies have surpassed Europe/US, becoming global innovation hubs</w:t>
      </w:r>
    </w:p>
    <w:p>
      <w:pPr>
        <w:pStyle w:val="ListParagraph"/>
        <w:numPr>
          <w:ilvl w:val="0"/>
          <w:numId w:val="2"/>
        </w:numPr>
      </w:pPr>
      <w:r>
        <w:t xml:space="preserve">Policy Dividends: Dual-directory system (National Reimbursement + Commercial Insurance) drives market access</w:t>
      </w:r>
    </w:p>
    <w:p>
      <w:pPr>
        <w:pStyle w:val="ListParagraph"/>
        <w:numPr>
          <w:ilvl w:val="0"/>
          <w:numId w:val="2"/>
        </w:numPr>
      </w:pPr>
      <w:r>
        <w:t xml:space="preserve">Supply Chain Rise: CRO/CDMO transitioning from follower to leader, domestic substitution accelerating</w:t>
      </w:r>
    </w:p>
    <w:p>
      <w:r>
        <w:t xml:space="preserve"/>
      </w:r>
    </w:p>
    <w:p>
      <w:r>
        <w:rPr>
          <w:b/>
          <w:bCs/>
          <w:color w:val="0F4C81"/>
        </w:rPr>
        <w:t xml:space="preserve">2026 Three Investment Themes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Global Expansion: ADC, bispecific antibodies, small molecule targeted therapies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Supply Chain Upgrade: CRO, CDMO, upstream equipment/materials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Frontier Technologies: Cell therapy, gene therapy, weight loss drugs</w:t>
      </w:r>
    </w:p>
    <w:p>
      <w:r>
        <w:br w:type="page"/>
      </w:r>
    </w:p>
    <w:p>
      <w:pPr>
        <w:pStyle w:val="Heading1"/>
      </w:pPr>
      <w:r>
        <w:t xml:space="preserve">Chapter 1: China's Position in Global Pharma Landscape</w:t>
      </w:r>
    </w:p>
    <w:p>
      <w:pPr>
        <w:pStyle w:val="Heading2"/>
      </w:pPr>
      <w:r>
        <w:t xml:space="preserve">1.1 Reshaping of Global Biopharma Landscape</w:t>
      </w:r>
    </w:p>
    <w:p>
      <w:r>
        <w:t xml:space="preserve">According to McKinsey's latest research, Asia is becoming the </w:t>
      </w:r>
      <w:r>
        <w:rPr>
          <w:b/>
          <w:bCs/>
        </w:rPr>
        <w:t xml:space="preserve">emerging epicenter</w:t>
      </w:r>
      <w:r>
        <w:t xml:space="preserve"> of global biopharma. China is reshaping the global innovative pharma landscape with the following core advantages: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Core Advantage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Manifestations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R&amp;D Efficiency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Clinical trial speed 30-50% faster than US/EU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Patient recruitment 3-5x faster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R&amp;D cost only 1/3-1/2 of Western countries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Engineer Dividend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100,000+ biopharma graduates annually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R&amp;D personnel cost only 1/4 of Western countries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Returning overseas talent brings international experience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Market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World's 2nd largest pharma market, &gt;RMB 1.8T in 2025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Innovative drug penetration increased from 25% (2020) to 45% (2025)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Enhanced reimbursement capability supports true innovation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Complete Supply Chain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World-class CRO/CDMO: WuXi AppTec, Pharmaron, etc.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Most complete API supply chain globally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Accelerating domestic substitution in equipment/consumables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China's Global Status Leap in Innovative Drugs</w:t>
      </w:r>
    </w:p>
    <w:p>
      <w:r>
        <w:t xml:space="preserve">2025 is a milestone year for China's innovative pharma industry, with multiple indicators ranking first globally:</w:t>
      </w:r>
    </w:p>
    <w:p>
      <w:r>
        <w:t xml:space="preserve"/>
      </w:r>
    </w:p>
    <w:p>
      <w:pPr>
        <w:shd w:fill="FFF2CC" w:val="clear"/>
        <w:ind w:left="360" w:right="360"/>
      </w:pPr>
      <w:r>
        <w:rPr>
          <w:b/>
          <w:bCs/>
          <w:color w:val="B7791F"/>
        </w:rPr>
        <w:t xml:space="preserve">Key Data Highlights</w:t>
      </w:r>
      <w:r>
        <w:t xml:space="preserve">
</w:t>
      </w:r>
      <w:r>
        <w:rPr>
          <w:b/>
          <w:bCs/>
        </w:rPr>
        <w:t xml:space="preserve">✓  Total BD Value: </w:t>
      </w:r>
      <w:r>
        <w:rPr>
          <w:b/>
          <w:bCs/>
          <w:color w:val="C00000"/>
        </w:rPr>
        <w:t xml:space="preserve">USD 130 billion</w:t>
      </w:r>
      <w:r>
        <w:t xml:space="preserve"> (No.1 globally, surpassing US)
</w:t>
      </w:r>
      <w:r>
        <w:rPr>
          <w:b/>
          <w:bCs/>
        </w:rPr>
        <w:t xml:space="preserve">✓  2026 YTD BD: </w:t>
      </w:r>
      <w:r>
        <w:rPr>
          <w:b/>
          <w:bCs/>
          <w:color w:val="C00000"/>
        </w:rPr>
        <w:t xml:space="preserve">&gt;USD 30 billion</w:t>
      </w:r>
      <w:r>
        <w:t xml:space="preserve"> (Record-breaking)
</w:t>
      </w:r>
      <w:r>
        <w:rPr>
          <w:b/>
          <w:bCs/>
        </w:rPr>
        <w:t xml:space="preserve">✓  Overseas Revenue: </w:t>
      </w:r>
      <w:r>
        <w:rPr>
          <w:b/>
          <w:bCs/>
          <w:color w:val="C00000"/>
        </w:rPr>
        <w:t xml:space="preserve">RMB 940 billion</w:t>
      </w:r>
      <w:r>
        <w:t xml:space="preserve"> (Full year 2025)
</w:t>
      </w:r>
      <w:r>
        <w:rPr>
          <w:b/>
          <w:bCs/>
        </w:rPr>
        <w:t xml:space="preserve">✓  Financing: </w:t>
      </w:r>
      <w:r>
        <w:rPr>
          <w:b/>
          <w:bCs/>
          <w:color w:val="C00000"/>
        </w:rPr>
        <w:t xml:space="preserve">USD 14.7 billion</w:t>
      </w:r>
      <w:r>
        <w:t xml:space="preserve"> (2025, significant YoY growth)
</w:t>
      </w:r>
      <w:r>
        <w:rPr>
          <w:b/>
          <w:bCs/>
        </w:rPr>
        <w:t xml:space="preserve">✓  ADC Clinical Trials: </w:t>
      </w:r>
      <w:r>
        <w:rPr>
          <w:b/>
          <w:bCs/>
          <w:color w:val="C00000"/>
        </w:rPr>
        <w:t xml:space="preserve">No.1 globally</w:t>
      </w:r>
      <w:r>
        <w:t xml:space="preserve"> (&gt;40% of global total)</w:t>
      </w:r>
    </w:p>
    <w:p>
      <w:r>
        <w:br w:type="page"/>
      </w:r>
    </w:p>
    <w:p>
      <w:pPr>
        <w:pStyle w:val="Heading1"/>
      </w:pPr>
      <w:r>
        <w:t xml:space="preserve">Chapter 2: Deep Analysis of Core Opportunities</w:t>
      </w:r>
    </w:p>
    <w:p>
      <w:pPr>
        <w:pStyle w:val="Heading2"/>
      </w:pPr>
      <w:r>
        <w:t xml:space="preserve">2.1 Overseas BD Licensing: Most Certain Opportunity</w:t>
      </w:r>
    </w:p>
    <w:p>
      <w:r>
        <w:t xml:space="preserve">Overseas expansion for Chinese innovative drugs has shifted from </w:t>
      </w:r>
      <w:r>
        <w:rPr>
          <w:b/>
          <w:bCs/>
        </w:rPr>
        <w:t xml:space="preserve">optional</w:t>
      </w:r>
      <w:r>
        <w:t xml:space="preserve"> to </w:t>
      </w:r>
      <w:r>
        <w:rPr>
          <w:b/>
          <w:bCs/>
        </w:rPr>
        <w:t xml:space="preserve">mandatory</w:t>
      </w:r>
      <w:r>
        <w:t xml:space="preserve">, with BD licensing becoming the core path for value realization.</w:t>
      </w:r>
    </w:p>
    <w:p>
      <w:r>
        <w:t xml:space="preserve"/>
      </w:r>
    </w:p>
    <w:p>
      <w:r>
        <w:rPr>
          <w:b/>
          <w:bCs/>
        </w:rPr>
        <w:t xml:space="preserve">(1) Explosive Growth in Transaction Scale</w:t>
      </w:r>
    </w:p>
    <w:p>
      <w:r>
        <w:t xml:space="preserve">China's innovative drug BD transactions showed </w:t>
      </w:r>
      <w:r>
        <w:rPr>
          <w:b/>
          <w:bCs/>
        </w:rPr>
        <w:t xml:space="preserve">explosive growth</w:t>
      </w:r>
      <w:r>
        <w:t xml:space="preserve"> in 2025:</w:t>
      </w:r>
    </w:p>
    <w:p>
      <w:pPr>
        <w:pStyle w:val="ListParagraph"/>
        <w:numPr>
          <w:ilvl w:val="0"/>
          <w:numId w:val="2"/>
        </w:numPr>
      </w:pPr>
      <w:r>
        <w:t xml:space="preserve">Full-year 2025 BD value reached USD 130B, first time ranking No.1 globally</w:t>
      </w:r>
    </w:p>
    <w:p>
      <w:pPr>
        <w:pStyle w:val="ListParagraph"/>
        <w:numPr>
          <w:ilvl w:val="0"/>
          <w:numId w:val="2"/>
        </w:numPr>
      </w:pPr>
      <w:r>
        <w:t xml:space="preserve">2026 YTD (2 months) BD exceeded USD 30B, breaking historical records</w:t>
      </w:r>
    </w:p>
    <w:p>
      <w:pPr>
        <w:pStyle w:val="ListParagraph"/>
        <w:numPr>
          <w:ilvl w:val="0"/>
          <w:numId w:val="2"/>
        </w:numPr>
      </w:pPr>
      <w:r>
        <w:t xml:space="preserve">License-out transactions account for &gt;80%, international recognition of China R&amp;D capability</w:t>
      </w:r>
    </w:p>
    <w:p>
      <w:pPr>
        <w:pStyle w:val="ListParagraph"/>
        <w:numPr>
          <w:ilvl w:val="0"/>
          <w:numId w:val="2"/>
        </w:numPr>
      </w:pPr>
      <w:r>
        <w:t xml:space="preserve">Average deal size continues to increase, upfront payment ratios significantly improved</w:t>
      </w:r>
    </w:p>
    <w:p>
      <w:r>
        <w:t xml:space="preserve"/>
      </w:r>
    </w:p>
    <w:p>
      <w:r>
        <w:rPr>
          <w:b/>
          <w:bCs/>
        </w:rPr>
        <w:t xml:space="preserve">(2) Driver Analysis</w:t>
      </w:r>
    </w:p>
    <w:p>
      <w:r>
        <w:t xml:space="preserve">The explosion in China's innovative drug BD is not accidental, but the result of multiple converging factors: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Driver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Manifestations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Supply Side: Asset Quality Improvement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Clinical data quality reaches international standards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FIC/BIC proportion increases, clear differentiation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Global leadership in ADC, bispecific antibodies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Demand Side: MNC Pipeline Pressure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Patent cliff approaching: &gt;USD 150B sales face patent expiry 2025-2030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Declining internal R&amp;D efficiency, need external pipeline supplementation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China assets offer high cost-performance, fast R&amp;D speed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Capital Side: Improved Financing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2025 financing USD 14.7B, significant YoY growth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HK IPO market warming up, Biotech listing channel reopening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BD income becoming important cash flow source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(3) Key Therapeutic Areas</w:t>
      </w:r>
    </w:p>
    <w:p>
      <w:r>
        <w:t xml:space="preserve">According to BCG and Reuters analysis, the following areas have the greatest BD potential: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Oncology: ADC, bispecific antibodies, cell therapy (60%+ of BD transactions)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Metabolic Diseases: GLP-1 targets and related combination therapies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Autoimmune: IL-17, IL-23, JAK inhibitors, etc.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CNS: Alzheimer's, Parkinson's disease, etc.</w:t>
      </w:r>
    </w:p>
    <w:p>
      <w:r>
        <w:t xml:space="preserve"/>
      </w:r>
    </w:p>
    <w:p>
      <w:r>
        <w:rPr>
          <w:b/>
          <w:bCs/>
        </w:rPr>
        <w:t xml:space="preserve">(4) Challenges and Risks</w:t>
      </w:r>
    </w:p>
    <w:p>
      <w:r>
        <w:t xml:space="preserve">Despite optimistic prospects, overseas expansion still faces the following challenges:</w:t>
      </w:r>
    </w:p>
    <w:p>
      <w:pPr>
        <w:pStyle w:val="ListParagraph"/>
        <w:numPr>
          <w:ilvl w:val="0"/>
          <w:numId w:val="2"/>
        </w:numPr>
      </w:pPr>
      <w:r>
        <w:t xml:space="preserve">Geopolitical risks: US-China relations may affect FDA approval and commercialization</w:t>
      </w:r>
    </w:p>
    <w:p>
      <w:pPr>
        <w:pStyle w:val="ListParagraph"/>
        <w:numPr>
          <w:ilvl w:val="0"/>
          <w:numId w:val="2"/>
        </w:numPr>
      </w:pPr>
      <w:r>
        <w:t xml:space="preserve">Clinical standard differences: Different endpoint requirements in US/EU/China require trial redesign</w:t>
      </w:r>
    </w:p>
    <w:p>
      <w:pPr>
        <w:pStyle w:val="ListParagraph"/>
        <w:numPr>
          <w:ilvl w:val="0"/>
          <w:numId w:val="2"/>
        </w:numPr>
      </w:pPr>
      <w:r>
        <w:t xml:space="preserve">Insufficient commercialization capability: Lack of overseas sales teams and experience</w:t>
      </w:r>
    </w:p>
    <w:p>
      <w:pPr>
        <w:pStyle w:val="ListParagraph"/>
        <w:numPr>
          <w:ilvl w:val="0"/>
          <w:numId w:val="2"/>
        </w:numPr>
      </w:pPr>
      <w:r>
        <w:t xml:space="preserve">Deal term negotiations: MNC price pressure, strict milestones, royalty disputes</w:t>
      </w:r>
    </w:p>
    <w:p>
      <w:r>
        <w:br w:type="page"/>
      </w:r>
    </w:p>
    <w:p>
      <w:pPr>
        <w:pStyle w:val="Heading2"/>
      </w:pPr>
      <w:r>
        <w:t xml:space="preserve">2.2 Technology Tracks: Global Leadership in ADC and Bispecific Antibodies</w:t>
      </w:r>
    </w:p>
    <w:p>
      <w:r>
        <w:t xml:space="preserve">China has achieved a leap from </w:t>
      </w:r>
      <w:r>
        <w:rPr>
          <w:b/>
          <w:bCs/>
        </w:rPr>
        <w:t xml:space="preserve">following</w:t>
      </w:r>
      <w:r>
        <w:t xml:space="preserve"> to </w:t>
      </w:r>
      <w:r>
        <w:rPr>
          <w:b/>
          <w:bCs/>
        </w:rPr>
        <w:t xml:space="preserve">leading</w:t>
      </w:r>
      <w:r>
        <w:t xml:space="preserve"> in ADC (Antibody-Drug Conjugates) and bispecific antibodies, becoming a global innovation hub.</w:t>
      </w:r>
    </w:p>
    <w:p>
      <w:r>
        <w:t xml:space="preserve"/>
      </w:r>
    </w:p>
    <w:p>
      <w:r>
        <w:rPr>
          <w:b/>
          <w:bCs/>
        </w:rPr>
        <w:t xml:space="preserve">(1) ADC: China Has Surpassed Europe and US</w:t>
      </w:r>
    </w:p>
    <w:p>
      <w:pPr>
        <w:shd w:fill="E8F4F8" w:val="clear"/>
        <w:ind w:left="360" w:right="360"/>
      </w:pPr>
      <w:r>
        <w:rPr>
          <w:b/>
          <w:bCs/>
          <w:color w:val="0F4C81"/>
        </w:rPr>
        <w:t xml:space="preserve">ADC Market Data</w:t>
      </w:r>
      <w:r>
        <w:t xml:space="preserve">
</w:t>
      </w:r>
      <w:r>
        <w:rPr>
          <w:b/>
          <w:bCs/>
        </w:rPr>
        <w:t xml:space="preserve">•  Global ADC Market: </w:t>
      </w:r>
      <w:r>
        <w:t xml:space="preserve">~USD 10B in 2025, &gt;USD 30B expected by 2030
</w:t>
      </w:r>
      <w:r>
        <w:rPr>
          <w:b/>
          <w:bCs/>
        </w:rPr>
        <w:t xml:space="preserve">•  China ADC Clinical Trials: </w:t>
      </w:r>
      <w:r>
        <w:rPr>
          <w:b/>
          <w:bCs/>
        </w:rPr>
        <w:t xml:space="preserve">No.1 globally</w:t>
      </w:r>
      <w:r>
        <w:t xml:space="preserve"> (&gt;40% of global total)
</w:t>
      </w:r>
      <w:r>
        <w:rPr>
          <w:b/>
          <w:bCs/>
        </w:rPr>
        <w:t xml:space="preserve">•  China ADC BD Deals: </w:t>
      </w:r>
      <w:r>
        <w:t xml:space="preserve">&gt;USD 50B in 2025 (40% of total BD)
</w:t>
      </w:r>
      <w:r>
        <w:rPr>
          <w:b/>
          <w:bCs/>
        </w:rPr>
        <w:t xml:space="preserve">•  Key Players: </w:t>
      </w:r>
      <w:r>
        <w:t xml:space="preserve">SystImmune, Kelun-Biotech, Hengrui, RemeGen, ImmunoGen China, etc.</w:t>
      </w:r>
    </w:p>
    <w:p>
      <w:r>
        <w:t xml:space="preserve"/>
      </w:r>
    </w:p>
    <w:p>
      <w:r>
        <w:rPr>
          <w:b/>
          <w:bCs/>
        </w:rPr>
        <w:t xml:space="preserve">China's ADC Core Advantages:</w:t>
      </w:r>
    </w:p>
    <w:p>
      <w:pPr>
        <w:pStyle w:val="ListParagraph"/>
        <w:numPr>
          <w:ilvl w:val="0"/>
          <w:numId w:val="2"/>
        </w:numPr>
      </w:pPr>
      <w:r>
        <w:t xml:space="preserve">Linker-payload technology breakthroughs: Novel linkers, efficient payloads, site-specific conjugation mature</w:t>
      </w:r>
    </w:p>
    <w:p>
      <w:pPr>
        <w:pStyle w:val="ListParagraph"/>
        <w:numPr>
          <w:ilvl w:val="0"/>
          <w:numId w:val="2"/>
        </w:numPr>
      </w:pPr>
      <w:r>
        <w:t xml:space="preserve">Bispecific ADC leadership: SystImmune, Conmed, etc. have rich bispecific ADC pipelines</w:t>
      </w:r>
    </w:p>
    <w:p>
      <w:pPr>
        <w:pStyle w:val="ListParagraph"/>
        <w:numPr>
          <w:ilvl w:val="0"/>
          <w:numId w:val="2"/>
        </w:numPr>
      </w:pPr>
      <w:r>
        <w:t xml:space="preserve">Fast clinical development: Rapid patient recruitment, high trial efficiency</w:t>
      </w:r>
    </w:p>
    <w:p>
      <w:pPr>
        <w:pStyle w:val="ListParagraph"/>
        <w:numPr>
          <w:ilvl w:val="0"/>
          <w:numId w:val="2"/>
        </w:numPr>
      </w:pPr>
      <w:r>
        <w:t xml:space="preserve">Complete CDMO ecosystem: WuXi XDC, DuXi Biologics provide one-stop ADC CDMO services</w:t>
      </w:r>
    </w:p>
    <w:p>
      <w:r>
        <w:t xml:space="preserve"/>
      </w:r>
    </w:p>
    <w:p>
      <w:r>
        <w:rPr>
          <w:b/>
          <w:bCs/>
        </w:rPr>
        <w:t xml:space="preserve">(2) Bispecific Antibodies: Next-Gen Immunotherapy主力</w:t>
      </w:r>
    </w:p>
    <w:p>
      <w:r>
        <w:t xml:space="preserve">Bispecific antibodies, with their unique ability to bind two targets simultaneously, are becoming the new mainstay of tumor immunotherapy:</w:t>
      </w:r>
    </w:p>
    <w:p>
      <w:pPr>
        <w:pStyle w:val="ListParagraph"/>
        <w:numPr>
          <w:ilvl w:val="0"/>
          <w:numId w:val="2"/>
        </w:numPr>
      </w:pPr>
      <w:r>
        <w:t xml:space="preserve">China has No.1 bispecific antibody clinical trials globally, &gt;35% of global total</w:t>
      </w:r>
    </w:p>
    <w:p>
      <w:pPr>
        <w:pStyle w:val="ListParagraph"/>
        <w:numPr>
          <w:ilvl w:val="0"/>
          <w:numId w:val="2"/>
        </w:numPr>
      </w:pPr>
      <w:r>
        <w:t xml:space="preserve">Akeso, SystImmune, Innovent have multiple bispecifics approved or in late-stage trials</w:t>
      </w:r>
    </w:p>
    <w:p>
      <w:pPr>
        <w:pStyle w:val="ListParagraph"/>
        <w:numPr>
          <w:ilvl w:val="0"/>
          <w:numId w:val="2"/>
        </w:numPr>
      </w:pPr>
      <w:r>
        <w:t xml:space="preserve">Bispecific+ADC combination emerging as new trend, significant synergistic effects</w:t>
      </w:r>
    </w:p>
    <w:p>
      <w:r>
        <w:t xml:space="preserve"/>
      </w:r>
    </w:p>
    <w:p>
      <w:r>
        <w:rPr>
          <w:b/>
          <w:bCs/>
        </w:rPr>
        <w:t xml:space="preserve">(3) Other Frontier Technology Layout</w:t>
      </w:r>
    </w:p>
    <w:p>
      <w:r>
        <w:t xml:space="preserve">Chinese innovative pharma companies are actively布局 in the following frontier technology directions:</w:t>
      </w:r>
    </w:p>
    <w:p>
      <w:pPr>
        <w:pStyle w:val="ListParagraph"/>
        <w:numPr>
          <w:ilvl w:val="0"/>
          <w:numId w:val="2"/>
        </w:numPr>
      </w:pPr>
      <w:r>
        <w:t xml:space="preserve">Cell Therapy (CAR-T): Legend Biotech, CARsgen, WuXi JuNuo lead globally; 9 CGT products approved in China</w:t>
      </w:r>
    </w:p>
    <w:p>
      <w:pPr>
        <w:pStyle w:val="ListParagraph"/>
        <w:numPr>
          <w:ilvl w:val="0"/>
          <w:numId w:val="2"/>
        </w:numPr>
      </w:pPr>
      <w:r>
        <w:t xml:space="preserve">Gene Therapy: AAV vectors, CRISPR gene editing technology actively being developed</w:t>
      </w:r>
    </w:p>
    <w:p>
      <w:pPr>
        <w:pStyle w:val="ListParagraph"/>
        <w:numPr>
          <w:ilvl w:val="0"/>
          <w:numId w:val="2"/>
        </w:numPr>
      </w:pPr>
      <w:r>
        <w:t xml:space="preserve">Weight Loss Drugs: GLP-1, GIP/GLP-1 dual agonists, oral GLP-1 rich pipelines</w:t>
      </w:r>
    </w:p>
    <w:p>
      <w:pPr>
        <w:pStyle w:val="ListParagraph"/>
        <w:numPr>
          <w:ilvl w:val="0"/>
          <w:numId w:val="2"/>
        </w:numPr>
      </w:pPr>
      <w:r>
        <w:t xml:space="preserve">Brain-Computer Interface: Chinese companies actively布局 in medical applications</w:t>
      </w:r>
    </w:p>
    <w:p>
      <w:r>
        <w:br w:type="page"/>
      </w:r>
    </w:p>
    <w:p>
      <w:pPr>
        <w:pStyle w:val="Heading1"/>
      </w:pPr>
      <w:r>
        <w:t xml:space="preserve">Chapter 3: Investment Strategy and Recommendations for 2026</w:t>
      </w:r>
    </w:p>
    <w:p>
      <w:pPr>
        <w:pStyle w:val="Heading2"/>
      </w:pPr>
      <w:r>
        <w:t xml:space="preserve">3.1 Three Investment Themes</w:t>
      </w:r>
    </w:p>
    <w:p>
      <w:r>
        <w:t xml:space="preserve">Based on deep research, we propose </w:t>
      </w:r>
      <w:r>
        <w:rPr>
          <w:b/>
          <w:bCs/>
        </w:rPr>
        <w:t xml:space="preserve">three investment themes</w:t>
      </w:r>
      <w:r>
        <w:t xml:space="preserve"> for China's innovative pharma industry in 2026: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Theme 1:
Global Expansion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ADC, bispecific antibody leaders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Small molecule targeted FIC/BIC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Companies with overseas commercialization capability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BD deals continue to explode, value realization accelerating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China R&amp;D efficiency leads globally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Multiple drugs to be approved overseas in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Theme 2:
Supply Chain Upgrade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CRO/CDMO leaders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Upstream equipment/materials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ADC CDMO specialists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Global capacity transfer, orders continue to grow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Huge domestic substitution opportunity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ADC explosion drives CDMO demand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Theme 3:
Frontier Tech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Cell therapy (CAR-T)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Gene therapy (AAV/CRISPR)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Weight loss drugs (GLP-1)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9 CGT products approved, commercialization accelerating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Gene editing breakthroughs, smooth clinical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Huge weight loss market, domestic GLP-1 launching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Key Company Types to Watch</w:t>
      </w:r>
    </w:p>
    <w:p>
      <w:r>
        <w:t xml:space="preserve">Based on the above analysis, we recommend focusing on the following company types: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Leading Companies with Overseas Commercialization Capability</w:t>
      </w:r>
    </w:p>
    <w:p>
      <w:r>
        <w:t xml:space="preserve">  Selection criteria: Products already launched overseas, established overseas sales teams, rich BD experience
</w:t>
      </w:r>
      <w:r>
        <w:t xml:space="preserve">  Representative companies: BeiGene, Junshi Biosciences, Innovent Biologics, Zai Lab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 Platform Companies</w:t>
      </w:r>
    </w:p>
    <w:p>
      <w:r>
        <w:t xml:space="preserve">  Selection criteria: Core technology platforms (ADC, bispecific, cell therapy), rich pipelines, continuous output
</w:t>
      </w:r>
      <w:r>
        <w:t xml:space="preserve">  Representative companies: SystImmune, Kelun-Biotech, Akeso, RemeGen, Legend Biotech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Biotech with Healthy Cash Flow</w:t>
      </w:r>
    </w:p>
    <w:p>
      <w:r>
        <w:t xml:space="preserve">  Selection criteria: Sufficient cash reserves (&gt;2 years runway), continuous BD income, strong financing capability
</w:t>
      </w:r>
      <w:r>
        <w:t xml:space="preserve">  Representative companies: Analyze based on latest financial reports and financing situations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CRO/CDMO Leaders</w:t>
      </w:r>
    </w:p>
    <w:p>
      <w:r>
        <w:t xml:space="preserve">  Selection criteria: Large production capacity,优质 customer base, strong technology capabilities, high overseas revenue proportion
</w:t>
      </w:r>
      <w:r>
        <w:t xml:space="preserve">  Representative companies: WuXi AppTec, WuXi Biologics, Pharmaron, Asymchem, Porton Pharma</w:t>
      </w:r>
    </w:p>
    <w:p>
      <w:r>
        <w:t xml:space="preserve"/>
      </w:r>
    </w:p>
    <w:p>
      <w:pPr>
        <w:pStyle w:val="Heading2"/>
      </w:pPr>
      <w:r>
        <w:t xml:space="preserve">3.3 Risk Factors</w:t>
      </w:r>
    </w:p>
    <w:p>
      <w:r>
        <w:t xml:space="preserve">Investors in innovative pharma should monitor the following risks:</w:t>
      </w:r>
    </w:p>
    <w:p>
      <w:pPr>
        <w:pStyle w:val="ListParagraph"/>
        <w:numPr>
          <w:ilvl w:val="0"/>
          <w:numId w:val="2"/>
        </w:numPr>
      </w:pPr>
      <w:r>
        <w:t xml:space="preserve">Geopolitical risk: US-China relations, tariff policies may affect overseas expansion</w:t>
      </w:r>
    </w:p>
    <w:p>
      <w:pPr>
        <w:pStyle w:val="ListParagraph"/>
        <w:numPr>
          <w:ilvl w:val="0"/>
          <w:numId w:val="2"/>
        </w:numPr>
      </w:pPr>
      <w:r>
        <w:t xml:space="preserve">R&amp;D failure risk: High clinical failure rate, key data may miss expectations</w:t>
      </w:r>
    </w:p>
    <w:p>
      <w:pPr>
        <w:pStyle w:val="ListParagraph"/>
        <w:numPr>
          <w:ilvl w:val="0"/>
          <w:numId w:val="2"/>
        </w:numPr>
      </w:pPr>
      <w:r>
        <w:t xml:space="preserve">Competition risk: Homogeneous competition in hot targets, price wars compress margins</w:t>
      </w:r>
    </w:p>
    <w:p>
      <w:pPr>
        <w:pStyle w:val="ListParagraph"/>
        <w:numPr>
          <w:ilvl w:val="0"/>
          <w:numId w:val="2"/>
        </w:numPr>
      </w:pPr>
      <w:r>
        <w:t xml:space="preserve">Payment pressure risk: Cost control remains long-term trend, price pressure continues</w:t>
      </w:r>
    </w:p>
    <w:p>
      <w:pPr>
        <w:pStyle w:val="ListParagraph"/>
        <w:numPr>
          <w:ilvl w:val="0"/>
          <w:numId w:val="2"/>
        </w:numPr>
      </w:pPr>
      <w:r>
        <w:t xml:space="preserve">Valuation volatility risk: Biotech valuation fluctuations are large, monitor cash flow and financing capability</w:t>
      </w:r>
    </w:p>
    <w:p>
      <w:r>
        <w:br w:type="page"/>
      </w:r>
    </w:p>
    <w:p>
      <w:pPr>
        <w:pStyle w:val="Heading1"/>
      </w:pPr>
      <w:r>
        <w:t xml:space="preserve">Chapter 4: Conclusions and Outlook</w:t>
      </w:r>
    </w:p>
    <w:p>
      <w:r>
        <w:t xml:space="preserve">China's innovative pharma industry is at a historic inflection point, transitioning from </w:t>
      </w:r>
      <w:r>
        <w:rPr>
          <w:b/>
          <w:bCs/>
        </w:rPr>
        <w:t xml:space="preserve">follow-on innovation to global leadership</w:t>
      </w:r>
      <w:r>
        <w:t xml:space="preserve">. In 2025, BD transactions ranked first globally, marking that China's innovative drugs have officially entered the </w:t>
      </w:r>
      <w:r>
        <w:rPr>
          <w:b/>
          <w:bCs/>
        </w:rPr>
        <w:t xml:space="preserve">Year of Value Realization</w:t>
      </w:r>
      <w:r>
        <w:t xml:space="preserve">.</w:t>
      </w:r>
    </w:p>
    <w:p>
      <w:r>
        <w:t xml:space="preserve"/>
      </w:r>
    </w:p>
    <w:p>
      <w:pPr>
        <w:shd w:fill="E8F4F8" w:val="clear"/>
        <w:ind w:left="360" w:right="360"/>
      </w:pPr>
      <w:r>
        <w:rPr>
          <w:b/>
          <w:bCs/>
          <w:color w:val="0F4C81"/>
        </w:rPr>
        <w:t xml:space="preserve">Key Conclusions</w:t>
      </w:r>
      <w:r>
        <w:t xml:space="preserve">
</w:t>
      </w:r>
      <w:r>
        <w:rPr>
          <w:b/>
          <w:bCs/>
        </w:rPr>
        <w:t xml:space="preserve">1.  Overseas BD is the most certain opportunity</w:t>
      </w:r>
      <w:r>
        <w:t xml:space="preserve">: 2026 BD deals expected to continue breaking records, focus on leaders with overseas commercialization capability
</w:t>
      </w:r>
      <w:r>
        <w:rPr>
          <w:b/>
          <w:bCs/>
        </w:rPr>
        <w:t xml:space="preserve">2.  ADC and bispecific antibodies have achieved global leadership</w:t>
      </w:r>
      <w:r>
        <w:t xml:space="preserve">: China has surpassed Europe/US in these fields, becoming innovation hubs
</w:t>
      </w:r>
      <w:r>
        <w:rPr>
          <w:b/>
          <w:bCs/>
        </w:rPr>
        <w:t xml:space="preserve">3.  Policy dividends continue to be released</w:t>
      </w:r>
      <w:r>
        <w:t xml:space="preserve">: Dual-directory system drives faster market access and better pricing for true innovation
</w:t>
      </w:r>
      <w:r>
        <w:rPr>
          <w:b/>
          <w:bCs/>
        </w:rPr>
        <w:t xml:space="preserve">4.  Supply chain rise is a major trend</w:t>
      </w:r>
      <w:r>
        <w:t xml:space="preserve">: CRO/CDMO transitioning from follower to leader, upstream domestic substitution accelerating
</w:t>
      </w:r>
      <w:r>
        <w:rPr>
          <w:b/>
          <w:bCs/>
        </w:rPr>
        <w:t xml:space="preserve">5.  2026 is the Year of Value Realization</w:t>
      </w:r>
      <w:r>
        <w:t xml:space="preserve">: Multiple blockbuster drugs to be approved overseas, BD income starting to contribute substantive profits</w:t>
      </w:r>
    </w:p>
    <w:p>
      <w:r>
        <w:t xml:space="preserve"/>
      </w:r>
    </w:p>
    <w:p>
      <w:r>
        <w:t xml:space="preserve">Looking ahead 3-5 years, we expect:</w:t>
      </w:r>
    </w:p>
    <w:p>
      <w:pPr>
        <w:pStyle w:val="ListParagraph"/>
        <w:numPr>
          <w:ilvl w:val="0"/>
          <w:numId w:val="2"/>
        </w:numPr>
      </w:pPr>
      <w:r>
        <w:t xml:space="preserve">China's global market share in innovative drugs to increase from current 5% to &gt;15%</w:t>
      </w:r>
    </w:p>
    <w:p>
      <w:pPr>
        <w:pStyle w:val="ListParagraph"/>
        <w:numPr>
          <w:ilvl w:val="0"/>
          <w:numId w:val="2"/>
        </w:numPr>
      </w:pPr>
      <w:r>
        <w:t xml:space="preserve">China to become global innovation center in ADC, bispecific antibodies, attracting global pharma partnerships</w:t>
      </w:r>
    </w:p>
    <w:p>
      <w:pPr>
        <w:pStyle w:val="ListParagraph"/>
        <w:numPr>
          <w:ilvl w:val="0"/>
          <w:numId w:val="2"/>
        </w:numPr>
      </w:pPr>
      <w:r>
        <w:t xml:space="preserve">CRO/CDMO global market share to further increase, 3-5 companies with &gt;RMB 100B market cap to emerge</w:t>
      </w:r>
    </w:p>
    <w:p>
      <w:pPr>
        <w:pStyle w:val="ListParagraph"/>
        <w:numPr>
          <w:ilvl w:val="0"/>
          <w:numId w:val="2"/>
        </w:numPr>
      </w:pPr>
      <w:r>
        <w:t xml:space="preserve">Frontier technologies like cell therapy and gene therapy to achieve commercialization breakthroughs</w:t>
      </w:r>
    </w:p>
    <w:p>
      <w:pPr>
        <w:pStyle w:val="ListParagraph"/>
        <w:numPr>
          <w:ilvl w:val="0"/>
          <w:numId w:val="2"/>
        </w:numPr>
      </w:pPr>
      <w:r>
        <w:t xml:space="preserve">Chinese innovative pharma companies to transition from License-out to independent overseas commercialization, establishing global sales networks</w:t>
      </w:r>
    </w:p>
    <w:p>
      <w:r>
        <w:t xml:space="preserve"/>
      </w:r>
    </w:p>
    <w:p>
      <w:pPr>
        <w:jc w:val="center"/>
      </w:pPr>
      <w:r>
        <w:rPr>
          <w:b/>
          <w:bCs/>
          <w:color w:val="0F4C81"/>
          <w:sz w:val="28"/>
          <w:szCs w:val="28"/>
        </w:rPr>
        <w:t xml:space="preserve">— End of Report —</w:t>
      </w:r>
    </w:p>
    <w:p>
      <w:r>
        <w:t xml:space="preserve"/>
      </w:r>
    </w:p>
    <w:p>
      <w:r>
        <w:t xml:space="preserve"/>
      </w:r>
    </w:p>
    <w:p>
      <w:pPr>
        <w:shd w:fill="F5F5F5" w:val="clear"/>
        <w:ind w:left="720" w:right="720"/>
        <w:jc w:val="center"/>
      </w:pPr>
      <w:r>
        <w:rPr>
          <w:b/>
          <w:bCs/>
          <w:sz w:val="20"/>
          <w:szCs w:val="20"/>
        </w:rPr>
        <w:t xml:space="preserve">Disclaimer</w:t>
      </w:r>
      <w:r>
        <w:t xml:space="preserve">
</w:t>
      </w:r>
      <w:r>
        <w:rPr>
          <w:sz w:val="20"/>
          <w:szCs w:val="20"/>
        </w:rPr>
        <w:t xml:space="preserve">This report is compiled based on publicly available information. Accuracy and completeness are not guaranteed.
</w:t>
      </w:r>
      <w:r>
        <w:rPr>
          <w:sz w:val="20"/>
          <w:szCs w:val="20"/>
        </w:rPr>
        <w:t xml:space="preserve">Report content is for reference only and does not constitute investment advice.
</w:t>
      </w:r>
      <w:r>
        <w:rPr>
          <w:sz w:val="20"/>
          <w:szCs w:val="20"/>
        </w:rPr>
        <w:t xml:space="preserve">Investors should make independent judgments and bear investment risks themselves.
</w:t>
      </w:r>
      <w:r>
        <w:rPr>
          <w:i/>
          <w:iCs/>
          <w:sz w:val="20"/>
          <w:szCs w:val="20"/>
        </w:rPr>
        <w:t xml:space="preserve">Report generated: February 20,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Confidential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China Innovative Pharma Industry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ageBreakBefore/>
      <w:spacing w:before="360" w:after="24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4C81"/>
      <w:sz w:val="26"/>
      <w:szCs w:val="26"/>
    </w:rPr>
  </w:style>
  <w:style w:type="paragraph" w:styleId="Subtitle">
    <w:name w:val="Subtitle"/>
    <w:basedOn w:val="Normal"/>
    <w:pPr>
      <w:spacing w:before="120" w:after="360"/>
      <w:jc w:val="center"/>
    </w:pPr>
    <w:rPr>
      <w:rFonts w:ascii="Arial" w:cs="Arial" w:eastAsia="Arial" w:hAnsi="Arial"/>
      <w:i/>
      <w:iCs/>
      <w:color w:val="404040"/>
      <w:sz w:val="26"/>
      <w:szCs w:val="26"/>
    </w:rPr>
  </w:style>
  <w:style w:type="paragraph" w:styleId="ExecutiveSummary">
    <w:name w:val="Executive Summary Box"/>
    <w:basedOn w:val="Normal"/>
    <w:pPr>
      <w:shd w:fill="F5F5F5" w:val="clear"/>
      <w:spacing w:before="120" w:after="120"/>
      <w:ind w:left="720" w:right="720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2026-02-20T03:54:42.433Z</dcterms:created>
  <dcterms:modified xsi:type="dcterms:W3CDTF">2026-02-20T03:54:42.437Z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