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ENERGÉTICO</w:t>
      </w:r>
    </w:p>
    <w:p>
      <w:pPr>
        <w:pStyle w:val="Heading1"/>
        <w:jc w:val="center"/>
      </w:pPr>
      <w:r>
        <w:t>GreenEnergy Analytics</w:t>
      </w:r>
    </w:p>
    <w:p>
      <w:r>
        <w:t>Periodo: 01/01/2026 - 29/06/2026</w:t>
      </w:r>
    </w:p>
    <w:p>
      <w:r>
        <w:t>Fecha de generación: 16/10/2026 01:54</w:t>
      </w:r>
    </w:p>
    <w:p>
      <w:pPr>
        <w:pStyle w:val="Heading2"/>
      </w:pPr>
      <w:r>
        <w:t>1. Resumen Ejecutivo e Indicadores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Energía Generada Total</w:t>
            </w:r>
          </w:p>
        </w:tc>
        <w:tc>
          <w:tcPr>
            <w:tcW w:type="dxa" w:w="4320"/>
          </w:tcPr>
          <w:p>
            <w:r>
              <w:t>2,913,623.55 kWh</w:t>
            </w:r>
          </w:p>
        </w:tc>
      </w:tr>
      <w:tr>
        <w:tc>
          <w:tcPr>
            <w:tcW w:type="dxa" w:w="4320"/>
          </w:tcPr>
          <w:p>
            <w:r>
              <w:t>Demanda Total</w:t>
            </w:r>
          </w:p>
        </w:tc>
        <w:tc>
          <w:tcPr>
            <w:tcW w:type="dxa" w:w="4320"/>
          </w:tcPr>
          <w:p>
            <w:r>
              <w:t>3,146,866.67 kWh</w:t>
            </w:r>
          </w:p>
        </w:tc>
      </w:tr>
      <w:tr>
        <w:tc>
          <w:tcPr>
            <w:tcW w:type="dxa" w:w="4320"/>
          </w:tcPr>
          <w:p>
            <w:r>
              <w:t>Déficit Total</w:t>
            </w:r>
          </w:p>
        </w:tc>
        <w:tc>
          <w:tcPr>
            <w:tcW w:type="dxa" w:w="4320"/>
          </w:tcPr>
          <w:p>
            <w:r>
              <w:t>286,904.20 kWh</w:t>
            </w:r>
          </w:p>
        </w:tc>
      </w:tr>
      <w:tr>
        <w:tc>
          <w:tcPr>
            <w:tcW w:type="dxa" w:w="4320"/>
          </w:tcPr>
          <w:p>
            <w:r>
              <w:t>Cobertura Global %</w:t>
            </w:r>
          </w:p>
        </w:tc>
        <w:tc>
          <w:tcPr>
            <w:tcW w:type="dxa" w:w="4320"/>
          </w:tcPr>
          <w:p>
            <w:r>
              <w:t>90.88%</w:t>
            </w:r>
          </w:p>
        </w:tc>
      </w:tr>
    </w:tbl>
    <w:p>
      <w:pPr>
        <w:pStyle w:val="Heading2"/>
      </w:pPr>
      <w:r>
        <w:t>2. Gráfico Operativo</w:t>
      </w:r>
    </w:p>
    <w:p>
      <w:r>
        <w:drawing>
          <wp:inline xmlns:a="http://schemas.openxmlformats.org/drawingml/2006/main" xmlns:pic="http://schemas.openxmlformats.org/drawingml/2006/picture">
            <wp:extent cx="5486400" cy="225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Hallazgos y Recomendaciones</w:t>
      </w:r>
    </w:p>
    <w:p>
      <w:r>
        <w:t>La región Oriente concentra el mayor déficit operativo.</w:t>
      </w:r>
    </w:p>
    <w:p>
      <w:r>
        <w:t>Recomendación: Priorizar capacidad limpia en sedes críticas.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