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/>
          <w:b/>
          <w:sz w:val="40"/>
        </w:rPr>
        <w:t>课程产品分层模型 · 3×2 矩阵</w:t>
      </w:r>
    </w:p>
    <w:p>
      <w:r>
        <w:rPr>
          <w:rFonts w:ascii="Microsoft YaHei" w:hAnsi="Microsoft YaHei"/>
          <w:b/>
          <w:color w:val="0E6B50"/>
          <w:sz w:val="21"/>
        </w:rPr>
        <w:t xml:space="preserve">【核心】 </w:t>
      </w:r>
      <w:r>
        <w:rPr>
          <w:rFonts w:ascii="Microsoft YaHei" w:hAnsi="Microsoft YaHei"/>
          <w:b w:val="0"/>
          <w:sz w:val="21"/>
        </w:rPr>
        <w:t>本矩阵把「课程 → AVG 场景化学习产品」按【复杂度/时长】与【定制化程度】两个轴结构化，同时服务三件事：① 产品定价与套餐；② 交付物规格；③ AI 生成深度（生产工时）。它建立在已锁定的核心假设之上：默认【远场景】（虚构类比，如星际探索），且 AVG 探索体验严格占总时长 50%，另外 50% 必须是【导入 + 复盘结构化产出 + 工作场景应用 + 个人行为改变计划】——缺应用迁移桥，产品不成立（VR-RE05）。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一、为什么需要这个矩阵</w:t>
      </w:r>
    </w:p>
    <w:p>
      <w:r>
        <w:rPr>
          <w:rFonts w:ascii="Microsoft YaHei" w:hAnsi="Microsoft YaHei"/>
          <w:b w:val="0"/>
          <w:sz w:val="21"/>
        </w:rPr>
        <w:t>我们卖的不是「一个 AVG 工具」，而是面向乙方讲师 / 甲方 L&amp;D 的【DIY 设计平台】，最终产出物是与竞品一致的线下产品包。用户带进来的课程差异极大：有的已有成熟课件（情境领导），有的只是一句业务目标（物业经理要做市场拓展）。如果不分层，平台既无法给出清晰的定价套餐，也无法告诉 AI 该生成多深。3×2 矩阵把这种差异变成可配置的产品参数。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定价/套餐轴：让乙方讲师清楚「我这门课该卖哪一档」，让平台订阅/项目制定价有据可依。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交付物轴：每一格对应一套明确的可印刷离线包组件清单与规格（见 offline_package_spec）。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生产轴：告诉 AI Pipeline 该跑到多深、抽取/生成多少节点、校验规则套用哪一子集。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二、两个维度的定义</w:t>
      </w:r>
    </w:p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维度一 · 3 层（Tier）—— 按内容/场景复杂度与系统程度，对应总学习时长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总时长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AVG 探索(50%)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系统程度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适用对象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复杂度标志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L1 轻量切片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3 小时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1.5h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单模块 / 单一能力点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一个具体情境的「顿悟」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单角色·单决策链·2–3 结局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L2 标准单元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7 小时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3.5h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完整主题 / 2–3 能力点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一个主题的系统掌握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2–3 角色·3–4 决策节点·多结局·轻状态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L3 深度系列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14 小时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7h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多模块 / 系统能力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能力迁移到真实业务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多视角·深度分支·状态系统·多轮复盘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三层呈递进：越深，分支/结局/角色/状态越多，复盘与应用落地的权重越高，多人课堂运行越复杂（组数与汇合机制）。</w:t>
      </w:r>
    </w:p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维度二 · 2 类（Track）—— 按定制化程度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类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输入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核心流程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交付物特征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20"/>
              </w:rPr>
              <w:t>定价逻辑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C1 通用改编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Existing-to-AVG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已有成熟课程（PPT + 教材）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转译：现有 LGM → 适配 AVG 节点（内容/能力已由原课程定义）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标准盒装包（可复制、边际成本低）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订阅 / 按门改编费（低客单、高复制）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C2 定制业务赋能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Bespoke Enablement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业务目标 + 真实案例（无现成课件）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从萃取开始：主题建模→关键事件访谈→能力建模→场景挑战→评价设计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定制包（含萃取报告 + 能力模型 + 定制场景库 + 评价量表）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9"/>
              </w:rPr>
              <w:t>项目制（高客单、含萃取与设计）</w:t>
            </w:r>
          </w:p>
        </w:tc>
      </w:tr>
    </w:tbl>
    <w:p>
      <w:r>
        <w:rPr>
          <w:rFonts w:ascii="Microsoft YaHei" w:hAnsi="Microsoft YaHei"/>
          <w:b/>
          <w:color w:val="0E6B50"/>
          <w:sz w:val="21"/>
        </w:rPr>
        <w:t xml:space="preserve">【提示】 </w:t>
      </w:r>
      <w:r>
        <w:rPr>
          <w:rFonts w:ascii="Microsoft YaHei" w:hAnsi="Microsoft YaHei"/>
          <w:b w:val="0"/>
          <w:sz w:val="21"/>
        </w:rPr>
        <w:t>C2 比 C1 多一个【萃取（Extraction）】前置阶段：它不「改编」已有内容，而是先把业务目标和真实事件「萃取」成学习目标、内容、场景挑战、能力要求与水平、评价方式。这是 C2 高价值与高客单的来源。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三、3×2 矩阵总览（六单元格）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C1 通用改编（已有课程）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C2 定制业务赋能（从业务目标出发）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L1 轻量切片 (3h)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情境领导·单模块切片（如「诊断下属成熟度」）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物业经理·单事件切片（如「一次收并购谈判」）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L2 标准单元 (7h)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情境领导·完整课（S1–S4 风格匹配 + 两难）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物业经理·市场拓展完整赋能（多事件→能力模型）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L3 深度系列 (14h)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领导力系列（多模块，多日/系列）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物业经理·市场拓展与收并购全业务赋能</w:t>
            </w:r>
          </w:p>
        </w:tc>
      </w:tr>
    </w:tbl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四、50 / 50 时间分配模型（核心约束）</w:t>
      </w:r>
    </w:p>
    <w:p>
      <w:r>
        <w:rPr>
          <w:rFonts w:ascii="Microsoft YaHei" w:hAnsi="Microsoft YaHei"/>
          <w:b w:val="0"/>
          <w:sz w:val="21"/>
        </w:rPr>
        <w:t>无论哪一层，AVG 探索体验固定占总时长 50%；其余 50% 是【非 AVG 工作坊活动】，由四项构成：① 导入（情境铺垫/目标共识）② 复盘结构化产出（AAR + 可带走产出物）③ 工作场景应用（当堂把方法论迁移到真实任务）④ 个人行为改变计划 IDP（30–60 天行为契约）。</w:t>
      </w:r>
    </w:p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非 AVG 50% 的四项活动 · 分层权重（设计建议，可调）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20"/>
              </w:rPr>
              <w:t>活动（占非 AVG 50%）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20"/>
              </w:rPr>
              <w:t>L1 (1.5h)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20"/>
              </w:rPr>
              <w:t>L2 (3.5h)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20"/>
              </w:rPr>
              <w:t>L3 (7h)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20"/>
              </w:rPr>
              <w:t>随层变化逻辑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① 导入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40% (0.6h)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25% (0.9h)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15% (1.05h)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越深越少，前置共识已在前序建立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② 复盘结构化产出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35% (0.5h)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30% (1.05h)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25% (1.75h)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始终是高权重，但绝对时长随层放大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③ 工作场景应用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15% (0.2h)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25% (0.9h)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35% (2.45h)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越深越偏落地，套真实任务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④ 个人行为改变计划 IDP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10% (0.2h)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20% (0.7h)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25% (1.75h)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 w:val="0"/>
                <w:sz w:val="19"/>
              </w:rPr>
              <w:t>越深越强调长期行为契约</w:t>
            </w:r>
          </w:p>
        </w:tc>
      </w:tr>
    </w:tbl>
    <w:p>
      <w:r>
        <w:rPr>
          <w:rFonts w:ascii="Microsoft YaHei" w:hAnsi="Microsoft YaHei"/>
          <w:b/>
          <w:color w:val="0E6B50"/>
          <w:sz w:val="21"/>
        </w:rPr>
        <w:t xml:space="preserve">【提示】 </w:t>
      </w:r>
      <w:r>
        <w:rPr>
          <w:rFonts w:ascii="Microsoft YaHei" w:hAnsi="Microsoft YaHei"/>
          <w:b w:val="0"/>
          <w:sz w:val="21"/>
        </w:rPr>
        <w:t>权重逻辑：浅层快速体验、轻应用；深层强落地——应用与 IDP 占比随层显著上升，导入占比下降。这是「系统程度」递增在时间表上的直接体现。</w:t>
      </w:r>
    </w:p>
    <w:p>
      <w:r>
        <w:rPr>
          <w:rFonts w:ascii="Microsoft YaHei" w:hAnsi="Microsoft YaHei"/>
          <w:b/>
          <w:color w:val="9A3412"/>
          <w:sz w:val="21"/>
        </w:rPr>
        <w:t xml:space="preserve">【警示】 </w:t>
      </w:r>
      <w:r>
        <w:rPr>
          <w:rFonts w:ascii="Microsoft YaHei" w:hAnsi="Microsoft YaHei"/>
          <w:b w:val="0"/>
          <w:sz w:val="21"/>
        </w:rPr>
        <w:t>③ 与 ④ 不可混为一谈：工作场景应用是【当堂】把方法论套到真实业务任务（团队/业务层）；IDP 是个人【30–60 天】的行为契约（个人层）。两者都要有独立模板，且都指向真实场景（满足 VR-RE05 应用迁移桥）。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五、六单元格详述</w:t>
      </w:r>
    </w:p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L1·C1 轻量改编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单角色、单决策链、2–3 个平行价值结局；无状态系统或仅 1–2 个 flag。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一个具体情境的「顿悟」；单一能力点。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1 讲师带 4–6 组（每组 4–6 人）；引导脚本轻，单线汇合。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标准小盒：1 场景卡 + 角色卡 + 复盘卡 + 应用/IDP 单页。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0.5–1 人天（AI 生成为主，专家校验）。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¥3K–8K / 门，或订阅内含。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情境领导·「诊断下属成熟度」切片。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L1·C2 轻量定制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同 L1 结构，但场景来自真实业务事件；含微能力模型（1–2 维度）。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单一业务事件的「做对一次」。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同 L1；场景为学员真实工作情境的脱敏版。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定制小盒 + 萃取单页（事件→能力→应用）。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2–3 人天（含轻萃取）。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¥8K–20K。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物业经理·「一次收并购谈判」切片。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L2·C1 标准单元改编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2–3 角色、3–4 决策节点、多结局、轻状态（关系/资源）。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一个主题的系统掌握（2–3 能力点）。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1 讲师带 6 组；引导脚本中等，含 1–2 汇合节点。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标准盒：多场景卡 + 角色卡套组 + DM 手册 + 复盘手册 + 能力雷达模板。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1–2 人天。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¥8K–20K / 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情境领导·完整课（S1–S4 风格匹配 + 两难）。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L2·C2 标准定制赋能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3–4 决策节点、多结局、轻状态；场景库来自多业务事件。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一个业务主题的完整赋能。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同 L2；含能力达标水平刻度与复盘雷达。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定制盒 + 萃取报告 + 能力模型卡 + 定制场景库 + 评价量表。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5–8 人天（含系统萃取）。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¥30K–80K。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物业经理·市场拓展完整赋能（多事件→能力模型）。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L3·C1 深度系列改编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多视角、深度分支、状态系统、多结局；信息密度高。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多模块系统能力，跨情境迁移。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1 讲师带 6–8 组；多线并行 + 多次汇合，引导脚本深。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精装盒：全套（场景册 + 完整角色体系 + DM 手册 + 复盘手册 + 雷达 + IDP 跟踪）。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3–5 人天。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¥20K–50K / 门，或订阅高级档。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领导力系列（多模块，多日/系列课）。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b/>
          <w:color w:val="1E3A5F"/>
          <w:sz w:val="25"/>
        </w:rPr>
        <w:t>L3·C2 深度定制赋能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场景复杂度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多视角 + 深度分支 + 状态系统 + 多轮复盘；场景库覆盖业务全链路。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学习对象与颗粒度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业务系统能力，可量化改变。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多人课堂运行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同 L3；含业务指标挂钩的评价与跟踪机制。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交付物形态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定制精装盒 + 完整萃取报告 + 能力模型 + 定制场景库 + 评价量表 + IDP 跟踪表。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设计/生产工时锚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10–20 人天（深度萃取 + 多模块）。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定价锚（建议）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¥80K–200K+（项目制）。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适用案例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物业经理·市场拓展与收并购全业务赋能。</w:t>
            </w:r>
          </w:p>
        </w:tc>
      </w:tr>
    </w:tbl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六、盲区补充（主动完善）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评价体系分层（Evaluation / Rubric）：L1 = 决策质量自评 + 知识确认；L2 = 能力雷达 + 行为承诺；L3 = 行为改变追踪 + 业务指标。复盘「可带走产出物」规格需随层加深。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IDP 与「工作场景应用」的区分（见第四节提示）：前者个人长期契约，后者当堂业务落地，模板独立、不可混。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C2 萃取前置阶段（Extraction）：业务目标→主题建模→关键事件访谈→能力建模→评价设计。这是 C2 独有输入，决定它从「业务目标」而非「现成 PPT」起步。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能力模型与水平（Proficiency Level）：C2 必须定义能力维度与达标水平（Novice→Proficient），驱动场景挑战难度与雷达刻度；C1 直接复用原课程能力框架。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多人课堂运行强度（Facilitation）：引导脚本深度、分组机制、汇合节点复杂度随层递增；L3 需「多线并行 + 汇合」设计，离线包须含同步/汇合节点物料。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迁移桥真实场景来源差异：C1 用行业通用案例（如情境领导「老周两难」）；C2 用客户真实业务场景。VR-RE05 对两类都强制，但来源不同。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定价 / 商业模式：C1 = 订阅 / 按门改编（标准盒，复制边际低）；C2 = 项目制（含萃取+定制，高客单）。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交付物清单差异：C1 = 标准 AVG 包；C2 = 额外含萃取报告 + 能力模型卡 + 定制场景库 + 评价量表。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生产速度 / 成本碾压对照：对照手工剧本杀 1–3 月 / ¥5K–50K，本矩阵各层把单门从数周压缩到0.5–20 人天、价格锚显著低于定制严肃游戏（€30K–80K / VR ¥150K–500K+）。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数据回流（虽为线下）：复盘产出物（能力雷达、IDP）由学员/讲师带回，可批量回收做课程迭代——这是 C2 的高价值闭环，也是平台相对手工剧本杀的护城河。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质量门禁分层（Validation Tiering）：L1 可放宽叙事深度/分支数；L3 强制全量 VR 规则；C2 强制萃取 + 能力模型校验（VR-TIER 系列）。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七、与现有产品资产的打通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现有资产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20"/>
              </w:rPr>
              <w:t>本矩阵如何接入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Pipeline（12 阶段）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L 决定 Pipeline 深度（L1 可简化 Exploration）；C 决定输入阶段（C2 多 Extract 阶段）。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Learning Gameplay Map (LGM)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L 决定 LGM 节点密度；C 决定内容来源（现有转译 vs 萃取新建）。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校验规则 validation_rules.json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VR-TIER（时间/分层）+ VR-RE05（应用迁移桥）+ VR-OFF（离线包完整性，按层放宽）。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离线包规格 offline_package_spec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50/50 对应离线包「AVG 组件」 vs 「工作坊组件」（导入卡/复盘手册/应用模板/IDP 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核心假设 Core_Design_Assumption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9"/>
              </w:rPr>
              <w:t>50/50 与应用迁移桥是矩阵的时间骨架；远场景是默认世界观。</w:t>
            </w:r>
          </w:p>
        </w:tc>
      </w:tr>
    </w:tbl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八、待确认 / 可调项（设计假设，需你拍板）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四活动在 50% 内的权重分配（本文为建议值，可按教学理念调整）。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定价锚数字（需按目标市场进一步校准）。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L3 是否允许拆成多天 / 系列课（影响离线包分册规格）。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C2 萃取由平台 Agent 自动化到什么程度，还是必须专家介入（影响工时与质量门禁）。</w:t>
      </w:r>
    </w:p>
    <w:p>
      <w:pPr>
        <w:pStyle w:val="ListBullet"/>
      </w:pPr>
      <w:r>
        <w:rPr>
          <w:rFonts w:ascii="Microsoft YaHei" w:hAnsi="Microsoft YaHei"/>
          <w:b w:val="0"/>
          <w:sz w:val="21"/>
        </w:rPr>
        <w:t>是否要为 C2 单独设计一个「萃取工作区」（Extract Workspace）作为 PRD 的新 Epic。</w:t>
      </w:r>
    </w:p>
    <w:p>
      <w:pPr>
        <w:pStyle w:val="Heading1"/>
      </w:pPr>
      <w:r>
        <w:rPr>
          <w:rFonts w:ascii="Microsoft YaHei" w:hAnsi="Microsoft YaHei"/>
          <w:b/>
          <w:color w:val="0E6B50"/>
          <w:sz w:val="30"/>
        </w:rPr>
        <w:t>九、版本与来源</w:t>
      </w:r>
    </w:p>
    <w:p>
      <w:r>
        <w:rPr>
          <w:rFonts w:ascii="Microsoft YaHei" w:hAnsi="Microsoft YaHei"/>
          <w:b w:val="0"/>
          <w:sz w:val="21"/>
        </w:rPr>
        <w:t>v1 · 初版 · 2026-08-18 · 由 David 提出的 3 层×2 类产品分层需求构建，主动补充 11 项盲区并与现有 MRD/PRD/Skill 资产打通。待 David 评审后进入 PRD 第 3 节（产品分层/套餐）。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