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2C3D"/>
          <w:sz w:val="44"/>
          <w:szCs w:val="44"/>
        </w:rPr>
        <w:t xml:space="preserve">isra</w:t>
      </w:r>
      <w:r>
        <w:rPr>
          <w:b/>
          <w:bCs/>
          <w:color w:val="214F80"/>
          <w:sz w:val="44"/>
          <w:szCs w:val="44"/>
        </w:rPr>
        <w:t xml:space="preserve">ly</w:t>
      </w:r>
    </w:p>
    <w:p>
      <w:pPr>
        <w:spacing w:after="240"/>
      </w:pPr>
      <w:r>
        <w:rPr>
          <w:b/>
          <w:bCs/>
          <w:color w:val="214F80"/>
          <w:sz w:val="30"/>
          <w:szCs w:val="30"/>
        </w:rPr>
        <w:t xml:space="preserve">Conditions de partenariat — Guides</w:t>
      </w:r>
    </w:p>
    <w:p>
      <w:pPr>
        <w:spacing w:after="120" w:line="276"/>
      </w:pPr>
      <w:r>
        <w:rPr>
          <w:color w:val="1B2C3D"/>
          <w:sz w:val="22"/>
          <w:szCs w:val="22"/>
        </w:rPr>
        <w:t xml:space="preserve">Le présent document décrit les conditions de collaboration entre Israly (« la Plateforme ») et le guide partenaire (« le Guide »). Il est à lire et à accepter avant la création du compte guide. Israly met en relation des guides touristiques licenciés et des voyageurs, et prend en charge la mise en avant du profil, la réservation, l'encaissement du paiement et le support client.</w:t>
      </w:r>
    </w:p>
    <w:p>
      <w:pPr>
        <w:pStyle w:val="Heading1"/>
        <w:spacing w:after="120" w:before="280"/>
      </w:pPr>
      <w:r>
        <w:rPr>
          <w:b/>
          <w:bCs/>
          <w:color w:val="214F80"/>
          <w:sz w:val="28"/>
          <w:szCs w:val="28"/>
        </w:rPr>
        <w:t xml:space="preserve">1. Rôle d'Israly</w:t>
      </w:r>
    </w:p>
    <w:p>
      <w:pPr>
        <w:pStyle w:val="ListParagraph"/>
        <w:numPr>
          <w:ilvl w:val="0"/>
          <w:numId w:val="2"/>
        </w:numPr>
        <w:spacing w:after="60" w:line="264"/>
      </w:pPr>
      <w:r>
        <w:rPr>
          <w:color w:val="1B2C3D"/>
          <w:sz w:val="22"/>
          <w:szCs w:val="22"/>
        </w:rPr>
        <w:t xml:space="preserve">Présenter le profil du Guide sur la plateforme et en assurer la promotion (référencement, réseaux, e-mails).</w:t>
      </w:r>
    </w:p>
    <w:p>
      <w:pPr>
        <w:pStyle w:val="ListParagraph"/>
        <w:numPr>
          <w:ilvl w:val="0"/>
          <w:numId w:val="2"/>
        </w:numPr>
        <w:spacing w:after="60" w:line="264"/>
      </w:pPr>
      <w:r>
        <w:rPr>
          <w:color w:val="1B2C3D"/>
          <w:sz w:val="22"/>
          <w:szCs w:val="22"/>
        </w:rPr>
        <w:t xml:space="preserve">Recevoir les demandes de réservation et transmettre celles qui concernent le Guide.</w:t>
      </w:r>
    </w:p>
    <w:p>
      <w:pPr>
        <w:pStyle w:val="ListParagraph"/>
        <w:numPr>
          <w:ilvl w:val="0"/>
          <w:numId w:val="2"/>
        </w:numPr>
        <w:spacing w:after="60" w:line="264"/>
      </w:pPr>
      <w:r>
        <w:rPr>
          <w:color w:val="1B2C3D"/>
          <w:sz w:val="22"/>
          <w:szCs w:val="22"/>
        </w:rPr>
        <w:t xml:space="preserve">Encaisser le paiement du client de façon sécurisée et reverser au Guide sa part (voir §3).</w:t>
      </w:r>
    </w:p>
    <w:p>
      <w:pPr>
        <w:pStyle w:val="ListParagraph"/>
        <w:numPr>
          <w:ilvl w:val="0"/>
          <w:numId w:val="2"/>
        </w:numPr>
        <w:spacing w:after="60" w:line="264"/>
      </w:pPr>
      <w:r>
        <w:rPr>
          <w:color w:val="1B2C3D"/>
          <w:sz w:val="22"/>
          <w:szCs w:val="22"/>
        </w:rPr>
        <w:t xml:space="preserve">Assurer le support client avant, pendant et après la réservation.</w:t>
      </w:r>
    </w:p>
    <w:p>
      <w:pPr>
        <w:pStyle w:val="Heading1"/>
        <w:spacing w:after="120" w:before="280"/>
      </w:pPr>
      <w:r>
        <w:rPr>
          <w:b/>
          <w:bCs/>
          <w:color w:val="214F80"/>
          <w:sz w:val="28"/>
          <w:szCs w:val="28"/>
        </w:rPr>
        <w:t xml:space="preserve">2. Commission Israly</w:t>
      </w:r>
    </w:p>
    <w:p>
      <w:pPr>
        <w:spacing w:after="120" w:line="276"/>
      </w:pPr>
      <w:r>
        <w:rPr>
          <w:color w:val="1B2C3D"/>
          <w:sz w:val="22"/>
          <w:szCs w:val="22"/>
        </w:rPr>
        <w:t xml:space="preserve">Israly prélève une commission de 10 % (dix pour cent) sur le montant total de chaque réservation confirmée et payée. Le Guide perçoit donc 90 % du montant.</w:t>
      </w:r>
    </w:p>
    <w:p>
      <w:pPr>
        <w:spacing w:after="120" w:line="276"/>
      </w:pPr>
      <w:r>
        <w:rPr>
          <w:color w:val="586B7D"/>
          <w:sz w:val="22"/>
          <w:szCs w:val="22"/>
        </w:rPr>
        <w:t xml:space="preserve">Exemple : pour un circuit facturé 1 000 ₪, la commission Israly est de 100 ₪ et le Guide reçoit 900 ₪.</w:t>
      </w:r>
    </w:p>
    <w:p>
      <w:pPr>
        <w:spacing w:after="80"/>
      </w:pPr>
      <w:r>
        <w:rPr>
          <w:i/>
          <w:iCs/>
          <w:color w:val="586B7D"/>
          <w:sz w:val="18"/>
          <w:szCs w:val="18"/>
        </w:rPr>
        <w:t xml:space="preserve">Note interne (à retirer avant envoi) : 10 % est un taux attractif pour recruter les premiers guides. 12 % reste raisonnable et courant sur ce type de marketplace ; il pourra être envisagé une fois la plateforme établie. Les frais de paiement (~2–3 %) sont à la charge d'Israly sur sa commission.</w:t>
      </w:r>
    </w:p>
    <w:p>
      <w:pPr>
        <w:pStyle w:val="Heading1"/>
        <w:spacing w:after="120" w:before="280"/>
      </w:pPr>
      <w:r>
        <w:rPr>
          <w:b/>
          <w:bCs/>
          <w:color w:val="214F80"/>
          <w:sz w:val="28"/>
          <w:szCs w:val="28"/>
        </w:rPr>
        <w:t xml:space="preserve">3. Paiement au Guide</w:t>
      </w:r>
    </w:p>
    <w:p>
      <w:pPr>
        <w:pStyle w:val="ListParagraph"/>
        <w:numPr>
          <w:ilvl w:val="0"/>
          <w:numId w:val="2"/>
        </w:numPr>
        <w:spacing w:after="60" w:line="264"/>
      </w:pPr>
      <w:r>
        <w:rPr>
          <w:color w:val="1B2C3D"/>
          <w:sz w:val="22"/>
          <w:szCs w:val="22"/>
        </w:rPr>
        <w:t xml:space="preserve">Le paiement du client est encaissé par Israly au moment de la confirmation de la réservation.</w:t>
      </w:r>
    </w:p>
    <w:p>
      <w:pPr>
        <w:pStyle w:val="ListParagraph"/>
        <w:numPr>
          <w:ilvl w:val="0"/>
          <w:numId w:val="2"/>
        </w:numPr>
        <w:spacing w:after="60" w:line="264"/>
      </w:pPr>
      <w:r>
        <w:rPr>
          <w:color w:val="1B2C3D"/>
          <w:sz w:val="22"/>
          <w:szCs w:val="22"/>
        </w:rPr>
        <w:t xml:space="preserve">La part du Guide (90 %) lui est reversée par virement bancaire sous 3 à 7 jours ouvrés après la réalisation de la prestation.</w:t>
      </w:r>
    </w:p>
    <w:p>
      <w:pPr>
        <w:pStyle w:val="ListParagraph"/>
        <w:numPr>
          <w:ilvl w:val="0"/>
          <w:numId w:val="2"/>
        </w:numPr>
        <w:spacing w:after="60" w:line="264"/>
      </w:pPr>
      <w:r>
        <w:rPr>
          <w:color w:val="1B2C3D"/>
          <w:sz w:val="22"/>
          <w:szCs w:val="22"/>
        </w:rPr>
        <w:t xml:space="preserve">Le Guide, en tant qu'indépendant, est seul responsable de ses obligations fiscales et de l'émission de ses justificatifs. Israly émet une facture correspondant à sa commission.</w:t>
      </w:r>
    </w:p>
    <w:p>
      <w:pPr>
        <w:pStyle w:val="Heading1"/>
        <w:spacing w:after="120" w:before="280"/>
      </w:pPr>
      <w:r>
        <w:rPr>
          <w:b/>
          <w:bCs/>
          <w:color w:val="214F80"/>
          <w:sz w:val="28"/>
          <w:szCs w:val="28"/>
        </w:rPr>
        <w:t xml:space="preserve">4. Déroulé d'une réservation</w:t>
      </w:r>
    </w:p>
    <w:p>
      <w:pPr>
        <w:spacing w:after="120" w:line="276"/>
      </w:pPr>
      <w:r>
        <w:rPr>
          <w:color w:val="1B2C3D"/>
          <w:sz w:val="22"/>
          <w:szCs w:val="22"/>
        </w:rPr>
        <w:t xml:space="preserve">Demande du client → confirmation de disponibilité par le Guide → paiement du client → prestation → versement de la part du Guide. En cas d'indisponibilité, Israly peut proposer d'autres dates au client ou l'orienter vers un autre guide.</w:t>
      </w:r>
    </w:p>
    <w:p>
      <w:pPr>
        <w:pStyle w:val="Heading1"/>
        <w:spacing w:after="120" w:before="280"/>
      </w:pPr>
      <w:r>
        <w:rPr>
          <w:b/>
          <w:bCs/>
          <w:color w:val="214F80"/>
          <w:sz w:val="28"/>
          <w:szCs w:val="28"/>
        </w:rPr>
        <w:t xml:space="preserve">5. Annulation par le client</w:t>
      </w:r>
    </w:p>
    <w:p>
      <w:pPr>
        <w:spacing w:after="120" w:line="276"/>
      </w:pPr>
      <w:r>
        <w:rPr>
          <w:color w:val="1B2C3D"/>
          <w:sz w:val="22"/>
          <w:szCs w:val="22"/>
        </w:rPr>
        <w:t xml:space="preserve">Les conditions suivantes s'appliquent au client et déterminent le remboursement :</w:t>
      </w:r>
    </w:p>
    <w:tbl>
      <w:tblPr>
        <w:tblW w:type="dxa" w:w="9000"/>
        <w:tblBorders>
          <w:top w:val="single" w:color="E6E1D6" w:sz="4"/>
          <w:left w:val="single" w:color="E6E1D6" w:sz="4"/>
          <w:bottom w:val="single" w:color="E6E1D6" w:sz="4"/>
          <w:right w:val="single" w:color="E6E1D6" w:sz="4"/>
          <w:insideH w:val="single" w:color="E6E1D6" w:sz="4"/>
          <w:insideV w:val="single" w:color="E6E1D6" w:sz="4"/>
        </w:tblBorders>
      </w:tblPr>
      <w:tblGrid>
        <w:gridCol w:w="3200"/>
        <w:gridCol w:w="5800"/>
      </w:tblGrid>
      <w:tr>
        <w:trPr>
          <w:tblHeader/>
        </w:trPr>
        <w:tc>
          <w:tcPr>
            <w:tcW w:type="dxa" w:w="3200"/>
            <w:shd w:fill="EEF3F8" w:val="clear"/>
            <w:tcMar>
              <w:top w:type="dxa" w:w="80"/>
              <w:left w:type="dxa" w:w="120"/>
              <w:bottom w:type="dxa" w:w="80"/>
              <w:right w:type="dxa" w:w="120"/>
            </w:tcMar>
          </w:tcPr>
          <w:p>
            <w:r>
              <w:rPr>
                <w:b/>
                <w:bCs/>
                <w:color w:val="1B2C3D"/>
                <w:sz w:val="20"/>
                <w:szCs w:val="20"/>
              </w:rPr>
              <w:t xml:space="preserve">Délai avant la prestation</w:t>
            </w:r>
          </w:p>
        </w:tc>
        <w:tc>
          <w:tcPr>
            <w:tcW w:type="dxa" w:w="5800"/>
            <w:shd w:fill="EEF3F8" w:val="clear"/>
            <w:tcMar>
              <w:top w:type="dxa" w:w="80"/>
              <w:left w:type="dxa" w:w="120"/>
              <w:bottom w:type="dxa" w:w="80"/>
              <w:right w:type="dxa" w:w="120"/>
            </w:tcMar>
          </w:tcPr>
          <w:p>
            <w:r>
              <w:rPr>
                <w:b/>
                <w:bCs/>
                <w:color w:val="1B2C3D"/>
                <w:sz w:val="20"/>
                <w:szCs w:val="20"/>
              </w:rPr>
              <w:t xml:space="preserve">Conséquence</w:t>
            </w:r>
          </w:p>
        </w:tc>
      </w:tr>
      <w:tr>
        <w:trPr>
          <w:tblHeader w:val="false"/>
        </w:trPr>
        <w:tc>
          <w:tcPr>
            <w:tcW w:type="dxa" w:w="3200"/>
            <w:tcMar>
              <w:top w:type="dxa" w:w="80"/>
              <w:left w:type="dxa" w:w="120"/>
              <w:bottom w:type="dxa" w:w="80"/>
              <w:right w:type="dxa" w:w="120"/>
            </w:tcMar>
          </w:tcPr>
          <w:p>
            <w:r>
              <w:rPr>
                <w:b w:val="false"/>
                <w:bCs w:val="false"/>
                <w:color w:val="1B2C3D"/>
                <w:sz w:val="20"/>
                <w:szCs w:val="20"/>
              </w:rPr>
              <w:t xml:space="preserve">Plus de 24 h</w:t>
            </w:r>
          </w:p>
        </w:tc>
        <w:tc>
          <w:tcPr>
            <w:tcW w:type="dxa" w:w="5800"/>
            <w:tcMar>
              <w:top w:type="dxa" w:w="80"/>
              <w:left w:type="dxa" w:w="120"/>
              <w:bottom w:type="dxa" w:w="80"/>
              <w:right w:type="dxa" w:w="120"/>
            </w:tcMar>
          </w:tcPr>
          <w:p>
            <w:r>
              <w:rPr>
                <w:b w:val="false"/>
                <w:bCs w:val="false"/>
                <w:color w:val="1B2C3D"/>
                <w:sz w:val="20"/>
                <w:szCs w:val="20"/>
              </w:rPr>
              <w:t xml:space="preserve">Remboursement intégral (hors éventuels frais de paiement).</w:t>
            </w:r>
          </w:p>
        </w:tc>
      </w:tr>
      <w:tr>
        <w:trPr>
          <w:tblHeader w:val="false"/>
        </w:trPr>
        <w:tc>
          <w:tcPr>
            <w:tcW w:type="dxa" w:w="3200"/>
            <w:tcMar>
              <w:top w:type="dxa" w:w="80"/>
              <w:left w:type="dxa" w:w="120"/>
              <w:bottom w:type="dxa" w:w="80"/>
              <w:right w:type="dxa" w:w="120"/>
            </w:tcMar>
          </w:tcPr>
          <w:p>
            <w:r>
              <w:rPr>
                <w:b w:val="false"/>
                <w:bCs w:val="false"/>
                <w:color w:val="1B2C3D"/>
                <w:sz w:val="20"/>
                <w:szCs w:val="20"/>
              </w:rPr>
              <w:t xml:space="preserve">Moins de 24 h ou absence (no-show)</w:t>
            </w:r>
          </w:p>
        </w:tc>
        <w:tc>
          <w:tcPr>
            <w:tcW w:type="dxa" w:w="5800"/>
            <w:tcMar>
              <w:top w:type="dxa" w:w="80"/>
              <w:left w:type="dxa" w:w="120"/>
              <w:bottom w:type="dxa" w:w="80"/>
              <w:right w:type="dxa" w:w="120"/>
            </w:tcMar>
          </w:tcPr>
          <w:p>
            <w:r>
              <w:rPr>
                <w:b w:val="false"/>
                <w:bCs w:val="false"/>
                <w:color w:val="1B2C3D"/>
                <w:sz w:val="20"/>
                <w:szCs w:val="20"/>
              </w:rPr>
              <w:t xml:space="preserve">Aucun remboursement. Le Guide perçoit sa part au titre du créneau réservé, déduction faite de la commission Israly.</w:t>
            </w:r>
          </w:p>
        </w:tc>
      </w:tr>
    </w:tbl>
    <w:p>
      <w:pPr>
        <w:spacing w:after="80"/>
      </w:pPr>
      <w:r>
        <w:rPr>
          <w:i/>
          <w:iCs/>
          <w:color w:val="586B7D"/>
          <w:sz w:val="18"/>
          <w:szCs w:val="18"/>
        </w:rPr>
        <w:t xml:space="preserve">À adapter selon ta politique : tu peux ajouter un palier intermédiaire (ex. remboursement 50 % entre 48 h et 24 h).</w:t>
      </w:r>
    </w:p>
    <w:p>
      <w:pPr>
        <w:pStyle w:val="Heading1"/>
        <w:spacing w:after="120" w:before="280"/>
      </w:pPr>
      <w:r>
        <w:rPr>
          <w:b/>
          <w:bCs/>
          <w:color w:val="214F80"/>
          <w:sz w:val="28"/>
          <w:szCs w:val="28"/>
        </w:rPr>
        <w:t xml:space="preserve">6. Annulation par le Guide</w:t>
      </w:r>
    </w:p>
    <w:p>
      <w:pPr>
        <w:spacing w:after="120" w:line="276"/>
      </w:pPr>
      <w:r>
        <w:rPr>
          <w:color w:val="1B2C3D"/>
          <w:sz w:val="22"/>
          <w:szCs w:val="22"/>
        </w:rPr>
        <w:t xml:space="preserve">Le Guide s'engage à honorer toute réservation qu'il a confirmée. Une annulation de sa part nuit directement au voyageur et à la réputation d'Israly.</w:t>
      </w:r>
    </w:p>
    <w:tbl>
      <w:tblPr>
        <w:tblW w:type="dxa" w:w="9000"/>
        <w:tblBorders>
          <w:top w:val="single" w:color="E6E1D6" w:sz="4"/>
          <w:left w:val="single" w:color="E6E1D6" w:sz="4"/>
          <w:bottom w:val="single" w:color="E6E1D6" w:sz="4"/>
          <w:right w:val="single" w:color="E6E1D6" w:sz="4"/>
          <w:insideH w:val="single" w:color="E6E1D6" w:sz="4"/>
          <w:insideV w:val="single" w:color="E6E1D6" w:sz="4"/>
        </w:tblBorders>
      </w:tblPr>
      <w:tblGrid>
        <w:gridCol w:w="3200"/>
        <w:gridCol w:w="5800"/>
      </w:tblGrid>
      <w:tr>
        <w:trPr>
          <w:tblHeader/>
        </w:trPr>
        <w:tc>
          <w:tcPr>
            <w:tcW w:type="dxa" w:w="3200"/>
            <w:shd w:fill="EEF3F8" w:val="clear"/>
            <w:tcMar>
              <w:top w:type="dxa" w:w="80"/>
              <w:left w:type="dxa" w:w="120"/>
              <w:bottom w:type="dxa" w:w="80"/>
              <w:right w:type="dxa" w:w="120"/>
            </w:tcMar>
          </w:tcPr>
          <w:p>
            <w:r>
              <w:rPr>
                <w:b/>
                <w:bCs/>
                <w:color w:val="1B2C3D"/>
                <w:sz w:val="20"/>
                <w:szCs w:val="20"/>
              </w:rPr>
              <w:t xml:space="preserve">Situation</w:t>
            </w:r>
          </w:p>
        </w:tc>
        <w:tc>
          <w:tcPr>
            <w:tcW w:type="dxa" w:w="5800"/>
            <w:shd w:fill="EEF3F8" w:val="clear"/>
            <w:tcMar>
              <w:top w:type="dxa" w:w="80"/>
              <w:left w:type="dxa" w:w="120"/>
              <w:bottom w:type="dxa" w:w="80"/>
              <w:right w:type="dxa" w:w="120"/>
            </w:tcMar>
          </w:tcPr>
          <w:p>
            <w:r>
              <w:rPr>
                <w:b/>
                <w:bCs/>
                <w:color w:val="1B2C3D"/>
                <w:sz w:val="20"/>
                <w:szCs w:val="20"/>
              </w:rPr>
              <w:t xml:space="preserve">Conséquence</w:t>
            </w:r>
          </w:p>
        </w:tc>
      </w:tr>
      <w:tr>
        <w:trPr>
          <w:tblHeader w:val="false"/>
        </w:trPr>
        <w:tc>
          <w:tcPr>
            <w:tcW w:type="dxa" w:w="3200"/>
            <w:tcMar>
              <w:top w:type="dxa" w:w="80"/>
              <w:left w:type="dxa" w:w="120"/>
              <w:bottom w:type="dxa" w:w="80"/>
              <w:right w:type="dxa" w:w="120"/>
            </w:tcMar>
          </w:tcPr>
          <w:p>
            <w:r>
              <w:rPr>
                <w:b w:val="false"/>
                <w:bCs w:val="false"/>
                <w:color w:val="1B2C3D"/>
                <w:sz w:val="20"/>
                <w:szCs w:val="20"/>
              </w:rPr>
              <w:t xml:space="preserve">Annulation plus de 48 h avant</w:t>
            </w:r>
          </w:p>
        </w:tc>
        <w:tc>
          <w:tcPr>
            <w:tcW w:type="dxa" w:w="5800"/>
            <w:tcMar>
              <w:top w:type="dxa" w:w="80"/>
              <w:left w:type="dxa" w:w="120"/>
              <w:bottom w:type="dxa" w:w="80"/>
              <w:right w:type="dxa" w:w="120"/>
            </w:tcMar>
          </w:tcPr>
          <w:p>
            <w:r>
              <w:rPr>
                <w:b w:val="false"/>
                <w:bCs w:val="false"/>
                <w:color w:val="1B2C3D"/>
                <w:sz w:val="20"/>
                <w:szCs w:val="20"/>
              </w:rPr>
              <w:t xml:space="preserve">Tolérée ponctuellement ; Israly recherche une solution (autre date ou guide).</w:t>
            </w:r>
          </w:p>
        </w:tc>
      </w:tr>
      <w:tr>
        <w:trPr>
          <w:tblHeader w:val="false"/>
        </w:trPr>
        <w:tc>
          <w:tcPr>
            <w:tcW w:type="dxa" w:w="3200"/>
            <w:tcMar>
              <w:top w:type="dxa" w:w="80"/>
              <w:left w:type="dxa" w:w="120"/>
              <w:bottom w:type="dxa" w:w="80"/>
              <w:right w:type="dxa" w:w="120"/>
            </w:tcMar>
          </w:tcPr>
          <w:p>
            <w:r>
              <w:rPr>
                <w:b w:val="false"/>
                <w:bCs w:val="false"/>
                <w:color w:val="1B2C3D"/>
                <w:sz w:val="20"/>
                <w:szCs w:val="20"/>
              </w:rPr>
              <w:t xml:space="preserve">Annulation tardive (&lt; 48 h) ou no-show sans motif valable</w:t>
            </w:r>
          </w:p>
        </w:tc>
        <w:tc>
          <w:tcPr>
            <w:tcW w:type="dxa" w:w="5800"/>
            <w:tcMar>
              <w:top w:type="dxa" w:w="80"/>
              <w:left w:type="dxa" w:w="120"/>
              <w:bottom w:type="dxa" w:w="80"/>
              <w:right w:type="dxa" w:w="120"/>
            </w:tcMar>
          </w:tcPr>
          <w:p>
            <w:r>
              <w:rPr>
                <w:b w:val="false"/>
                <w:bCs w:val="false"/>
                <w:color w:val="1B2C3D"/>
                <w:sz w:val="20"/>
                <w:szCs w:val="20"/>
              </w:rPr>
              <w:t xml:space="preserve">Le Guide s'engage à aider à trouver un remplaçant et peut prendre en charge les frais de réorganisation. Israly peut appliquer un avertissement, une suspension temporaire, ou le retrait du profil en cas de récidive.</w:t>
            </w:r>
          </w:p>
        </w:tc>
      </w:tr>
    </w:tbl>
    <w:p>
      <w:pPr>
        <w:pStyle w:val="Heading1"/>
        <w:spacing w:after="120" w:before="280"/>
      </w:pPr>
      <w:r>
        <w:rPr>
          <w:b/>
          <w:bCs/>
          <w:color w:val="214F80"/>
          <w:sz w:val="28"/>
          <w:szCs w:val="28"/>
        </w:rPr>
        <w:t xml:space="preserve">7. Obligations du Guide</w:t>
      </w:r>
    </w:p>
    <w:p>
      <w:pPr>
        <w:pStyle w:val="ListParagraph"/>
        <w:numPr>
          <w:ilvl w:val="0"/>
          <w:numId w:val="2"/>
        </w:numPr>
        <w:spacing w:after="60" w:line="264"/>
      </w:pPr>
      <w:r>
        <w:rPr>
          <w:color w:val="1B2C3D"/>
          <w:sz w:val="22"/>
          <w:szCs w:val="22"/>
        </w:rPr>
        <w:t xml:space="preserve">Détenir une licence de guide touristique valide délivrée par le Ministère du Tourisme israélien, ainsi que les assurances requises.</w:t>
      </w:r>
    </w:p>
    <w:p>
      <w:pPr>
        <w:pStyle w:val="ListParagraph"/>
        <w:numPr>
          <w:ilvl w:val="0"/>
          <w:numId w:val="2"/>
        </w:numPr>
        <w:spacing w:after="60" w:line="264"/>
      </w:pPr>
      <w:r>
        <w:rPr>
          <w:color w:val="1B2C3D"/>
          <w:sz w:val="22"/>
          <w:szCs w:val="22"/>
        </w:rPr>
        <w:t xml:space="preserve">Fournir des informations exactes (langues, régions, spécialités, tarifs, itinéraires) et les tenir à jour.</w:t>
      </w:r>
    </w:p>
    <w:p>
      <w:pPr>
        <w:pStyle w:val="ListParagraph"/>
        <w:numPr>
          <w:ilvl w:val="0"/>
          <w:numId w:val="2"/>
        </w:numPr>
        <w:spacing w:after="60" w:line="264"/>
      </w:pPr>
      <w:r>
        <w:rPr>
          <w:color w:val="1B2C3D"/>
          <w:sz w:val="22"/>
          <w:szCs w:val="22"/>
        </w:rPr>
        <w:t xml:space="preserve">Assurer une prestation ponctuelle, professionnelle et respectueuse des voyageurs.</w:t>
      </w:r>
    </w:p>
    <w:p>
      <w:pPr>
        <w:pStyle w:val="ListParagraph"/>
        <w:numPr>
          <w:ilvl w:val="0"/>
          <w:numId w:val="2"/>
        </w:numPr>
        <w:spacing w:after="60" w:line="264"/>
      </w:pPr>
      <w:r>
        <w:rPr>
          <w:color w:val="1B2C3D"/>
          <w:sz w:val="22"/>
          <w:szCs w:val="22"/>
        </w:rPr>
        <w:t xml:space="preserve">Ne pas contourner la plateforme pour traiter en direct un client rencontré via Israly.</w:t>
      </w:r>
    </w:p>
    <w:p>
      <w:pPr>
        <w:pStyle w:val="ListParagraph"/>
        <w:numPr>
          <w:ilvl w:val="0"/>
          <w:numId w:val="2"/>
        </w:numPr>
        <w:spacing w:after="60" w:line="264"/>
      </w:pPr>
      <w:r>
        <w:rPr>
          <w:color w:val="1B2C3D"/>
          <w:sz w:val="22"/>
          <w:szCs w:val="22"/>
        </w:rPr>
        <w:t xml:space="preserve">Respecter la législation applicable et les règles de sécurité.</w:t>
      </w:r>
    </w:p>
    <w:p>
      <w:pPr>
        <w:pStyle w:val="Heading1"/>
        <w:spacing w:after="120" w:before="280"/>
      </w:pPr>
      <w:r>
        <w:rPr>
          <w:b/>
          <w:bCs/>
          <w:color w:val="214F80"/>
          <w:sz w:val="28"/>
          <w:szCs w:val="28"/>
        </w:rPr>
        <w:t xml:space="preserve">8. Profil et image</w:t>
      </w:r>
    </w:p>
    <w:p>
      <w:pPr>
        <w:spacing w:after="120" w:line="276"/>
      </w:pPr>
      <w:r>
        <w:rPr>
          <w:color w:val="1B2C3D"/>
          <w:sz w:val="22"/>
          <w:szCs w:val="22"/>
        </w:rPr>
        <w:t xml:space="preserve">Le Guide fournit le contenu de son profil. Israly se réserve la gestion de l'esthétique (mise en page, choix et recadrage des photos affichées publiquement) afin de garantir une présentation homogène sur la plateforme.</w:t>
      </w:r>
    </w:p>
    <w:p>
      <w:pPr>
        <w:pStyle w:val="Heading1"/>
        <w:spacing w:after="120" w:before="280"/>
      </w:pPr>
      <w:r>
        <w:rPr>
          <w:b/>
          <w:bCs/>
          <w:color w:val="214F80"/>
          <w:sz w:val="28"/>
          <w:szCs w:val="28"/>
        </w:rPr>
        <w:t xml:space="preserve">9. Données personnelles</w:t>
      </w:r>
    </w:p>
    <w:p>
      <w:pPr>
        <w:spacing w:after="120" w:line="276"/>
      </w:pPr>
      <w:r>
        <w:rPr>
          <w:color w:val="1B2C3D"/>
          <w:sz w:val="22"/>
          <w:szCs w:val="22"/>
        </w:rPr>
        <w:t xml:space="preserve">Israly traite les données du Guide et des clients dans le seul cadre du service (réservation, paiement, support) et conformément à la réglementation applicable en matière de protection des données. Aucune donnée bancaire de client n'est stockée par Israly ni par le Guide : le paiement est géré par un prestataire certifié.</w:t>
      </w:r>
    </w:p>
    <w:p>
      <w:pPr>
        <w:pStyle w:val="Heading1"/>
        <w:spacing w:after="120" w:before="280"/>
      </w:pPr>
      <w:r>
        <w:rPr>
          <w:b/>
          <w:bCs/>
          <w:color w:val="214F80"/>
          <w:sz w:val="28"/>
          <w:szCs w:val="28"/>
        </w:rPr>
        <w:t xml:space="preserve">10. Durée, résiliation et droit applicable</w:t>
      </w:r>
    </w:p>
    <w:p>
      <w:pPr>
        <w:pStyle w:val="ListParagraph"/>
        <w:numPr>
          <w:ilvl w:val="0"/>
          <w:numId w:val="2"/>
        </w:numPr>
        <w:spacing w:after="60" w:line="264"/>
      </w:pPr>
      <w:r>
        <w:rPr>
          <w:color w:val="1B2C3D"/>
          <w:sz w:val="22"/>
          <w:szCs w:val="22"/>
        </w:rPr>
        <w:t xml:space="preserve">Le partenariat est conclu sans engagement de durée ; chaque partie peut y mettre fin moyennant un préavis raisonnable, sous réserve d'honorer les réservations déjà confirmées.</w:t>
      </w:r>
    </w:p>
    <w:p>
      <w:pPr>
        <w:pStyle w:val="ListParagraph"/>
        <w:numPr>
          <w:ilvl w:val="0"/>
          <w:numId w:val="2"/>
        </w:numPr>
        <w:spacing w:after="60" w:line="264"/>
      </w:pPr>
      <w:r>
        <w:rPr>
          <w:color w:val="1B2C3D"/>
          <w:sz w:val="22"/>
          <w:szCs w:val="22"/>
        </w:rPr>
        <w:t xml:space="preserve">Les présentes conditions sont régies par le droit israélien ; tout litige relève des juridictions compétentes en Israël.</w:t>
      </w:r>
    </w:p>
    <w:p>
      <w:pPr>
        <w:pBdr>
          <w:top w:val="single" w:color="E6E1D6" w:sz="6" w:space="8"/>
        </w:pBdr>
        <w:spacing w:after="120" w:before="260"/>
      </w:pPr>
      <w:r>
        <w:rPr>
          <w:b/>
          <w:bCs/>
          <w:color w:val="214F80"/>
          <w:sz w:val="24"/>
          <w:szCs w:val="24"/>
        </w:rPr>
        <w:t xml:space="preserve">Acceptation</w:t>
      </w:r>
    </w:p>
    <w:p>
      <w:pPr>
        <w:spacing w:after="120" w:line="276"/>
      </w:pPr>
      <w:r>
        <w:rPr>
          <w:color w:val="1B2C3D"/>
          <w:sz w:val="22"/>
          <w:szCs w:val="22"/>
        </w:rPr>
        <w:t xml:space="preserve">En créant son compte guide sur Israly, le Guide reconnaît avoir lu et accepté les présentes conditions.</w:t>
      </w:r>
    </w:p>
    <w:p>
      <w:pPr>
        <w:spacing w:before="200"/>
      </w:pPr>
      <w:r>
        <w:rPr>
          <w:color w:val="1B2C3D"/>
          <w:sz w:val="22"/>
          <w:szCs w:val="22"/>
        </w:rPr>
        <w:t xml:space="preserve">Nom du guide : __________________________        Date : ______________</w:t>
      </w:r>
    </w:p>
    <w:p>
      <w:pPr>
        <w:spacing w:before="160"/>
      </w:pPr>
      <w:r>
        <w:rPr>
          <w:color w:val="1B2C3D"/>
          <w:sz w:val="22"/>
          <w:szCs w:val="22"/>
        </w:rPr>
        <w:t xml:space="preserve">Signature : __________________________</w:t>
      </w:r>
    </w:p>
    <w:p>
      <w:pPr>
        <w:spacing w:before="300"/>
      </w:pPr>
      <w:r>
        <w:rPr>
          <w:i/>
          <w:iCs/>
          <w:color w:val="586B7D"/>
          <w:sz w:val="18"/>
          <w:szCs w:val="18"/>
        </w:rPr>
        <w:t xml:space="preserve">Avertissement : ce document est un modèle destiné à cadrer la relation commerciale. Il ne constitue pas un avis juridique. La législation israélienne (notamment la loi sur la protection du consommateur concernant les annulations, et l'obligation de licence des guides) impose des règles spécifiques — fais relire et valider ce document par un avocat avant de l'utiliser en conditions réelles.</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86B7D"/>
        <w:sz w:val="16"/>
        <w:szCs w:val="16"/>
      </w:rPr>
      <w:t xml:space="preserve">Israly · tours &amp; local guides in Israel · </w:t>
    </w:r>
    <w:r>
      <w:rPr>
        <w:color w:val="586B7D"/>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214F80"/>
        <w:sz w:val="20"/>
        <w:szCs w:val="20"/>
      </w:rPr>
      <w:t xml:space="preserve">ISRALY</w:t>
    </w:r>
    <w:r>
      <w:rPr>
        <w:color w:val="586B7D"/>
        <w:sz w:val="18"/>
        <w:szCs w:val="18"/>
      </w:rPr>
      <w:t xml:space="preserve">  —  Conditions Partenaires Guides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2026-07-07T12:07:33.268Z</dcterms:created>
  <dcterms:modified xsi:type="dcterms:W3CDTF">2026-07-07T12:07:33.268Z</dcterms:modified>
</cp:coreProperties>
</file>

<file path=docProps/custom.xml><?xml version="1.0" encoding="utf-8"?>
<Properties xmlns="http://schemas.openxmlformats.org/officeDocument/2006/custom-properties" xmlns:vt="http://schemas.openxmlformats.org/officeDocument/2006/docPropsVTypes"/>
</file>