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Calibri" w:cs="Calibri" w:eastAsia="Calibri" w:hAnsi="Calibri"/>
          <w:b/>
          <w:bCs/>
          <w:color w:val="1F497D"/>
          <w:sz w:val="32"/>
          <w:szCs w:val="32"/>
        </w:rPr>
        <w:t xml:space="preserve">AEL — Technical Blueprint (v2)</w:t>
      </w:r>
    </w:p>
    <w:p>
      <w:pPr>
        <w:pBdr>
          <w:left w:val="single" w:color="4F81BD" w:sz="12" w:space="8"/>
        </w:pBdr>
        <w:spacing w:after="200" w:before="100"/>
        <w:ind w:left="215"/>
      </w:pPr>
      <w:r>
        <w:rPr>
          <w:rFonts w:ascii="Calibri" w:cs="Calibri" w:eastAsia="Calibri" w:hAnsi="Calibri"/>
          <w:i/>
          <w:iCs/>
          <w:color w:val="444444"/>
          <w:sz w:val="20"/>
          <w:szCs w:val="20"/>
        </w:rPr>
        <w:t xml:space="preserve">Revision note (this version): two gaps from the first Technical Blueprint are fixed here. (1) It now names the exact stage that checks a source against the Assignment 2 quality criteria — the Socratic feedback on Assignment 2 asked which blueprint part does this, and the honest answer in v1 was none of them. (2) It replaces the old static-config / JSON-contract description with the wiki-based architecture (raw/, wiki/, AGENTS.md) the team adopted in Week 5 (Decision 3, Evaluation &amp; Decision Log), which v1 never reflected.</w:t>
      </w:r>
    </w:p>
    <w:p>
      <w:pPr>
        <w:pStyle w:val="Heading2"/>
        <w:spacing w:after="80" w:before="200"/>
      </w:pPr>
      <w:r>
        <w:rPr>
          <w:rFonts w:ascii="Calibri" w:cs="Calibri" w:eastAsia="Calibri" w:hAnsi="Calibri"/>
          <w:b/>
          <w:bCs/>
          <w:color w:val="1F497D"/>
          <w:sz w:val="26"/>
          <w:szCs w:val="26"/>
        </w:rPr>
        <w:t xml:space="preserve">1. The Parts</w:t>
      </w:r>
    </w:p>
    <w:p>
      <w:pPr>
        <w:pStyle w:val="ListParagraph"/>
        <w:numPr>
          <w:ilvl w:val="0"/>
          <w:numId w:val="1"/>
        </w:numPr>
        <w:spacing w:after="80"/>
      </w:pPr>
      <w:r>
        <w:rPr>
          <w:rFonts w:ascii="Calibri" w:cs="Calibri" w:eastAsia="Calibri" w:hAnsi="Calibri"/>
          <w:b/>
          <w:bCs/>
          <w:sz w:val="22"/>
          <w:szCs w:val="22"/>
        </w:rPr>
        <w:t xml:space="preserve">The Context Layer: </w:t>
      </w:r>
      <w:r>
        <w:rPr>
          <w:rFonts w:ascii="Calibri" w:cs="Calibri" w:eastAsia="Calibri" w:hAnsi="Calibri"/>
          <w:sz w:val="22"/>
          <w:szCs w:val="22"/>
        </w:rPr>
        <w:t xml:space="preserve">the segment profile — mid-sized, seasonal Dutch/Benelux wholesalers with high product-variant complexity, broken size runs, and club/league calendar-driven ordering cycles — and the unified quality criteria (Maturity Tiers, ROI anchors, source-quality rubric, security limitations) now live in AGENTS.md, the single shared rules file every part of the pipeline reads before acting. This replaces the earlier static configuration file.</w:t>
      </w:r>
    </w:p>
    <w:p>
      <w:pPr>
        <w:pStyle w:val="ListParagraph"/>
        <w:numPr>
          <w:ilvl w:val="0"/>
          <w:numId w:val="1"/>
        </w:numPr>
        <w:spacing w:after="80"/>
      </w:pPr>
      <w:r>
        <w:rPr>
          <w:rFonts w:ascii="Calibri" w:cs="Calibri" w:eastAsia="Calibri" w:hAnsi="Calibri"/>
          <w:b/>
          <w:bCs/>
          <w:sz w:val="22"/>
          <w:szCs w:val="22"/>
        </w:rPr>
        <w:t xml:space="preserve">Quality Appraisal (new in v2): </w:t>
      </w:r>
      <w:r>
        <w:rPr>
          <w:rFonts w:ascii="Calibri" w:cs="Calibri" w:eastAsia="Calibri" w:hAnsi="Calibri"/>
          <w:sz w:val="22"/>
          <w:szCs w:val="22"/>
        </w:rPr>
        <w:t xml:space="preserve">before anything is extracted, each candidate source is scored against the four Assignment 2 quality criteria — Institutional Authority, Thematic &amp; Geographic Relevance, Timeliness, Methodological Transparency — on the 0–2 scale defined there, reading the scoring rule from AGENTS.md. A source scoring 0 on Institutional Authority or Methodological Transparency is excluded outright and never reaches Ingestion &amp; Translation or Appraisal &amp; Extraction. This is the step named in response to the Socratic feedback on Assignment 2, question 5.</w:t>
      </w:r>
    </w:p>
    <w:p>
      <w:pPr>
        <w:pStyle w:val="ListParagraph"/>
        <w:numPr>
          <w:ilvl w:val="0"/>
          <w:numId w:val="1"/>
        </w:numPr>
        <w:spacing w:after="80"/>
      </w:pPr>
      <w:r>
        <w:rPr>
          <w:rFonts w:ascii="Calibri" w:cs="Calibri" w:eastAsia="Calibri" w:hAnsi="Calibri"/>
          <w:b/>
          <w:bCs/>
          <w:sz w:val="22"/>
          <w:szCs w:val="22"/>
        </w:rPr>
        <w:t xml:space="preserve">Ingestion &amp; Translation: </w:t>
      </w:r>
      <w:r>
        <w:rPr>
          <w:rFonts w:ascii="Calibri" w:cs="Calibri" w:eastAsia="Calibri" w:hAnsi="Calibri"/>
          <w:sz w:val="22"/>
          <w:szCs w:val="22"/>
        </w:rPr>
        <w:t xml:space="preserve">an LLM call translates raw inputs (Dutch URLs, text files, or transcript text) that passed Quality Appraisal into technical B1/B2 English and strips unnecessary market noise, tagging vendor jurisdiction/ownership (EU vs. US/Chinese vendor, data-residency and CLOUD Act exposure) and internal AI-maturity signals. Only interview transcripts, not desk-research documents, can supply the internal AI-maturity signal, since it depends on what the company's own people say, not on published material.</w:t>
      </w:r>
    </w:p>
    <w:p>
      <w:pPr>
        <w:pStyle w:val="ListParagraph"/>
        <w:numPr>
          <w:ilvl w:val="0"/>
          <w:numId w:val="1"/>
        </w:numPr>
        <w:spacing w:after="80"/>
      </w:pPr>
      <w:r>
        <w:rPr>
          <w:rFonts w:ascii="Calibri" w:cs="Calibri" w:eastAsia="Calibri" w:hAnsi="Calibri"/>
          <w:b/>
          <w:bCs/>
          <w:sz w:val="22"/>
          <w:szCs w:val="22"/>
        </w:rPr>
        <w:t xml:space="preserve">Appraisal &amp; Extraction: </w:t>
      </w:r>
      <w:r>
        <w:rPr>
          <w:rFonts w:ascii="Calibri" w:cs="Calibri" w:eastAsia="Calibri" w:hAnsi="Calibri"/>
          <w:sz w:val="22"/>
          <w:szCs w:val="22"/>
        </w:rPr>
        <w:t xml:space="preserve">only information pertinent to amateur teamwear operational KPIs (such as cut-to-ship cycles and fabric waste) is extracted by comparing the translated language to the Context Layer. Each surviving source becomes its own page under wiki/, carrying its quality-rubric score, its source id, and its extracted facts.</w:t>
      </w:r>
    </w:p>
    <w:p>
      <w:pPr>
        <w:pStyle w:val="ListParagraph"/>
        <w:numPr>
          <w:ilvl w:val="0"/>
          <w:numId w:val="1"/>
        </w:numPr>
        <w:spacing w:after="80"/>
      </w:pPr>
      <w:r>
        <w:rPr>
          <w:rFonts w:ascii="Calibri" w:cs="Calibri" w:eastAsia="Calibri" w:hAnsi="Calibri"/>
          <w:b/>
          <w:bCs/>
          <w:sz w:val="22"/>
          <w:szCs w:val="22"/>
        </w:rPr>
        <w:t xml:space="preserve">Drafting: </w:t>
      </w:r>
      <w:r>
        <w:rPr>
          <w:rFonts w:ascii="Calibri" w:cs="Calibri" w:eastAsia="Calibri" w:hAnsi="Calibri"/>
          <w:sz w:val="22"/>
          <w:szCs w:val="22"/>
        </w:rPr>
        <w:t xml:space="preserve">a team member selects the specific wiki/ pages relevant to a chapter; Drafting opens exactly those pages and organizes the extracted insights into our standard Markdown handbook template, enforcing the "minimum 2 text pages before a graphic" requirement. Every claim in the draft is tagged with the id of the wiki page it came from.</w:t>
      </w:r>
    </w:p>
    <w:p>
      <w:pPr>
        <w:pStyle w:val="ListParagraph"/>
        <w:numPr>
          <w:ilvl w:val="0"/>
          <w:numId w:val="1"/>
        </w:numPr>
        <w:spacing w:after="80"/>
      </w:pPr>
      <w:r>
        <w:rPr>
          <w:rFonts w:ascii="Calibri" w:cs="Calibri" w:eastAsia="Calibri" w:hAnsi="Calibri"/>
          <w:b/>
          <w:bCs/>
          <w:sz w:val="22"/>
          <w:szCs w:val="22"/>
        </w:rPr>
        <w:t xml:space="preserve">Evaluation Pipeline: </w:t>
      </w:r>
      <w:r>
        <w:rPr>
          <w:rFonts w:ascii="Calibri" w:cs="Calibri" w:eastAsia="Calibri" w:hAnsi="Calibri"/>
          <w:sz w:val="22"/>
          <w:szCs w:val="22"/>
        </w:rPr>
        <w:t xml:space="preserve">three automated checks run before a draft can reach a human: (1) Flesch-Kincaid readability scoring and confirmation that the required "Quick-Start Action Sheet" is present; (2) python3 tools/lint.py, which checks every quoted passage on a wiki/ page against the original file in raw/ to catch an invented quote; (3) wiki/log.md, which records every page read and every passage used for a given query, so a claim can always be traced back.</w:t>
      </w:r>
    </w:p>
    <w:p>
      <w:pPr>
        <w:pStyle w:val="ListParagraph"/>
        <w:numPr>
          <w:ilvl w:val="0"/>
          <w:numId w:val="1"/>
        </w:numPr>
        <w:spacing w:after="80"/>
      </w:pPr>
      <w:r>
        <w:rPr>
          <w:rFonts w:ascii="Calibri" w:cs="Calibri" w:eastAsia="Calibri" w:hAnsi="Calibri"/>
          <w:b/>
          <w:bCs/>
          <w:sz w:val="22"/>
          <w:szCs w:val="22"/>
        </w:rPr>
        <w:t xml:space="preserve">Review &amp; Publish: </w:t>
      </w:r>
      <w:r>
        <w:rPr>
          <w:rFonts w:ascii="Calibri" w:cs="Calibri" w:eastAsia="Calibri" w:hAnsi="Calibri"/>
          <w:sz w:val="22"/>
          <w:szCs w:val="22"/>
        </w:rPr>
        <w:t xml:space="preserve">before performing the git commit and git push to the GitHub Pages wiki, a human evaluates the final Markdown. Nothing is published on an automated pass alone.</w:t>
      </w:r>
    </w:p>
    <w:p>
      <w:pPr>
        <w:pStyle w:val="Heading2"/>
        <w:spacing w:after="80" w:before="200"/>
      </w:pPr>
      <w:r>
        <w:rPr>
          <w:rFonts w:ascii="Calibri" w:cs="Calibri" w:eastAsia="Calibri" w:hAnsi="Calibri"/>
          <w:b/>
          <w:bCs/>
          <w:color w:val="1F497D"/>
          <w:sz w:val="26"/>
          <w:szCs w:val="26"/>
        </w:rPr>
        <w:t xml:space="preserve">2. What passes between the parts</w:t>
      </w:r>
    </w:p>
    <w:p>
      <w:pPr>
        <w:spacing w:after="140"/>
      </w:pPr>
      <w:r>
        <w:rPr>
          <w:rFonts w:ascii="Calibri" w:cs="Calibri" w:eastAsia="Calibri" w:hAnsi="Calibri"/>
          <w:sz w:val="22"/>
          <w:szCs w:val="22"/>
        </w:rPr>
        <w:t xml:space="preserve">Since the Week 5 move to the wiki template, the contract between Appraisal and Drafting is no longer a single JSON file. Each appraised source becomes its own page under wiki/, carrying its quality-rubric scores, its source id, and its extracted facts; Drafting opens the specific wiki pages a team member selects for a chapter, and every claim in the draft is tagged with the wiki page it came from. wiki/log.md is the running record of which pages were read and which passages were used.</w:t>
      </w:r>
    </w:p>
    <w:p>
      <w:pPr>
        <w:pStyle w:val="Heading2"/>
        <w:spacing w:after="80" w:before="200"/>
      </w:pPr>
      <w:r>
        <w:rPr>
          <w:rFonts w:ascii="Calibri" w:cs="Calibri" w:eastAsia="Calibri" w:hAnsi="Calibri"/>
          <w:b/>
          <w:bCs/>
          <w:color w:val="1F497D"/>
          <w:sz w:val="26"/>
          <w:szCs w:val="26"/>
        </w:rPr>
        <w:t xml:space="preserve">3. The boundary that nothing can pass</w:t>
      </w:r>
    </w:p>
    <w:p>
      <w:pPr>
        <w:spacing w:after="140"/>
      </w:pPr>
      <w:r>
        <w:rPr>
          <w:rFonts w:ascii="Calibri" w:cs="Calibri" w:eastAsia="Calibri" w:hAnsi="Calibri"/>
          <w:sz w:val="22"/>
          <w:szCs w:val="22"/>
        </w:rPr>
        <w:t xml:space="preserve">All unanonymized interview audio recordings from the site visit and proprietary corporate data (such as actual historical ERP sales numbers) must be locally anonymized before being uploaded to any public or external LLM API. Raw interview material is never written into wiki/; it stays in raw/ until a team member has anonymized it by hand, matching the rule in the Knowledge Architecture document.</w:t>
      </w:r>
    </w:p>
    <w:p>
      <w:pPr>
        <w:pStyle w:val="Heading2"/>
        <w:spacing w:after="80" w:before="200"/>
      </w:pPr>
      <w:r>
        <w:rPr>
          <w:rFonts w:ascii="Calibri" w:cs="Calibri" w:eastAsia="Calibri" w:hAnsi="Calibri"/>
          <w:b/>
          <w:bCs/>
          <w:color w:val="1F497D"/>
          <w:sz w:val="26"/>
          <w:szCs w:val="26"/>
        </w:rPr>
        <w:t xml:space="preserve">4. The PRD trace</w:t>
      </w:r>
    </w:p>
    <w:p>
      <w:pPr>
        <w:pStyle w:val="ListParagraph"/>
        <w:numPr>
          <w:ilvl w:val="0"/>
          <w:numId w:val="1"/>
        </w:numPr>
        <w:spacing w:after="80"/>
      </w:pPr>
      <w:r>
        <w:rPr>
          <w:rFonts w:ascii="Calibri" w:cs="Calibri" w:eastAsia="Calibri" w:hAnsi="Calibri"/>
          <w:b/>
          <w:bCs/>
          <w:sz w:val="22"/>
          <w:szCs w:val="22"/>
        </w:rPr>
        <w:t xml:space="preserve">PRD Promise: </w:t>
      </w:r>
      <w:r>
        <w:rPr>
          <w:rFonts w:ascii="Calibri" w:cs="Calibri" w:eastAsia="Calibri" w:hAnsi="Calibri"/>
          <w:sz w:val="22"/>
          <w:szCs w:val="22"/>
        </w:rPr>
        <w:t xml:space="preserve">"autonomously handle translation from Dutch." → Managed by the Ingestion &amp; Translation section.</w:t>
      </w:r>
    </w:p>
    <w:p>
      <w:pPr>
        <w:pStyle w:val="ListParagraph"/>
        <w:numPr>
          <w:ilvl w:val="0"/>
          <w:numId w:val="1"/>
        </w:numPr>
        <w:spacing w:after="80"/>
      </w:pPr>
      <w:r>
        <w:rPr>
          <w:rFonts w:ascii="Calibri" w:cs="Calibri" w:eastAsia="Calibri" w:hAnsi="Calibri"/>
          <w:b/>
          <w:bCs/>
          <w:sz w:val="22"/>
          <w:szCs w:val="22"/>
        </w:rPr>
        <w:t xml:space="preserve">PRD Promise: </w:t>
      </w:r>
      <w:r>
        <w:rPr>
          <w:rFonts w:ascii="Calibri" w:cs="Calibri" w:eastAsia="Calibri" w:hAnsi="Calibri"/>
          <w:sz w:val="22"/>
          <w:szCs w:val="22"/>
        </w:rPr>
        <w:t xml:space="preserve">"Output to our current wiki on GitHub." → Managed by the Review &amp; Publish section.</w:t>
      </w:r>
    </w:p>
    <w:p>
      <w:pPr>
        <w:pStyle w:val="ListParagraph"/>
        <w:numPr>
          <w:ilvl w:val="0"/>
          <w:numId w:val="1"/>
        </w:numPr>
        <w:spacing w:after="80"/>
      </w:pPr>
      <w:r>
        <w:rPr>
          <w:rFonts w:ascii="Calibri" w:cs="Calibri" w:eastAsia="Calibri" w:hAnsi="Calibri"/>
          <w:b/>
          <w:bCs/>
          <w:sz w:val="22"/>
          <w:szCs w:val="22"/>
        </w:rPr>
        <w:t xml:space="preserve">PRD Promise: </w:t>
      </w:r>
      <w:r>
        <w:rPr>
          <w:rFonts w:ascii="Calibri" w:cs="Calibri" w:eastAsia="Calibri" w:hAnsi="Calibri"/>
          <w:sz w:val="22"/>
          <w:szCs w:val="22"/>
        </w:rPr>
        <w:t xml:space="preserve">"Flesch-Kincaid reading level." → Evaluated by the Evaluation Pipeline component.</w:t>
      </w:r>
    </w:p>
    <w:p>
      <w:pPr>
        <w:pStyle w:val="ListParagraph"/>
        <w:numPr>
          <w:ilvl w:val="0"/>
          <w:numId w:val="1"/>
        </w:numPr>
        <w:spacing w:after="80"/>
      </w:pPr>
      <w:r>
        <w:rPr>
          <w:rFonts w:ascii="Calibri" w:cs="Calibri" w:eastAsia="Calibri" w:hAnsi="Calibri"/>
          <w:b/>
          <w:bCs/>
          <w:sz w:val="22"/>
          <w:szCs w:val="22"/>
        </w:rPr>
        <w:t xml:space="preserve">PRD Promise: </w:t>
      </w:r>
      <w:r>
        <w:rPr>
          <w:rFonts w:ascii="Calibri" w:cs="Calibri" w:eastAsia="Calibri" w:hAnsi="Calibri"/>
          <w:sz w:val="22"/>
          <w:szCs w:val="22"/>
        </w:rPr>
        <w:t xml:space="preserve">"Quantifiable ROI Anchors and Maturity Tiers." → Ensured by the Context Layer, strongly prompting the Appraisal portion.</w:t>
      </w:r>
    </w:p>
    <w:p>
      <w:pPr>
        <w:pStyle w:val="ListParagraph"/>
        <w:numPr>
          <w:ilvl w:val="0"/>
          <w:numId w:val="1"/>
        </w:numPr>
        <w:spacing w:after="80"/>
      </w:pPr>
      <w:r>
        <w:rPr>
          <w:rFonts w:ascii="Calibri" w:cs="Calibri" w:eastAsia="Calibri" w:hAnsi="Calibri"/>
          <w:b/>
          <w:bCs/>
          <w:sz w:val="22"/>
          <w:szCs w:val="22"/>
        </w:rPr>
        <w:t xml:space="preserve">Assignment 2 Promise (new): </w:t>
      </w:r>
      <w:r>
        <w:rPr>
          <w:rFonts w:ascii="Calibri" w:cs="Calibri" w:eastAsia="Calibri" w:hAnsi="Calibri"/>
          <w:sz w:val="22"/>
          <w:szCs w:val="22"/>
        </w:rPr>
        <w:t xml:space="preserve">"quality criteria applied consistently, with separate include/exclude rules." → Managed by the new Quality Appraisal step (Part 1), scored against AGENTS.md before any source reaches Ingestion &amp; Translation.</w:t>
      </w:r>
    </w:p>
    <w:p>
      <w:pPr>
        <w:pStyle w:val="Heading2"/>
        <w:spacing w:after="80" w:before="200"/>
      </w:pPr>
      <w:r>
        <w:rPr>
          <w:rFonts w:ascii="Calibri" w:cs="Calibri" w:eastAsia="Calibri" w:hAnsi="Calibri"/>
          <w:b/>
          <w:bCs/>
          <w:color w:val="1F497D"/>
          <w:sz w:val="26"/>
          <w:szCs w:val="26"/>
        </w:rPr>
        <w:t xml:space="preserve">5. What changed since v1, and why</w:t>
      </w:r>
    </w:p>
    <w:p>
      <w:pPr>
        <w:spacing w:after="140"/>
      </w:pPr>
      <w:r>
        <w:rPr>
          <w:rFonts w:ascii="Calibri" w:cs="Calibri" w:eastAsia="Calibri" w:hAnsi="Calibri"/>
          <w:sz w:val="22"/>
          <w:szCs w:val="22"/>
        </w:rPr>
        <w:t xml:space="preserve">Two fixes, both overdue rather than new work invented for this revision. First, the Socratic feedback on Assignment 2 pointed out, correctly, that none of our pipeline stages were named as the place where Institutional Authority or Methodological Transparency actually get checked — v1 of this blueprint had the same gap, since the quality rubric lived only in Assignment 2 and was never wired into a pipeline step. The new Quality Appraisal stage closes that. Second, the Evaluation &amp; Decision Log (Decision 3, Week 5) records that we moved from plain local folders to a wiki template specifically because the old folders gave us no automated way to trace a claim back to its source or catch a hallucinated quote — but the blueprint itself was never updated to describe that new architecture until now.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2026-10-24T21:22:52.035Z</dcterms:created>
  <dcterms:modified xsi:type="dcterms:W3CDTF">2026-10-24T21:22:52.040Z</dcterms:modified>
</cp:coreProperties>
</file>

<file path=docProps/custom.xml><?xml version="1.0" encoding="utf-8"?>
<Properties xmlns="http://schemas.openxmlformats.org/officeDocument/2006/custom-properties" xmlns:vt="http://schemas.openxmlformats.org/officeDocument/2006/docPropsVTypes"/>
</file>