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AEL Knowledge Architecture</w:t>
      </w:r>
    </w:p>
    <w:p>
      <w:r>
        <w:t>Version 3  |  25 October 2026  |  Delivered prototype</w:t>
      </w:r>
    </w:p>
    <w:p>
      <w:pPr>
        <w:pStyle w:val="Heading1"/>
        <w:widowControl/>
      </w:pPr>
      <w:r>
        <w:t>1 What information we use</w:t>
      </w:r>
    </w:p>
    <w:p>
      <w:pPr>
        <w:widowControl/>
      </w:pPr>
      <w:r>
        <w:t>Our tool works with public Dutch texts about AI, sportswear and retail. It keeps source details, such as the publisher and original link, with the translation. Our demo uses short AI summaries of public pages, not the full original articles. The translations must therefore be checked against these summaries, and the summaries should also be checked against the original sources.</w:t>
      </w:r>
    </w:p>
    <w:p>
      <w:pPr>
        <w:pStyle w:val="Heading1"/>
        <w:widowControl/>
      </w:pPr>
      <w:r>
        <w:t>2 Where the information is stored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40"/>
        <w:gridCol w:w="6509"/>
      </w:tblGrid>
      <w:tr>
        <w:trPr>
          <w:tblHeader/>
          <w:cantSplit/>
        </w:trPr>
        <w:tc>
          <w:tcPr>
            <w:tcW w:type="dxa" w:w="3240"/>
            <w:vAlign w:val="center"/>
            <w:tcMar>
              <w:top w:w="95" w:type="dxa"/>
              <w:bottom w:w="95" w:type="dxa"/>
              <w:left w:w="95" w:type="dxa"/>
              <w:right w:w="95" w:type="dxa"/>
            </w:tcMar>
            <w:shd w:fill="E7EBEF"/>
          </w:tcPr>
          <w:p>
            <w:pPr>
              <w:spacing w:after="40" w:before="40" w:line="245" w:lineRule="auto"/>
            </w:pPr>
            <w:r>
              <w:rPr>
                <w:b/>
                <w:sz w:val="19"/>
              </w:rPr>
              <w:t>Location</w:t>
            </w:r>
          </w:p>
        </w:tc>
        <w:tc>
          <w:tcPr>
            <w:tcW w:type="dxa" w:w="6509"/>
            <w:vAlign w:val="center"/>
            <w:tcMar>
              <w:top w:w="95" w:type="dxa"/>
              <w:bottom w:w="95" w:type="dxa"/>
              <w:left w:w="95" w:type="dxa"/>
              <w:right w:w="95" w:type="dxa"/>
            </w:tcMar>
            <w:shd w:fill="E7EBEF"/>
          </w:tcPr>
          <w:p>
            <w:pPr>
              <w:spacing w:after="40" w:before="40" w:line="245" w:lineRule="auto"/>
            </w:pPr>
            <w:r>
              <w:rPr>
                <w:b/>
                <w:sz w:val="19"/>
              </w:rPr>
              <w:t>What it contains</w:t>
            </w:r>
          </w:p>
        </w:tc>
      </w:tr>
      <w:tr>
        <w:trPr>
          <w:cantSplit/>
        </w:trPr>
        <w:tc>
          <w:tcPr>
            <w:tcW w:type="dxa" w:w="3240"/>
            <w:vAlign w:val="center"/>
            <w:tcMar>
              <w:top w:w="95" w:type="dxa"/>
              <w:bottom w:w="95" w:type="dxa"/>
              <w:left w:w="95" w:type="dxa"/>
              <w:right w:w="95" w:type="dxa"/>
            </w:tcMar>
          </w:tcPr>
          <w:p>
            <w:pPr>
              <w:spacing w:after="40" w:before="40" w:line="245" w:lineRule="auto"/>
            </w:pPr>
            <w:r>
              <w:rPr>
                <w:b w:val="0"/>
                <w:sz w:val="19"/>
              </w:rPr>
              <w:t>articles</w:t>
            </w:r>
          </w:p>
        </w:tc>
        <w:tc>
          <w:tcPr>
            <w:tcW w:type="dxa" w:w="6509"/>
            <w:vAlign w:val="center"/>
            <w:tcMar>
              <w:top w:w="95" w:type="dxa"/>
              <w:bottom w:w="95" w:type="dxa"/>
              <w:left w:w="95" w:type="dxa"/>
              <w:right w:w="95" w:type="dxa"/>
            </w:tcMar>
          </w:tcPr>
          <w:p>
            <w:pPr>
              <w:spacing w:after="40" w:before="40" w:line="245" w:lineRule="auto"/>
            </w:pPr>
            <w:r>
              <w:rPr>
                <w:b w:val="0"/>
                <w:sz w:val="19"/>
              </w:rPr>
              <w:t>The Dutch input texts that we add ourselves.</w:t>
            </w:r>
          </w:p>
        </w:tc>
      </w:tr>
      <w:tr>
        <w:trPr>
          <w:cantSplit/>
        </w:trPr>
        <w:tc>
          <w:tcPr>
            <w:tcW w:type="dxa" w:w="3240"/>
            <w:vAlign w:val="center"/>
            <w:tcMar>
              <w:top w:w="95" w:type="dxa"/>
              <w:bottom w:w="95" w:type="dxa"/>
              <w:left w:w="95" w:type="dxa"/>
              <w:right w:w="95" w:type="dxa"/>
            </w:tcMar>
          </w:tcPr>
          <w:p>
            <w:pPr>
              <w:spacing w:after="40" w:before="40" w:line="245" w:lineRule="auto"/>
            </w:pPr>
            <w:r>
              <w:rPr>
                <w:b w:val="0"/>
                <w:sz w:val="19"/>
              </w:rPr>
              <w:t>translated_articles</w:t>
            </w:r>
          </w:p>
        </w:tc>
        <w:tc>
          <w:tcPr>
            <w:tcW w:type="dxa" w:w="6509"/>
            <w:vAlign w:val="center"/>
            <w:tcMar>
              <w:top w:w="95" w:type="dxa"/>
              <w:bottom w:w="95" w:type="dxa"/>
              <w:left w:w="95" w:type="dxa"/>
              <w:right w:w="95" w:type="dxa"/>
            </w:tcMar>
          </w:tcPr>
          <w:p>
            <w:pPr>
              <w:spacing w:after="40" w:before="40" w:line="245" w:lineRule="auto"/>
            </w:pPr>
            <w:r>
              <w:rPr>
                <w:b w:val="0"/>
                <w:sz w:val="19"/>
              </w:rPr>
              <w:t>The English translations and their matching source metadata files. The handbook uses these texts.</w:t>
            </w:r>
          </w:p>
        </w:tc>
      </w:tr>
      <w:tr>
        <w:trPr>
          <w:cantSplit/>
        </w:trPr>
        <w:tc>
          <w:tcPr>
            <w:tcW w:type="dxa" w:w="3240"/>
            <w:vAlign w:val="center"/>
            <w:tcMar>
              <w:top w:w="95" w:type="dxa"/>
              <w:bottom w:w="95" w:type="dxa"/>
              <w:left w:w="95" w:type="dxa"/>
              <w:right w:w="95" w:type="dxa"/>
            </w:tcMar>
          </w:tcPr>
          <w:p>
            <w:pPr>
              <w:spacing w:after="40" w:before="40" w:line="245" w:lineRule="auto"/>
            </w:pPr>
            <w:r>
              <w:rPr>
                <w:b w:val="0"/>
                <w:sz w:val="19"/>
              </w:rPr>
              <w:t>handbooks</w:t>
            </w:r>
          </w:p>
        </w:tc>
        <w:tc>
          <w:tcPr>
            <w:tcW w:type="dxa" w:w="6509"/>
            <w:vAlign w:val="center"/>
            <w:tcMar>
              <w:top w:w="95" w:type="dxa"/>
              <w:bottom w:w="95" w:type="dxa"/>
              <w:left w:w="95" w:type="dxa"/>
              <w:right w:w="95" w:type="dxa"/>
            </w:tcMar>
          </w:tcPr>
          <w:p>
            <w:pPr>
              <w:spacing w:after="40" w:before="40" w:line="245" w:lineRule="auto"/>
            </w:pPr>
            <w:r>
              <w:rPr>
                <w:b w:val="0"/>
                <w:sz w:val="19"/>
              </w:rPr>
              <w:t>The generated PDF, Markdown text and quality report. Only the chosen PDF is uploaded by the publisher.</w:t>
            </w:r>
          </w:p>
        </w:tc>
      </w:tr>
      <w:tr>
        <w:trPr>
          <w:cantSplit/>
        </w:trPr>
        <w:tc>
          <w:tcPr>
            <w:tcW w:type="dxa" w:w="3240"/>
            <w:vAlign w:val="center"/>
            <w:tcMar>
              <w:top w:w="95" w:type="dxa"/>
              <w:bottom w:w="95" w:type="dxa"/>
              <w:left w:w="95" w:type="dxa"/>
              <w:right w:w="95" w:type="dxa"/>
            </w:tcMar>
          </w:tcPr>
          <w:p>
            <w:pPr>
              <w:spacing w:after="40" w:before="40" w:line="245" w:lineRule="auto"/>
            </w:pPr>
            <w:r>
              <w:rPr>
                <w:b w:val="0"/>
                <w:sz w:val="19"/>
              </w:rPr>
              <w:t>LLM_Wiki/pipeline_archive</w:t>
            </w:r>
          </w:p>
        </w:tc>
        <w:tc>
          <w:tcPr>
            <w:tcW w:type="dxa" w:w="6509"/>
            <w:vAlign w:val="center"/>
            <w:tcMar>
              <w:top w:w="95" w:type="dxa"/>
              <w:bottom w:w="95" w:type="dxa"/>
              <w:left w:w="95" w:type="dxa"/>
              <w:right w:w="95" w:type="dxa"/>
            </w:tcMar>
          </w:tcPr>
          <w:p>
            <w:pPr>
              <w:spacing w:after="40" w:before="40" w:line="245" w:lineRule="auto"/>
            </w:pPr>
            <w:r>
              <w:rPr>
                <w:b w:val="0"/>
                <w:sz w:val="19"/>
              </w:rPr>
              <w:t>A local record of each completed translation, with the Dutch input, English output and metadata.</w:t>
            </w:r>
          </w:p>
        </w:tc>
      </w:tr>
      <w:tr>
        <w:trPr>
          <w:cantSplit/>
        </w:trPr>
        <w:tc>
          <w:tcPr>
            <w:tcW w:type="dxa" w:w="3240"/>
            <w:vAlign w:val="center"/>
            <w:tcMar>
              <w:top w:w="95" w:type="dxa"/>
              <w:bottom w:w="95" w:type="dxa"/>
              <w:left w:w="95" w:type="dxa"/>
              <w:right w:w="95" w:type="dxa"/>
            </w:tcMar>
          </w:tcPr>
          <w:p>
            <w:pPr>
              <w:spacing w:after="40" w:before="40" w:line="245" w:lineRule="auto"/>
            </w:pPr>
            <w:r>
              <w:rPr>
                <w:b w:val="0"/>
                <w:sz w:val="19"/>
              </w:rPr>
              <w:t>LLM_Wiki/raw and wiki</w:t>
            </w:r>
          </w:p>
        </w:tc>
        <w:tc>
          <w:tcPr>
            <w:tcW w:type="dxa" w:w="6509"/>
            <w:vAlign w:val="center"/>
            <w:tcMar>
              <w:top w:w="95" w:type="dxa"/>
              <w:bottom w:w="95" w:type="dxa"/>
              <w:left w:w="95" w:type="dxa"/>
              <w:right w:w="95" w:type="dxa"/>
            </w:tcMar>
          </w:tcPr>
          <w:p>
            <w:pPr>
              <w:spacing w:after="40" w:before="40" w:line="245" w:lineRule="auto"/>
            </w:pPr>
            <w:r>
              <w:rPr>
                <w:b w:val="0"/>
                <w:sz w:val="19"/>
              </w:rPr>
              <w:t>A separate research wiki for sources and pages that are added and reviewed manually. It is not filled automatically by the translation program.</w:t>
            </w:r>
          </w:p>
        </w:tc>
      </w:tr>
    </w:tbl>
    <w:p>
      <w:pPr>
        <w:spacing w:after="20"/>
      </w:pPr>
    </w:p>
    <w:p>
      <w:pPr>
        <w:pStyle w:val="Heading1"/>
        <w:widowControl/>
      </w:pPr>
      <w:r>
        <w:t>3 What the wiki does</w:t>
      </w:r>
    </w:p>
    <w:p>
      <w:pPr>
        <w:widowControl/>
      </w:pPr>
      <w:r>
        <w:t>The automatic archive gives us a simple way to show and compare the original input and its translation. We open its index.html file in a browser and select a record. A new record is added after a successful translation, before the later handbook checks.</w:t>
      </w:r>
    </w:p>
    <w:p>
      <w:pPr>
        <w:widowControl/>
      </w:pPr>
      <w:r>
        <w:t>The archive is an extra part of the project. The handbook reads the saved English translations, not the wiki pages. The handbook PDF is not automatically added to the wiki.</w:t>
      </w:r>
    </w:p>
    <w:p>
      <w:r>
        <w:br w:type="page"/>
      </w:r>
    </w:p>
    <w:p>
      <w:pPr>
        <w:pStyle w:val="Heading1"/>
        <w:widowControl/>
      </w:pPr>
      <w:r>
        <w:t>4 How we find evidence again</w:t>
      </w:r>
    </w:p>
    <w:p>
      <w:pPr>
        <w:widowControl/>
      </w:pPr>
      <w:r>
        <w:t>If we want to check a statement in the handbook, we follow its source label, such as S1, to the bibliography. This tells us which translation was used and gives the original source link. We can then compare the English passage with the Dutch input.</w:t>
      </w:r>
    </w:p>
    <w:p>
      <w:pPr>
        <w:widowControl/>
      </w:pPr>
      <w:r>
        <w:t>The tool checks that quoted passages are present in the supplied English text. This does not prove that the English text is correct or that it fully represents the original website. The archive also has a simple filter, but it is not an AI question-answering system.</w:t>
      </w:r>
    </w:p>
    <w:p>
      <w:pPr>
        <w:pStyle w:val="Heading1"/>
        <w:widowControl/>
      </w:pPr>
      <w:r>
        <w:t>5 Why we chose this approach</w:t>
      </w:r>
    </w:p>
    <w:p>
      <w:pPr>
        <w:widowControl/>
      </w:pPr>
      <w:r>
        <w:t>Local files are easy for our small team to understand and share. The archive adds a clear overview without requiring a database or changing how we start the program. It is useful for demonstrations and checking the work.</w:t>
      </w:r>
    </w:p>
    <w:p>
      <w:pPr>
        <w:widowControl/>
      </w:pPr>
      <w:r>
        <w:t>The main limits are duplicate records and manual review. Repeating a translation adds another record. We can organise the archive manually, but it does not automatically remove duplicates or update old handbooks when a source changes.</w:t>
      </w:r>
    </w:p>
    <w:p>
      <w:pPr>
        <w:pStyle w:val="Heading1"/>
        <w:widowControl/>
      </w:pPr>
      <w:r>
        <w:t>6 Keeping private material separate</w:t>
      </w:r>
    </w:p>
    <w:p>
      <w:pPr>
        <w:widowControl/>
      </w:pPr>
      <w:r>
        <w:t>We use public sources in this workflow. Interview recordings, transcripts, names and private company data must stay outside the input folders and wiki. The archive keeps the submitted Dutch text before anonymisation, so it is not a safe place for confidential material.</w:t>
      </w:r>
    </w:p>
    <w:p>
      <w:pPr>
        <w:widowControl/>
      </w:pPr>
      <w:r>
        <w:t>The model runs locally through Ollama by default. This can change if the settings are changed. The anonymisation step can miss information, and we must not treat it as a complete privacy guarantee. Text inside a source is material to analyse, not an instruction for the tool.</w:t>
      </w:r>
    </w:p>
    <w:p>
      <w:pPr>
        <w:pStyle w:val="Heading1"/>
        <w:widowControl/>
      </w:pPr>
      <w:r>
        <w:t>7 What changed from the earlier design</w:t>
      </w:r>
    </w:p>
    <w:p>
      <w:pPr>
        <w:widowControl/>
      </w:pPr>
      <w:r>
        <w:t>The final tool has a companion wiki archive rather than a wiki that controls the whole process. AGENTS.md gives rules for maintaining the research wiki, but the running agents do not automatically read it. Automatic source scoring and interview processing from the earlier design were not delivered. New source versions and conflicting findings still need human review.</w:t>
      </w:r>
    </w:p>
    <w:sectPr w:rsidR="00FC693F" w:rsidRPr="0006063C" w:rsidSect="00034616">
      <w:footerReference w:type="default" r:id="rId9"/>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AEL  |  Version 3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AEL Knowledge Architecture</dc:title>
  <dc:subject>Delivered implementation and remaining requirements</dc:subject>
  <dc:creator>AIBS AEL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