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D398AF0" w:rsidP="10AE5CD7" w:rsidRDefault="4D398AF0" w14:paraId="3886A07E" w14:textId="13126D4A">
      <w:pPr>
        <w:pStyle w:val="Normal"/>
        <w:rPr/>
      </w:pPr>
      <w:r w:rsidR="4D398AF0">
        <w:rPr/>
        <w:t xml:space="preserve">In the </w:t>
      </w:r>
      <w:r w:rsidR="4D398AF0">
        <w:rPr/>
        <w:t>mirCLIP</w:t>
      </w:r>
      <w:r w:rsidR="4D398AF0">
        <w:rPr/>
        <w:t xml:space="preserve"> data analysis, genes </w:t>
      </w:r>
      <w:r w:rsidR="4D398AF0">
        <w:rPr/>
        <w:t>exhibiting</w:t>
      </w:r>
      <w:r w:rsidR="4D398AF0">
        <w:rPr/>
        <w:t xml:space="preserve"> a fold change above 2 and at least one match in the 3’UTR of mRNAs totaled more than 1000</w:t>
      </w:r>
      <w:r w:rsidR="5136E971">
        <w:rPr/>
        <w:t xml:space="preserve"> targets</w:t>
      </w:r>
      <w:r w:rsidR="4D398AF0">
        <w:rPr/>
        <w:t xml:space="preserve">. This abundance of genes </w:t>
      </w:r>
      <w:r w:rsidR="4D398AF0">
        <w:rPr/>
        <w:t>rendered</w:t>
      </w:r>
      <w:r w:rsidR="4D398AF0">
        <w:rPr/>
        <w:t xml:space="preserve"> gene enrichment analysis challenging, as it is recommended to have a more manageable number of genes, ideally between 15 and 500, for effective analysis (</w:t>
      </w:r>
      <w:r w:rsidR="4D398AF0">
        <w:rPr/>
        <w:t>https://www.gsea-msigdb.org/</w:t>
      </w:r>
      <w:r w:rsidR="4D398AF0">
        <w:rPr/>
        <w:t>).</w:t>
      </w:r>
    </w:p>
    <w:p w:rsidR="4D398AF0" w:rsidP="10AE5CD7" w:rsidRDefault="4D398AF0" w14:paraId="46FD8908" w14:textId="55BD60DC">
      <w:pPr>
        <w:pStyle w:val="Normal"/>
        <w:rPr/>
      </w:pPr>
      <w:r w:rsidR="4D398AF0">
        <w:rPr/>
        <w:t xml:space="preserve"> </w:t>
      </w:r>
    </w:p>
    <w:p w:rsidR="4D398AF0" w:rsidP="10AE5CD7" w:rsidRDefault="4D398AF0" w14:paraId="4B8947A6" w14:textId="62FE7721">
      <w:pPr>
        <w:pStyle w:val="Normal"/>
        <w:rPr/>
      </w:pPr>
      <w:r w:rsidR="4D398AF0">
        <w:rPr/>
        <w:t xml:space="preserve">To address this issue, the fold change threshold was increased to 4. This adjustment resulted in a reduction in the number of genes to 207, making further analysis more </w:t>
      </w:r>
      <w:r w:rsidR="4D398AF0">
        <w:rPr/>
        <w:t>feasible</w:t>
      </w:r>
      <w:r w:rsidR="4D398AF0">
        <w:rPr/>
        <w:t xml:space="preserve"> and ensuring a more focused examination of gene expression patterns and regulatory mechanisms.</w:t>
      </w:r>
    </w:p>
    <w:p w:rsidR="10AE5CD7" w:rsidP="10AE5CD7" w:rsidRDefault="10AE5CD7" w14:paraId="40F2DE3C" w14:textId="0EEDE176">
      <w:pPr>
        <w:pStyle w:val="Normal"/>
        <w:rPr/>
      </w:pPr>
    </w:p>
    <w:p w:rsidR="632FAB2A" w:rsidP="10AE5CD7" w:rsidRDefault="632FAB2A" w14:paraId="1D5381B7" w14:textId="0FE04EBF">
      <w:pPr>
        <w:pStyle w:val="Normal"/>
        <w:rPr/>
      </w:pPr>
      <w:r w:rsidR="632FAB2A">
        <w:rPr/>
        <w:t xml:space="preserve">Prior to conducting the gene enrichment analysis, the </w:t>
      </w:r>
      <w:r w:rsidR="632FAB2A">
        <w:rPr/>
        <w:t>utilization</w:t>
      </w:r>
      <w:r w:rsidR="632FAB2A">
        <w:rPr/>
        <w:t xml:space="preserve"> of David 2021 version 2023q4 </w:t>
      </w:r>
      <w:r w:rsidR="632FAB2A">
        <w:rPr/>
        <w:t>identified</w:t>
      </w:r>
      <w:r w:rsidR="632FAB2A">
        <w:rPr/>
        <w:t xml:space="preserve"> a set of genes directly associated with adhesion, as "adhesion" was among the list of Gene Ontology (GO) term Biological Processes. This preliminary identification </w:t>
      </w:r>
      <w:r w:rsidR="632FAB2A">
        <w:rPr/>
        <w:t>provided</w:t>
      </w:r>
      <w:r w:rsidR="632FAB2A">
        <w:rPr/>
        <w:t xml:space="preserve"> valuable insight into the specific genes involved in adhesion-related processes, laying the groundwork for a more targeted and focused gene enrichment analysis.</w:t>
      </w:r>
    </w:p>
    <w:p w:rsidR="10AE5CD7" w:rsidP="10AE5CD7" w:rsidRDefault="10AE5CD7" w14:paraId="5BFEBE75" w14:textId="26372A81">
      <w:pPr>
        <w:pStyle w:val="Normal"/>
        <w:rPr/>
      </w:pPr>
    </w:p>
    <w:p w:rsidR="632FAB2A" w:rsidP="10AE5CD7" w:rsidRDefault="632FAB2A" w14:paraId="0DA00B62" w14:textId="688E0C08">
      <w:pPr>
        <w:pStyle w:val="Normal"/>
        <w:rPr/>
      </w:pPr>
      <w:r w:rsidR="632FAB2A">
        <w:rPr/>
        <w:t>Table .</w:t>
      </w:r>
      <w:r w:rsidR="632FAB2A">
        <w:rPr/>
        <w:t xml:space="preserve"> Gene in 4x fold change that target adhesion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380"/>
        <w:gridCol w:w="5550"/>
        <w:gridCol w:w="1755"/>
      </w:tblGrid>
      <w:tr w:rsidR="644BB295" w:rsidTr="10AE5CD7" w14:paraId="3C70FC0D">
        <w:trPr>
          <w:trHeight w:val="300"/>
        </w:trPr>
        <w:tc>
          <w:tcPr>
            <w:tcW w:w="1380" w:type="dxa"/>
            <w:tcBorders>
              <w:top w:val="single" w:color="8EA9DB" w:sz="6"/>
              <w:left w:val="single" w:color="8EA9DB" w:sz="6"/>
              <w:bottom w:val="single" w:color="8EA9DB" w:sz="6"/>
              <w:right w:val="nil"/>
            </w:tcBorders>
            <w:shd w:val="clear" w:color="auto" w:fill="4472C4"/>
            <w:tcMar/>
            <w:vAlign w:val="bottom"/>
          </w:tcPr>
          <w:p w:rsidR="644BB295" w:rsidP="644BB295" w:rsidRDefault="644BB295" w14:paraId="0FF66629" w14:textId="5BC24559">
            <w:pPr>
              <w:spacing w:before="0" w:beforeAutospacing="off" w:after="0" w:afterAutospacing="off" w:line="259" w:lineRule="auto"/>
              <w:rPr>
                <w:rFonts w:ascii="Calibri" w:hAnsi="Calibri" w:eastAsia="Calibri" w:cs="Calibri"/>
                <w:b w:val="0"/>
                <w:bCs w:val="0"/>
                <w:i w:val="0"/>
                <w:iCs w:val="0"/>
                <w:caps w:val="0"/>
                <w:smallCaps w:val="0"/>
                <w:color w:val="FFFFFF" w:themeColor="background1" w:themeTint="FF" w:themeShade="FF"/>
                <w:sz w:val="22"/>
                <w:szCs w:val="22"/>
              </w:rPr>
            </w:pPr>
            <w:r w:rsidRPr="644BB295" w:rsidR="644BB295">
              <w:rPr>
                <w:rFonts w:ascii="Calibri" w:hAnsi="Calibri" w:eastAsia="Calibri" w:cs="Calibri"/>
                <w:b w:val="1"/>
                <w:bCs w:val="1"/>
                <w:i w:val="0"/>
                <w:iCs w:val="0"/>
                <w:caps w:val="0"/>
                <w:smallCaps w:val="0"/>
                <w:strike w:val="0"/>
                <w:dstrike w:val="0"/>
                <w:color w:val="FFFFFF" w:themeColor="background1" w:themeTint="FF" w:themeShade="FF"/>
                <w:sz w:val="22"/>
                <w:szCs w:val="22"/>
                <w:u w:val="none"/>
                <w:lang w:val="en-GB"/>
              </w:rPr>
              <w:t>ID</w:t>
            </w:r>
          </w:p>
        </w:tc>
        <w:tc>
          <w:tcPr>
            <w:tcW w:w="5550" w:type="dxa"/>
            <w:tcBorders>
              <w:top w:val="single" w:color="8EA9DB" w:sz="6"/>
              <w:left w:val="nil"/>
              <w:bottom w:val="single" w:color="8EA9DB" w:sz="6"/>
              <w:right w:val="nil"/>
            </w:tcBorders>
            <w:shd w:val="clear" w:color="auto" w:fill="4472C4"/>
            <w:tcMar/>
            <w:vAlign w:val="bottom"/>
          </w:tcPr>
          <w:p w:rsidR="644BB295" w:rsidP="644BB295" w:rsidRDefault="644BB295" w14:paraId="5D97C3A4" w14:textId="63BB22FA">
            <w:pPr>
              <w:spacing w:before="0" w:beforeAutospacing="off" w:after="0" w:afterAutospacing="off" w:line="259" w:lineRule="auto"/>
              <w:rPr>
                <w:rFonts w:ascii="Calibri" w:hAnsi="Calibri" w:eastAsia="Calibri" w:cs="Calibri"/>
                <w:b w:val="0"/>
                <w:bCs w:val="0"/>
                <w:i w:val="0"/>
                <w:iCs w:val="0"/>
                <w:caps w:val="0"/>
                <w:smallCaps w:val="0"/>
                <w:color w:val="FFFFFF" w:themeColor="background1" w:themeTint="FF" w:themeShade="FF"/>
                <w:sz w:val="22"/>
                <w:szCs w:val="22"/>
              </w:rPr>
            </w:pPr>
            <w:r w:rsidRPr="644BB295" w:rsidR="644BB295">
              <w:rPr>
                <w:rFonts w:ascii="Calibri" w:hAnsi="Calibri" w:eastAsia="Calibri" w:cs="Calibri"/>
                <w:b w:val="1"/>
                <w:bCs w:val="1"/>
                <w:i w:val="0"/>
                <w:iCs w:val="0"/>
                <w:caps w:val="0"/>
                <w:smallCaps w:val="0"/>
                <w:strike w:val="0"/>
                <w:dstrike w:val="0"/>
                <w:color w:val="FFFFFF" w:themeColor="background1" w:themeTint="FF" w:themeShade="FF"/>
                <w:sz w:val="22"/>
                <w:szCs w:val="22"/>
                <w:u w:val="none"/>
                <w:lang w:val="en-GB"/>
              </w:rPr>
              <w:t>Gene Name</w:t>
            </w:r>
          </w:p>
        </w:tc>
        <w:tc>
          <w:tcPr>
            <w:tcW w:w="1755" w:type="dxa"/>
            <w:tcBorders>
              <w:top w:val="single" w:color="8EA9DB" w:sz="6"/>
              <w:left w:val="nil"/>
              <w:bottom w:val="single" w:color="8EA9DB" w:sz="6"/>
              <w:right w:val="nil"/>
            </w:tcBorders>
            <w:shd w:val="clear" w:color="auto" w:fill="4472C4"/>
            <w:tcMar/>
            <w:vAlign w:val="bottom"/>
          </w:tcPr>
          <w:p w:rsidR="644BB295" w:rsidP="644BB295" w:rsidRDefault="644BB295" w14:paraId="2386EC84" w14:textId="3D05152D">
            <w:pPr>
              <w:spacing w:before="0" w:beforeAutospacing="off" w:after="0" w:afterAutospacing="off" w:line="259" w:lineRule="auto"/>
              <w:rPr>
                <w:rFonts w:ascii="Calibri" w:hAnsi="Calibri" w:eastAsia="Calibri" w:cs="Calibri"/>
                <w:b w:val="0"/>
                <w:bCs w:val="0"/>
                <w:i w:val="0"/>
                <w:iCs w:val="0"/>
                <w:caps w:val="0"/>
                <w:smallCaps w:val="0"/>
                <w:color w:val="FFFFFF" w:themeColor="background1" w:themeTint="FF" w:themeShade="FF"/>
                <w:sz w:val="22"/>
                <w:szCs w:val="22"/>
              </w:rPr>
            </w:pPr>
            <w:r w:rsidRPr="644BB295" w:rsidR="644BB295">
              <w:rPr>
                <w:rFonts w:ascii="Calibri" w:hAnsi="Calibri" w:eastAsia="Calibri" w:cs="Calibri"/>
                <w:b w:val="1"/>
                <w:bCs w:val="1"/>
                <w:i w:val="0"/>
                <w:iCs w:val="0"/>
                <w:caps w:val="0"/>
                <w:smallCaps w:val="0"/>
                <w:strike w:val="0"/>
                <w:dstrike w:val="0"/>
                <w:color w:val="FFFFFF" w:themeColor="background1" w:themeTint="FF" w:themeShade="FF"/>
                <w:sz w:val="22"/>
                <w:szCs w:val="22"/>
                <w:u w:val="none"/>
                <w:lang w:val="en-GB"/>
              </w:rPr>
              <w:t>Fold Change</w:t>
            </w:r>
          </w:p>
        </w:tc>
      </w:tr>
      <w:tr w:rsidR="644BB295" w:rsidTr="10AE5CD7" w14:paraId="1D800331">
        <w:trPr>
          <w:trHeight w:val="300"/>
        </w:trPr>
        <w:tc>
          <w:tcPr>
            <w:tcW w:w="1380" w:type="dxa"/>
            <w:tcBorders>
              <w:top w:val="single" w:color="8EA9DB" w:sz="6"/>
              <w:left w:val="single" w:color="8EA9DB" w:sz="6"/>
              <w:bottom w:val="single" w:color="8EA9DB" w:sz="6"/>
              <w:right w:val="nil"/>
            </w:tcBorders>
            <w:shd w:val="clear" w:color="auto" w:fill="D9E1F2"/>
            <w:tcMar/>
            <w:vAlign w:val="bottom"/>
          </w:tcPr>
          <w:p w:rsidR="644BB295" w:rsidP="644BB295" w:rsidRDefault="644BB295" w14:paraId="363710D2" w14:textId="24C15C3D">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BCL2L11</w:t>
            </w:r>
          </w:p>
        </w:tc>
        <w:tc>
          <w:tcPr>
            <w:tcW w:w="5550" w:type="dxa"/>
            <w:tcBorders>
              <w:top w:val="single" w:color="8EA9DB" w:sz="6"/>
              <w:left w:val="nil"/>
              <w:bottom w:val="single" w:color="8EA9DB" w:sz="6"/>
              <w:right w:val="nil"/>
            </w:tcBorders>
            <w:shd w:val="clear" w:color="auto" w:fill="D9E1F2"/>
            <w:tcMar/>
            <w:vAlign w:val="bottom"/>
          </w:tcPr>
          <w:p w:rsidR="644BB295" w:rsidP="644BB295" w:rsidRDefault="644BB295" w14:paraId="231913F4" w14:textId="68F3DED4">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BCL2 like 11(BCL2L11)</w:t>
            </w:r>
          </w:p>
        </w:tc>
        <w:tc>
          <w:tcPr>
            <w:tcW w:w="1755" w:type="dxa"/>
            <w:tcBorders>
              <w:top w:val="single" w:color="8EA9DB" w:sz="6"/>
              <w:left w:val="nil"/>
              <w:bottom w:val="single" w:color="8EA9DB" w:sz="6"/>
              <w:right w:val="nil"/>
            </w:tcBorders>
            <w:shd w:val="clear" w:color="auto" w:fill="D9E1F2"/>
            <w:tcMar/>
            <w:vAlign w:val="bottom"/>
          </w:tcPr>
          <w:p w:rsidR="644BB295" w:rsidP="644BB295" w:rsidRDefault="644BB295" w14:paraId="7BC9015C" w14:textId="02249BAF">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4.710346741</w:t>
            </w:r>
          </w:p>
        </w:tc>
      </w:tr>
      <w:tr w:rsidR="644BB295" w:rsidTr="10AE5CD7" w14:paraId="5737C6ED">
        <w:trPr>
          <w:trHeight w:val="300"/>
        </w:trPr>
        <w:tc>
          <w:tcPr>
            <w:tcW w:w="1380" w:type="dxa"/>
            <w:tcBorders>
              <w:top w:val="single" w:color="8EA9DB" w:sz="6"/>
              <w:left w:val="single" w:color="8EA9DB" w:sz="6"/>
              <w:bottom w:val="single" w:color="8EA9DB" w:sz="6"/>
              <w:right w:val="nil"/>
            </w:tcBorders>
            <w:tcMar/>
            <w:vAlign w:val="bottom"/>
          </w:tcPr>
          <w:p w:rsidR="644BB295" w:rsidP="644BB295" w:rsidRDefault="644BB295" w14:paraId="7C09355E" w14:textId="45AABE74">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FERMT2</w:t>
            </w:r>
          </w:p>
        </w:tc>
        <w:tc>
          <w:tcPr>
            <w:tcW w:w="5550" w:type="dxa"/>
            <w:tcBorders>
              <w:top w:val="single" w:color="8EA9DB" w:sz="6"/>
              <w:left w:val="nil"/>
              <w:bottom w:val="single" w:color="8EA9DB" w:sz="6"/>
              <w:right w:val="nil"/>
            </w:tcBorders>
            <w:tcMar/>
            <w:vAlign w:val="bottom"/>
          </w:tcPr>
          <w:p w:rsidR="644BB295" w:rsidP="644BB295" w:rsidRDefault="644BB295" w14:paraId="4C8D9FD6" w14:textId="31BAF5A9">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FERM domain containing kindlin 2(FERMT2)</w:t>
            </w:r>
          </w:p>
        </w:tc>
        <w:tc>
          <w:tcPr>
            <w:tcW w:w="1755" w:type="dxa"/>
            <w:tcBorders>
              <w:top w:val="single" w:color="8EA9DB" w:sz="6"/>
              <w:left w:val="nil"/>
              <w:bottom w:val="single" w:color="8EA9DB" w:sz="6"/>
              <w:right w:val="nil"/>
            </w:tcBorders>
            <w:tcMar/>
            <w:vAlign w:val="bottom"/>
          </w:tcPr>
          <w:p w:rsidR="644BB295" w:rsidP="644BB295" w:rsidRDefault="644BB295" w14:paraId="798E4B79" w14:textId="03F6F2C3">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4.210001445</w:t>
            </w:r>
          </w:p>
        </w:tc>
      </w:tr>
      <w:tr w:rsidR="644BB295" w:rsidTr="10AE5CD7" w14:paraId="2682E2D9">
        <w:trPr>
          <w:trHeight w:val="300"/>
        </w:trPr>
        <w:tc>
          <w:tcPr>
            <w:tcW w:w="1380" w:type="dxa"/>
            <w:tcBorders>
              <w:top w:val="single" w:color="8EA9DB" w:sz="6"/>
              <w:left w:val="single" w:color="8EA9DB" w:sz="6"/>
              <w:bottom w:val="single" w:color="8EA9DB" w:sz="6"/>
              <w:right w:val="nil"/>
            </w:tcBorders>
            <w:shd w:val="clear" w:color="auto" w:fill="D9E1F2"/>
            <w:tcMar/>
            <w:vAlign w:val="bottom"/>
          </w:tcPr>
          <w:p w:rsidR="644BB295" w:rsidP="644BB295" w:rsidRDefault="644BB295" w14:paraId="22FE7EE2" w14:textId="3F538DCF">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S100A11</w:t>
            </w:r>
          </w:p>
        </w:tc>
        <w:tc>
          <w:tcPr>
            <w:tcW w:w="5550" w:type="dxa"/>
            <w:tcBorders>
              <w:top w:val="single" w:color="8EA9DB" w:sz="6"/>
              <w:left w:val="nil"/>
              <w:bottom w:val="single" w:color="8EA9DB" w:sz="6"/>
              <w:right w:val="nil"/>
            </w:tcBorders>
            <w:shd w:val="clear" w:color="auto" w:fill="D9E1F2"/>
            <w:tcMar/>
            <w:vAlign w:val="bottom"/>
          </w:tcPr>
          <w:p w:rsidR="644BB295" w:rsidP="644BB295" w:rsidRDefault="644BB295" w14:paraId="5F3B25B3" w14:textId="0D483C52">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S100 calcium binding protein A11(S100A11)</w:t>
            </w:r>
          </w:p>
        </w:tc>
        <w:tc>
          <w:tcPr>
            <w:tcW w:w="1755" w:type="dxa"/>
            <w:tcBorders>
              <w:top w:val="single" w:color="8EA9DB" w:sz="6"/>
              <w:left w:val="nil"/>
              <w:bottom w:val="single" w:color="8EA9DB" w:sz="6"/>
              <w:right w:val="nil"/>
            </w:tcBorders>
            <w:shd w:val="clear" w:color="auto" w:fill="D9E1F2"/>
            <w:tcMar/>
            <w:vAlign w:val="bottom"/>
          </w:tcPr>
          <w:p w:rsidR="644BB295" w:rsidP="644BB295" w:rsidRDefault="644BB295" w14:paraId="13E20F12" w14:textId="0290E5F0">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5.445400077</w:t>
            </w:r>
          </w:p>
        </w:tc>
      </w:tr>
      <w:tr w:rsidR="644BB295" w:rsidTr="10AE5CD7" w14:paraId="44C1B26B">
        <w:trPr>
          <w:trHeight w:val="300"/>
        </w:trPr>
        <w:tc>
          <w:tcPr>
            <w:tcW w:w="1380" w:type="dxa"/>
            <w:tcBorders>
              <w:top w:val="single" w:color="8EA9DB" w:sz="6"/>
              <w:left w:val="single" w:color="8EA9DB" w:sz="6"/>
              <w:bottom w:val="single" w:color="8EA9DB" w:sz="6"/>
              <w:right w:val="nil"/>
            </w:tcBorders>
            <w:tcMar/>
            <w:vAlign w:val="bottom"/>
          </w:tcPr>
          <w:p w:rsidR="644BB295" w:rsidP="644BB295" w:rsidRDefault="644BB295" w14:paraId="4C27142A" w14:textId="790CCA4E">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CLDN4</w:t>
            </w:r>
          </w:p>
        </w:tc>
        <w:tc>
          <w:tcPr>
            <w:tcW w:w="5550" w:type="dxa"/>
            <w:tcBorders>
              <w:top w:val="single" w:color="8EA9DB" w:sz="6"/>
              <w:left w:val="nil"/>
              <w:bottom w:val="single" w:color="8EA9DB" w:sz="6"/>
              <w:right w:val="nil"/>
            </w:tcBorders>
            <w:tcMar/>
            <w:vAlign w:val="bottom"/>
          </w:tcPr>
          <w:p w:rsidR="644BB295" w:rsidP="644BB295" w:rsidRDefault="644BB295" w14:paraId="5B7CAF1A" w14:textId="13223246">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claudin 4(CLDN4)</w:t>
            </w:r>
          </w:p>
        </w:tc>
        <w:tc>
          <w:tcPr>
            <w:tcW w:w="1755" w:type="dxa"/>
            <w:tcBorders>
              <w:top w:val="single" w:color="8EA9DB" w:sz="6"/>
              <w:left w:val="nil"/>
              <w:bottom w:val="single" w:color="8EA9DB" w:sz="6"/>
              <w:right w:val="nil"/>
            </w:tcBorders>
            <w:tcMar/>
            <w:vAlign w:val="bottom"/>
          </w:tcPr>
          <w:p w:rsidR="644BB295" w:rsidP="644BB295" w:rsidRDefault="644BB295" w14:paraId="106E9D8C" w14:textId="2633DEC9">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4.650374662</w:t>
            </w:r>
          </w:p>
        </w:tc>
      </w:tr>
      <w:tr w:rsidR="644BB295" w:rsidTr="10AE5CD7" w14:paraId="264F5B88">
        <w:trPr>
          <w:trHeight w:val="300"/>
        </w:trPr>
        <w:tc>
          <w:tcPr>
            <w:tcW w:w="1380" w:type="dxa"/>
            <w:tcBorders>
              <w:top w:val="single" w:color="8EA9DB" w:sz="6"/>
              <w:left w:val="single" w:color="8EA9DB" w:sz="6"/>
              <w:bottom w:val="single" w:color="8EA9DB" w:sz="6"/>
              <w:right w:val="nil"/>
            </w:tcBorders>
            <w:shd w:val="clear" w:color="auto" w:fill="D9E1F2"/>
            <w:tcMar/>
            <w:vAlign w:val="bottom"/>
          </w:tcPr>
          <w:p w:rsidR="644BB295" w:rsidP="644BB295" w:rsidRDefault="644BB295" w14:paraId="71BBCC56" w14:textId="79D633D2">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COL1A1</w:t>
            </w:r>
          </w:p>
        </w:tc>
        <w:tc>
          <w:tcPr>
            <w:tcW w:w="5550" w:type="dxa"/>
            <w:tcBorders>
              <w:top w:val="single" w:color="8EA9DB" w:sz="6"/>
              <w:left w:val="nil"/>
              <w:bottom w:val="single" w:color="8EA9DB" w:sz="6"/>
              <w:right w:val="nil"/>
            </w:tcBorders>
            <w:shd w:val="clear" w:color="auto" w:fill="D9E1F2"/>
            <w:tcMar/>
            <w:vAlign w:val="bottom"/>
          </w:tcPr>
          <w:p w:rsidR="644BB295" w:rsidP="644BB295" w:rsidRDefault="644BB295" w14:paraId="032817DF" w14:textId="4B07BB5C">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collagen type I alpha 1 chain(COL1A1)</w:t>
            </w:r>
          </w:p>
        </w:tc>
        <w:tc>
          <w:tcPr>
            <w:tcW w:w="1755" w:type="dxa"/>
            <w:tcBorders>
              <w:top w:val="single" w:color="8EA9DB" w:sz="6"/>
              <w:left w:val="nil"/>
              <w:bottom w:val="single" w:color="8EA9DB" w:sz="6"/>
              <w:right w:val="nil"/>
            </w:tcBorders>
            <w:shd w:val="clear" w:color="auto" w:fill="D9E1F2"/>
            <w:tcMar/>
            <w:vAlign w:val="bottom"/>
          </w:tcPr>
          <w:p w:rsidR="644BB295" w:rsidP="644BB295" w:rsidRDefault="644BB295" w14:paraId="21C7F9D8" w14:textId="60FA9060">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5.568596313</w:t>
            </w:r>
          </w:p>
        </w:tc>
      </w:tr>
      <w:tr w:rsidR="644BB295" w:rsidTr="10AE5CD7" w14:paraId="4EC10C59">
        <w:trPr>
          <w:trHeight w:val="300"/>
        </w:trPr>
        <w:tc>
          <w:tcPr>
            <w:tcW w:w="1380" w:type="dxa"/>
            <w:tcBorders>
              <w:top w:val="single" w:color="8EA9DB" w:sz="6"/>
              <w:left w:val="single" w:color="8EA9DB" w:sz="6"/>
              <w:bottom w:val="single" w:color="8EA9DB" w:sz="6"/>
              <w:right w:val="nil"/>
            </w:tcBorders>
            <w:tcMar/>
            <w:vAlign w:val="bottom"/>
          </w:tcPr>
          <w:p w:rsidR="644BB295" w:rsidP="644BB295" w:rsidRDefault="644BB295" w14:paraId="736AC985" w14:textId="2DD47FDC">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INPPL1</w:t>
            </w:r>
          </w:p>
        </w:tc>
        <w:tc>
          <w:tcPr>
            <w:tcW w:w="5550" w:type="dxa"/>
            <w:tcBorders>
              <w:top w:val="single" w:color="8EA9DB" w:sz="6"/>
              <w:left w:val="nil"/>
              <w:bottom w:val="single" w:color="8EA9DB" w:sz="6"/>
              <w:right w:val="nil"/>
            </w:tcBorders>
            <w:tcMar/>
            <w:vAlign w:val="bottom"/>
          </w:tcPr>
          <w:p w:rsidR="644BB295" w:rsidP="644BB295" w:rsidRDefault="644BB295" w14:paraId="5167854C" w14:textId="5D265E29">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inositol polyphosphate phosphatase like 1(INPPL1)</w:t>
            </w:r>
          </w:p>
        </w:tc>
        <w:tc>
          <w:tcPr>
            <w:tcW w:w="1755" w:type="dxa"/>
            <w:tcBorders>
              <w:top w:val="single" w:color="8EA9DB" w:sz="6"/>
              <w:left w:val="nil"/>
              <w:bottom w:val="single" w:color="8EA9DB" w:sz="6"/>
              <w:right w:val="nil"/>
            </w:tcBorders>
            <w:tcMar/>
            <w:vAlign w:val="bottom"/>
          </w:tcPr>
          <w:p w:rsidR="644BB295" w:rsidP="644BB295" w:rsidRDefault="644BB295" w14:paraId="3AECC529" w14:textId="414EA1EF">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4.347005122</w:t>
            </w:r>
          </w:p>
        </w:tc>
      </w:tr>
      <w:tr w:rsidR="644BB295" w:rsidTr="10AE5CD7" w14:paraId="108A6DF0">
        <w:trPr>
          <w:trHeight w:val="300"/>
        </w:trPr>
        <w:tc>
          <w:tcPr>
            <w:tcW w:w="1380" w:type="dxa"/>
            <w:tcBorders>
              <w:top w:val="single" w:color="8EA9DB" w:sz="6"/>
              <w:left w:val="single" w:color="8EA9DB" w:sz="6"/>
              <w:bottom w:val="single" w:color="8EA9DB" w:sz="6"/>
              <w:right w:val="nil"/>
            </w:tcBorders>
            <w:shd w:val="clear" w:color="auto" w:fill="D9E1F2"/>
            <w:tcMar/>
            <w:vAlign w:val="bottom"/>
          </w:tcPr>
          <w:p w:rsidR="644BB295" w:rsidP="644BB295" w:rsidRDefault="644BB295" w14:paraId="2526D481" w14:textId="4D4F451B">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NECTIN4</w:t>
            </w:r>
          </w:p>
        </w:tc>
        <w:tc>
          <w:tcPr>
            <w:tcW w:w="5550" w:type="dxa"/>
            <w:tcBorders>
              <w:top w:val="single" w:color="8EA9DB" w:sz="6"/>
              <w:left w:val="nil"/>
              <w:bottom w:val="single" w:color="8EA9DB" w:sz="6"/>
              <w:right w:val="nil"/>
            </w:tcBorders>
            <w:shd w:val="clear" w:color="auto" w:fill="D9E1F2"/>
            <w:tcMar/>
            <w:vAlign w:val="bottom"/>
          </w:tcPr>
          <w:p w:rsidR="644BB295" w:rsidP="644BB295" w:rsidRDefault="644BB295" w14:paraId="73B67C14" w14:textId="5C14368C">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nectin cell adhesion molecule 4(NECTIN4)</w:t>
            </w:r>
          </w:p>
        </w:tc>
        <w:tc>
          <w:tcPr>
            <w:tcW w:w="1755" w:type="dxa"/>
            <w:tcBorders>
              <w:top w:val="single" w:color="8EA9DB" w:sz="6"/>
              <w:left w:val="nil"/>
              <w:bottom w:val="single" w:color="8EA9DB" w:sz="6"/>
              <w:right w:val="nil"/>
            </w:tcBorders>
            <w:shd w:val="clear" w:color="auto" w:fill="D9E1F2"/>
            <w:tcMar/>
            <w:vAlign w:val="bottom"/>
          </w:tcPr>
          <w:p w:rsidR="644BB295" w:rsidP="644BB295" w:rsidRDefault="644BB295" w14:paraId="5E844C74" w14:textId="330F3122">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4.266390305</w:t>
            </w:r>
          </w:p>
        </w:tc>
      </w:tr>
      <w:tr w:rsidR="644BB295" w:rsidTr="10AE5CD7" w14:paraId="27C01BF3">
        <w:trPr>
          <w:trHeight w:val="300"/>
        </w:trPr>
        <w:tc>
          <w:tcPr>
            <w:tcW w:w="1380" w:type="dxa"/>
            <w:tcBorders>
              <w:top w:val="single" w:color="8EA9DB" w:sz="6"/>
              <w:left w:val="single" w:color="8EA9DB" w:sz="6"/>
              <w:bottom w:val="single" w:color="8EA9DB" w:sz="6"/>
              <w:right w:val="nil"/>
            </w:tcBorders>
            <w:tcMar/>
            <w:vAlign w:val="bottom"/>
          </w:tcPr>
          <w:p w:rsidR="644BB295" w:rsidP="644BB295" w:rsidRDefault="644BB295" w14:paraId="33F57A34" w14:textId="39853E14">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PDGFB</w:t>
            </w:r>
          </w:p>
        </w:tc>
        <w:tc>
          <w:tcPr>
            <w:tcW w:w="5550" w:type="dxa"/>
            <w:tcBorders>
              <w:top w:val="single" w:color="8EA9DB" w:sz="6"/>
              <w:left w:val="nil"/>
              <w:bottom w:val="single" w:color="8EA9DB" w:sz="6"/>
              <w:right w:val="nil"/>
            </w:tcBorders>
            <w:tcMar/>
            <w:vAlign w:val="bottom"/>
          </w:tcPr>
          <w:p w:rsidR="644BB295" w:rsidP="644BB295" w:rsidRDefault="644BB295" w14:paraId="20000C9B" w14:textId="2979D748">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platelet derived growth factor subunit B(PDGFB)</w:t>
            </w:r>
          </w:p>
        </w:tc>
        <w:tc>
          <w:tcPr>
            <w:tcW w:w="1755" w:type="dxa"/>
            <w:tcBorders>
              <w:top w:val="single" w:color="8EA9DB" w:sz="6"/>
              <w:left w:val="nil"/>
              <w:bottom w:val="single" w:color="8EA9DB" w:sz="6"/>
              <w:right w:val="nil"/>
            </w:tcBorders>
            <w:tcMar/>
            <w:vAlign w:val="bottom"/>
          </w:tcPr>
          <w:p w:rsidR="644BB295" w:rsidP="644BB295" w:rsidRDefault="644BB295" w14:paraId="6CD4C5DC" w14:textId="648CD6E9">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5.294020144</w:t>
            </w:r>
          </w:p>
        </w:tc>
      </w:tr>
      <w:tr w:rsidR="644BB295" w:rsidTr="10AE5CD7" w14:paraId="239E9E2A">
        <w:trPr>
          <w:trHeight w:val="300"/>
        </w:trPr>
        <w:tc>
          <w:tcPr>
            <w:tcW w:w="1380" w:type="dxa"/>
            <w:tcBorders>
              <w:top w:val="single" w:color="8EA9DB" w:sz="6"/>
              <w:left w:val="single" w:color="8EA9DB" w:sz="6"/>
              <w:bottom w:val="single" w:color="8EA9DB" w:sz="6"/>
              <w:right w:val="nil"/>
            </w:tcBorders>
            <w:shd w:val="clear" w:color="auto" w:fill="D9E1F2"/>
            <w:tcMar/>
            <w:vAlign w:val="bottom"/>
          </w:tcPr>
          <w:p w:rsidR="644BB295" w:rsidP="644BB295" w:rsidRDefault="644BB295" w14:paraId="47234F0A" w14:textId="2437568F">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RGMB</w:t>
            </w:r>
          </w:p>
        </w:tc>
        <w:tc>
          <w:tcPr>
            <w:tcW w:w="5550" w:type="dxa"/>
            <w:tcBorders>
              <w:top w:val="single" w:color="8EA9DB" w:sz="6"/>
              <w:left w:val="nil"/>
              <w:bottom w:val="single" w:color="8EA9DB" w:sz="6"/>
              <w:right w:val="nil"/>
            </w:tcBorders>
            <w:shd w:val="clear" w:color="auto" w:fill="D9E1F2"/>
            <w:tcMar/>
            <w:vAlign w:val="bottom"/>
          </w:tcPr>
          <w:p w:rsidR="644BB295" w:rsidP="644BB295" w:rsidRDefault="644BB295" w14:paraId="6E7C4663" w14:textId="642672EB">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repulsive guidance molecule BMP co-receptor b(RGMB)</w:t>
            </w:r>
          </w:p>
        </w:tc>
        <w:tc>
          <w:tcPr>
            <w:tcW w:w="1755" w:type="dxa"/>
            <w:tcBorders>
              <w:top w:val="single" w:color="8EA9DB" w:sz="6"/>
              <w:left w:val="nil"/>
              <w:bottom w:val="single" w:color="8EA9DB" w:sz="6"/>
              <w:right w:val="nil"/>
            </w:tcBorders>
            <w:shd w:val="clear" w:color="auto" w:fill="D9E1F2"/>
            <w:tcMar/>
            <w:vAlign w:val="bottom"/>
          </w:tcPr>
          <w:p w:rsidR="644BB295" w:rsidP="644BB295" w:rsidRDefault="644BB295" w14:paraId="707CBC51" w14:textId="5F3B8830">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4.058232689</w:t>
            </w:r>
          </w:p>
        </w:tc>
      </w:tr>
      <w:tr w:rsidR="644BB295" w:rsidTr="10AE5CD7" w14:paraId="4511AD83">
        <w:trPr>
          <w:trHeight w:val="300"/>
        </w:trPr>
        <w:tc>
          <w:tcPr>
            <w:tcW w:w="1380" w:type="dxa"/>
            <w:tcBorders>
              <w:top w:val="single" w:color="8EA9DB" w:sz="6"/>
              <w:left w:val="single" w:color="8EA9DB" w:sz="6"/>
              <w:bottom w:val="single" w:color="8EA9DB" w:sz="6"/>
              <w:right w:val="nil"/>
            </w:tcBorders>
            <w:tcMar/>
            <w:vAlign w:val="bottom"/>
          </w:tcPr>
          <w:p w:rsidR="644BB295" w:rsidP="644BB295" w:rsidRDefault="644BB295" w14:paraId="1BBE8602" w14:textId="3BFCE46D">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SPRY4</w:t>
            </w:r>
          </w:p>
        </w:tc>
        <w:tc>
          <w:tcPr>
            <w:tcW w:w="5550" w:type="dxa"/>
            <w:tcBorders>
              <w:top w:val="single" w:color="8EA9DB" w:sz="6"/>
              <w:left w:val="nil"/>
              <w:bottom w:val="single" w:color="8EA9DB" w:sz="6"/>
              <w:right w:val="nil"/>
            </w:tcBorders>
            <w:tcMar/>
            <w:vAlign w:val="bottom"/>
          </w:tcPr>
          <w:p w:rsidR="644BB295" w:rsidP="644BB295" w:rsidRDefault="644BB295" w14:paraId="0AECACFC" w14:textId="3C0BE7CA">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sprouty RTK signaling antagonist 4(SPRY4)</w:t>
            </w:r>
          </w:p>
        </w:tc>
        <w:tc>
          <w:tcPr>
            <w:tcW w:w="1755" w:type="dxa"/>
            <w:tcBorders>
              <w:top w:val="single" w:color="8EA9DB" w:sz="6"/>
              <w:left w:val="nil"/>
              <w:bottom w:val="single" w:color="8EA9DB" w:sz="6"/>
              <w:right w:val="nil"/>
            </w:tcBorders>
            <w:tcMar/>
            <w:vAlign w:val="bottom"/>
          </w:tcPr>
          <w:p w:rsidR="644BB295" w:rsidP="644BB295" w:rsidRDefault="644BB295" w14:paraId="7FBCADB8" w14:textId="388E6C0E">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4.631111124</w:t>
            </w:r>
          </w:p>
        </w:tc>
      </w:tr>
      <w:tr w:rsidR="644BB295" w:rsidTr="10AE5CD7" w14:paraId="02D193C9">
        <w:trPr>
          <w:trHeight w:val="300"/>
        </w:trPr>
        <w:tc>
          <w:tcPr>
            <w:tcW w:w="1380" w:type="dxa"/>
            <w:tcBorders>
              <w:top w:val="single" w:color="8EA9DB" w:sz="6"/>
              <w:left w:val="single" w:color="8EA9DB" w:sz="6"/>
              <w:bottom w:val="single" w:color="8EA9DB" w:sz="6"/>
              <w:right w:val="nil"/>
            </w:tcBorders>
            <w:shd w:val="clear" w:color="auto" w:fill="D9E1F2"/>
            <w:tcMar/>
            <w:vAlign w:val="bottom"/>
          </w:tcPr>
          <w:p w:rsidR="644BB295" w:rsidP="644BB295" w:rsidRDefault="644BB295" w14:paraId="518552D4" w14:textId="0249FDFE">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STX3</w:t>
            </w:r>
          </w:p>
        </w:tc>
        <w:tc>
          <w:tcPr>
            <w:tcW w:w="5550" w:type="dxa"/>
            <w:tcBorders>
              <w:top w:val="single" w:color="8EA9DB" w:sz="6"/>
              <w:left w:val="nil"/>
              <w:bottom w:val="single" w:color="8EA9DB" w:sz="6"/>
              <w:right w:val="nil"/>
            </w:tcBorders>
            <w:shd w:val="clear" w:color="auto" w:fill="D9E1F2"/>
            <w:tcMar/>
            <w:vAlign w:val="bottom"/>
          </w:tcPr>
          <w:p w:rsidR="644BB295" w:rsidP="644BB295" w:rsidRDefault="644BB295" w14:paraId="4A41594B" w14:textId="7151830E">
            <w:pPr>
              <w:spacing w:before="0" w:beforeAutospacing="off" w:after="0" w:afterAutospacing="off" w:line="259" w:lineRule="auto"/>
              <w:rPr>
                <w:rFonts w:ascii="Calibri" w:hAnsi="Calibri" w:eastAsia="Calibri" w:cs="Calibri"/>
                <w:b w:val="0"/>
                <w:bCs w:val="0"/>
                <w:i w:val="0"/>
                <w:iCs w:val="0"/>
                <w:caps w:val="0"/>
                <w:smallCaps w:val="0"/>
                <w:color w:val="000000" w:themeColor="text1" w:themeTint="FF" w:themeShade="FF"/>
                <w:sz w:val="22"/>
                <w:szCs w:val="22"/>
              </w:rPr>
            </w:pPr>
            <w:r w:rsidRPr="644BB295" w:rsidR="644BB295">
              <w:rPr>
                <w:rFonts w:ascii="Calibri" w:hAnsi="Calibri" w:eastAsia="Calibri" w:cs="Calibri"/>
                <w:b w:val="0"/>
                <w:bCs w:val="0"/>
                <w:i w:val="0"/>
                <w:iCs w:val="0"/>
                <w:caps w:val="0"/>
                <w:smallCaps w:val="0"/>
                <w:strike w:val="0"/>
                <w:dstrike w:val="0"/>
                <w:color w:val="000000" w:themeColor="text1" w:themeTint="FF" w:themeShade="FF"/>
                <w:sz w:val="22"/>
                <w:szCs w:val="22"/>
                <w:u w:val="none"/>
                <w:lang w:val="en-GB"/>
              </w:rPr>
              <w:t>syntaxin 3(STX3)</w:t>
            </w:r>
          </w:p>
        </w:tc>
        <w:tc>
          <w:tcPr>
            <w:tcW w:w="1755" w:type="dxa"/>
            <w:tcBorders>
              <w:top w:val="single" w:color="8EA9DB" w:sz="6"/>
              <w:left w:val="nil"/>
              <w:bottom w:val="single" w:color="8EA9DB" w:sz="6"/>
              <w:right w:val="nil"/>
            </w:tcBorders>
            <w:shd w:val="clear" w:color="auto" w:fill="D9E1F2"/>
            <w:tcMar/>
            <w:vAlign w:val="bottom"/>
          </w:tcPr>
          <w:p w:rsidR="644BB295" w:rsidP="644BB295" w:rsidRDefault="644BB295" w14:paraId="0FA8F3AB" w14:textId="664E45C9">
            <w:pPr>
              <w:spacing w:before="0" w:beforeAutospacing="off" w:after="0" w:afterAutospacing="off" w:line="259" w:lineRule="auto"/>
              <w:ind w:left="-20" w:right="-20"/>
              <w:rPr>
                <w:rFonts w:ascii="Arial" w:hAnsi="Arial" w:eastAsia="Arial" w:cs="Arial"/>
                <w:b w:val="0"/>
                <w:bCs w:val="0"/>
                <w:i w:val="0"/>
                <w:iCs w:val="0"/>
                <w:caps w:val="0"/>
                <w:smallCaps w:val="0"/>
                <w:color w:val="000000" w:themeColor="text1" w:themeTint="FF" w:themeShade="FF"/>
                <w:sz w:val="20"/>
                <w:szCs w:val="20"/>
              </w:rPr>
            </w:pPr>
            <w:r w:rsidRPr="644BB295" w:rsidR="644BB295">
              <w:rPr>
                <w:rFonts w:ascii="Arial" w:hAnsi="Arial" w:eastAsia="Arial" w:cs="Arial"/>
                <w:b w:val="1"/>
                <w:bCs w:val="1"/>
                <w:i w:val="0"/>
                <w:iCs w:val="0"/>
                <w:caps w:val="0"/>
                <w:smallCaps w:val="0"/>
                <w:strike w:val="0"/>
                <w:dstrike w:val="0"/>
                <w:color w:val="000000" w:themeColor="text1" w:themeTint="FF" w:themeShade="FF"/>
                <w:sz w:val="20"/>
                <w:szCs w:val="20"/>
                <w:u w:val="none"/>
                <w:lang w:val="en-GB"/>
              </w:rPr>
              <w:t>4.680558382</w:t>
            </w:r>
          </w:p>
        </w:tc>
      </w:tr>
    </w:tbl>
    <w:p w:rsidR="10AE5CD7" w:rsidP="10AE5CD7" w:rsidRDefault="10AE5CD7" w14:paraId="6F0EA776" w14:textId="524B5818">
      <w:pPr>
        <w:pStyle w:val="Normal"/>
        <w:rPr/>
      </w:pPr>
    </w:p>
    <w:p w:rsidR="10AE5CD7" w:rsidP="10AE5CD7" w:rsidRDefault="10AE5CD7" w14:paraId="64F83BA5" w14:textId="2EB3F3E7">
      <w:pPr>
        <w:pStyle w:val="Normal"/>
        <w:rPr/>
      </w:pPr>
    </w:p>
    <w:p w:rsidR="10AE5CD7" w:rsidP="10AE5CD7" w:rsidRDefault="10AE5CD7" w14:paraId="25C6FD90" w14:textId="77BDF9BF">
      <w:pPr>
        <w:pStyle w:val="Normal"/>
        <w:rPr/>
      </w:pPr>
    </w:p>
    <w:p w:rsidR="10AE5CD7" w:rsidP="10AE5CD7" w:rsidRDefault="10AE5CD7" w14:paraId="0FCB3E24" w14:textId="5B2F8CEB">
      <w:pPr>
        <w:pStyle w:val="Normal"/>
        <w:rPr/>
      </w:pPr>
    </w:p>
    <w:p w:rsidR="10AE5CD7" w:rsidP="10AE5CD7" w:rsidRDefault="10AE5CD7" w14:paraId="25E8994F" w14:textId="5C32F175">
      <w:pPr>
        <w:pStyle w:val="Normal"/>
        <w:rPr/>
      </w:pPr>
    </w:p>
    <w:p w:rsidR="17F3F4AD" w:rsidP="10AE5CD7" w:rsidRDefault="17F3F4AD" w14:paraId="38615F6C" w14:textId="697CA7E0">
      <w:pPr>
        <w:pStyle w:val="Normal"/>
        <w:rPr/>
      </w:pPr>
      <w:r w:rsidR="17F3F4AD">
        <w:rPr/>
        <w:t>Further analysis is needed to understand the pathways involved</w:t>
      </w:r>
    </w:p>
    <w:p w:rsidR="10AE5CD7" w:rsidP="10AE5CD7" w:rsidRDefault="10AE5CD7" w14:paraId="4729D014" w14:textId="22E0C8DE">
      <w:pPr>
        <w:pStyle w:val="Normal"/>
        <w:rPr/>
      </w:pPr>
    </w:p>
    <w:p w:rsidR="2EF5B209" w:rsidP="644BB295" w:rsidRDefault="2EF5B209" w14:paraId="51A65650" w14:textId="6CEF153D">
      <w:pPr>
        <w:pStyle w:val="Normal"/>
        <w:rPr/>
      </w:pPr>
      <w:r w:rsidR="2EF5B209">
        <w:drawing>
          <wp:inline wp14:editId="2E6091EA" wp14:anchorId="06F2E4BA">
            <wp:extent cx="5943600" cy="3076575"/>
            <wp:effectExtent l="0" t="0" r="0" b="0"/>
            <wp:docPr id="524497333" name="" title=""/>
            <wp:cNvGraphicFramePr>
              <a:graphicFrameLocks noChangeAspect="1"/>
            </wp:cNvGraphicFramePr>
            <a:graphic>
              <a:graphicData uri="http://schemas.openxmlformats.org/drawingml/2006/picture">
                <pic:pic>
                  <pic:nvPicPr>
                    <pic:cNvPr id="0" name=""/>
                    <pic:cNvPicPr/>
                  </pic:nvPicPr>
                  <pic:blipFill>
                    <a:blip r:embed="R4bf1fef848e544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76575"/>
                    </a:xfrm>
                    <a:prstGeom prst="rect">
                      <a:avLst/>
                    </a:prstGeom>
                  </pic:spPr>
                </pic:pic>
              </a:graphicData>
            </a:graphic>
          </wp:inline>
        </w:drawing>
      </w:r>
    </w:p>
    <w:p w:rsidR="5E8DA0B0" w:rsidP="10AE5CD7" w:rsidRDefault="5E8DA0B0" w14:paraId="2637822E" w14:textId="6953CDD5">
      <w:pPr>
        <w:pStyle w:val="Normal"/>
        <w:rPr>
          <w:b w:val="1"/>
          <w:bCs w:val="1"/>
        </w:rPr>
      </w:pPr>
      <w:r w:rsidRPr="10AE5CD7" w:rsidR="5E8DA0B0">
        <w:rPr>
          <w:b w:val="1"/>
          <w:bCs w:val="1"/>
        </w:rPr>
        <w:t xml:space="preserve">Figure. Direct targets of miRNA 29 affect </w:t>
      </w:r>
      <w:r w:rsidRPr="10AE5CD7" w:rsidR="60A8A0AB">
        <w:rPr>
          <w:b w:val="1"/>
          <w:bCs w:val="1"/>
        </w:rPr>
        <w:t xml:space="preserve">signaling pathway and </w:t>
      </w:r>
      <w:r w:rsidRPr="10AE5CD7" w:rsidR="5E8DA0B0">
        <w:rPr>
          <w:b w:val="1"/>
          <w:bCs w:val="1"/>
        </w:rPr>
        <w:t xml:space="preserve">gene </w:t>
      </w:r>
      <w:r w:rsidRPr="10AE5CD7" w:rsidR="5E8DA0B0">
        <w:rPr>
          <w:b w:val="1"/>
          <w:bCs w:val="1"/>
        </w:rPr>
        <w:t>proliferation</w:t>
      </w:r>
      <w:r w:rsidRPr="10AE5CD7" w:rsidR="5170C575">
        <w:rPr>
          <w:b w:val="1"/>
          <w:bCs w:val="1"/>
        </w:rPr>
        <w:t xml:space="preserve">. KEGG enriched pathways obtained using the genes with a fold change higher than 4. </w:t>
      </w:r>
    </w:p>
    <w:p w:rsidR="6DC6617B" w:rsidP="10AE5CD7" w:rsidRDefault="6DC6617B" w14:paraId="6DBB2720" w14:textId="379CA588">
      <w:pPr>
        <w:pStyle w:val="Normal"/>
        <w:rPr/>
      </w:pPr>
      <w:r w:rsidR="6DC6617B">
        <w:rPr/>
        <w:t>Write down mRNAs</w:t>
      </w:r>
    </w:p>
    <w:p w:rsidR="7AA3EB9A" w:rsidP="644BB295" w:rsidRDefault="7AA3EB9A" w14:paraId="2870C2FB" w14:textId="5C7057F1">
      <w:pPr>
        <w:pStyle w:val="Normal"/>
        <w:rPr/>
      </w:pPr>
      <w:r w:rsidR="7AA3EB9A">
        <w:drawing>
          <wp:inline wp14:editId="399B4A9F" wp14:anchorId="3491EFB8">
            <wp:extent cx="4858934" cy="2926334"/>
            <wp:effectExtent l="0" t="0" r="0" b="0"/>
            <wp:docPr id="639647109" name="" title=""/>
            <wp:cNvGraphicFramePr>
              <a:graphicFrameLocks noChangeAspect="1"/>
            </wp:cNvGraphicFramePr>
            <a:graphic>
              <a:graphicData uri="http://schemas.openxmlformats.org/drawingml/2006/picture">
                <pic:pic>
                  <pic:nvPicPr>
                    <pic:cNvPr id="0" name=""/>
                    <pic:cNvPicPr/>
                  </pic:nvPicPr>
                  <pic:blipFill>
                    <a:blip r:embed="R83052e1df42d44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8934" cy="2926334"/>
                    </a:xfrm>
                    <a:prstGeom prst="rect">
                      <a:avLst/>
                    </a:prstGeom>
                  </pic:spPr>
                </pic:pic>
              </a:graphicData>
            </a:graphic>
          </wp:inline>
        </w:drawing>
      </w:r>
    </w:p>
    <w:p w:rsidR="15D31CF6" w:rsidP="10AE5CD7" w:rsidRDefault="15D31CF6" w14:paraId="5EBE4D91" w14:textId="127DF498">
      <w:pPr>
        <w:pStyle w:val="Normal"/>
        <w:rPr/>
      </w:pPr>
      <w:r w:rsidRPr="10AE5CD7" w:rsidR="15D31CF6">
        <w:rPr>
          <w:b w:val="1"/>
          <w:bCs w:val="1"/>
        </w:rPr>
        <w:t xml:space="preserve">Figure. MiRNA29 direct targets were found to </w:t>
      </w:r>
      <w:r w:rsidRPr="10AE5CD7" w:rsidR="15D31CF6">
        <w:rPr>
          <w:b w:val="1"/>
          <w:bCs w:val="1"/>
        </w:rPr>
        <w:t>impact</w:t>
      </w:r>
      <w:r w:rsidRPr="10AE5CD7" w:rsidR="15D31CF6">
        <w:rPr>
          <w:b w:val="1"/>
          <w:bCs w:val="1"/>
        </w:rPr>
        <w:t xml:space="preserve"> transcription and adhesion.</w:t>
      </w:r>
      <w:r w:rsidR="15D31CF6">
        <w:rPr/>
        <w:t xml:space="preserve"> The 100 genes with the highest fold change were chosen to prioritize the selection of miRNA 29 targets. Notably, among these genes, the last two are associated with adhesion processes. Despite this, the most significant increase </w:t>
      </w:r>
      <w:r w:rsidR="15D31CF6">
        <w:rPr/>
        <w:t>observed</w:t>
      </w:r>
      <w:r w:rsidR="15D31CF6">
        <w:rPr/>
        <w:t xml:space="preserve"> still pertains to transcriptional regulation, suggesting a substantial impact of miRNA29 on gene expression regulation.</w:t>
      </w:r>
      <w:r w:rsidR="25AF8876">
        <w:rPr/>
        <w:t xml:space="preserve"> ** </w:t>
      </w:r>
      <w:r w:rsidR="72C8630C">
        <w:rPr/>
        <w:t xml:space="preserve">Pathway analysis unveiled the influence of miRNA29's direct targets on mRNA stability. Nevertheless, </w:t>
      </w:r>
      <w:r w:rsidR="72C8630C">
        <w:rPr/>
        <w:t>it's</w:t>
      </w:r>
      <w:r w:rsidR="72C8630C">
        <w:rPr/>
        <w:t xml:space="preserve"> </w:t>
      </w:r>
      <w:r w:rsidR="72C8630C">
        <w:rPr/>
        <w:t>important t</w:t>
      </w:r>
      <w:r w:rsidR="72C8630C">
        <w:rPr/>
        <w:t>o acknowledge the possibility of noise signals contributing to these findings.</w:t>
      </w:r>
    </w:p>
    <w:p w:rsidR="5BB4A36A" w:rsidP="10AE5CD7" w:rsidRDefault="5BB4A36A" w14:paraId="59FE640D" w14:textId="4C7542E0">
      <w:pPr>
        <w:pStyle w:val="Normal"/>
        <w:rPr/>
      </w:pPr>
      <w:r w:rsidR="5BB4A36A">
        <w:drawing>
          <wp:inline wp14:editId="748043AC" wp14:anchorId="45F85954">
            <wp:extent cx="4712616" cy="2664183"/>
            <wp:effectExtent l="0" t="0" r="0" b="0"/>
            <wp:docPr id="1871420653" name="" title=""/>
            <wp:cNvGraphicFramePr>
              <a:graphicFrameLocks noChangeAspect="1"/>
            </wp:cNvGraphicFramePr>
            <a:graphic>
              <a:graphicData uri="http://schemas.openxmlformats.org/drawingml/2006/picture">
                <pic:pic>
                  <pic:nvPicPr>
                    <pic:cNvPr id="0" name=""/>
                    <pic:cNvPicPr/>
                  </pic:nvPicPr>
                  <pic:blipFill>
                    <a:blip r:embed="Rb70b65a44c2a465d">
                      <a:extLst>
                        <a:ext xmlns:a="http://schemas.openxmlformats.org/drawingml/2006/main" uri="{28A0092B-C50C-407E-A947-70E740481C1C}">
                          <a14:useLocalDpi val="0"/>
                        </a:ext>
                      </a:extLst>
                    </a:blip>
                    <a:stretch>
                      <a:fillRect/>
                    </a:stretch>
                  </pic:blipFill>
                  <pic:spPr>
                    <a:xfrm>
                      <a:off x="0" y="0"/>
                      <a:ext cx="4712616" cy="2664183"/>
                    </a:xfrm>
                    <a:prstGeom prst="rect">
                      <a:avLst/>
                    </a:prstGeom>
                  </pic:spPr>
                </pic:pic>
              </a:graphicData>
            </a:graphic>
          </wp:inline>
        </w:drawing>
      </w:r>
    </w:p>
    <w:p w:rsidR="10AE5CD7" w:rsidP="10AE5CD7" w:rsidRDefault="10AE5CD7" w14:paraId="7FB74EF5" w14:textId="78D04368">
      <w:pPr>
        <w:pStyle w:val="Normal"/>
        <w:rPr/>
      </w:pPr>
    </w:p>
    <w:p w:rsidR="25B33476" w:rsidP="10AE5CD7" w:rsidRDefault="25B33476" w14:paraId="24D60464" w14:textId="785F95EA">
      <w:pPr>
        <w:pStyle w:val="Heading2"/>
        <w:rPr/>
      </w:pPr>
      <w:r w:rsidR="25B33476">
        <w:rPr/>
        <w:t xml:space="preserve">Analysis of common mRNAs in the </w:t>
      </w:r>
      <w:r w:rsidR="25B33476">
        <w:rPr/>
        <w:t>mirCLIP</w:t>
      </w:r>
      <w:r w:rsidR="25B33476">
        <w:rPr/>
        <w:t xml:space="preserve"> data and gene expression in fast adhesion with the presence of the miRNA29 inhibitor (</w:t>
      </w:r>
      <w:r w:rsidR="25B33476">
        <w:rPr/>
        <w:t>fast_abc</w:t>
      </w:r>
      <w:r w:rsidR="25B33476">
        <w:rPr/>
        <w:t>)</w:t>
      </w:r>
    </w:p>
    <w:p w:rsidR="3D43F5DC" w:rsidP="10AE5CD7" w:rsidRDefault="3D43F5DC" w14:paraId="37AEB151" w14:textId="30A68462">
      <w:pPr>
        <w:pStyle w:val="Normal"/>
        <w:rPr/>
      </w:pPr>
      <w:r w:rsidR="3D43F5DC">
        <w:rPr/>
        <w:t>66 mRNAs exhibited common upregulation in fast adhesion keratinocytes with the presence of the miRNA29 inhibitor (log2(foldChange) &gt; 0.5, equivalent to 1.41 fold change) and in mirCLIP mRNAs with a fold change above 2.</w:t>
      </w:r>
    </w:p>
    <w:p w:rsidR="3D43F5DC" w:rsidP="10AE5CD7" w:rsidRDefault="3D43F5DC" w14:paraId="4A40A195" w14:textId="767AFC75">
      <w:pPr>
        <w:pStyle w:val="Normal"/>
        <w:rPr/>
      </w:pPr>
      <w:r w:rsidR="3D43F5DC">
        <w:rPr/>
        <w:t xml:space="preserve"> </w:t>
      </w:r>
    </w:p>
    <w:p w:rsidR="3D43F5DC" w:rsidP="10AE5CD7" w:rsidRDefault="3D43F5DC" w14:paraId="39DD6CF2" w14:textId="20708453">
      <w:pPr>
        <w:pStyle w:val="Normal"/>
        <w:rPr/>
      </w:pPr>
      <w:r w:rsidR="3D43F5DC">
        <w:rPr/>
        <w:t>The pathways influenced by this upregulation primarily included responses to cytokines, signaling cascades, and proliferation.</w:t>
      </w:r>
    </w:p>
    <w:p w:rsidR="3D43F5DC" w:rsidP="10AE5CD7" w:rsidRDefault="3D43F5DC" w14:paraId="0229E295" w14:textId="0905797C">
      <w:pPr>
        <w:pStyle w:val="Normal"/>
        <w:rPr/>
      </w:pPr>
      <w:r w:rsidR="3D43F5DC">
        <w:rPr/>
        <w:t xml:space="preserve"> </w:t>
      </w:r>
    </w:p>
    <w:p w:rsidR="3D43F5DC" w:rsidP="10AE5CD7" w:rsidRDefault="3D43F5DC" w14:paraId="0EC9ABF1" w14:textId="623C74BD">
      <w:pPr>
        <w:pStyle w:val="Normal"/>
        <w:rPr/>
      </w:pPr>
      <w:r w:rsidR="3D43F5DC">
        <w:rPr/>
        <w:t>However, upon raising the mirCLIP fold change threshold to 4, only 12 mRNAs remained common between the two datasets.</w:t>
      </w:r>
    </w:p>
    <w:p w:rsidR="644BB295" w:rsidP="644BB295" w:rsidRDefault="644BB295" w14:paraId="53C3742D" w14:textId="43A4FCD7">
      <w:pPr>
        <w:pStyle w:val="Normal"/>
        <w:rPr/>
      </w:pPr>
    </w:p>
    <w:p w:rsidR="644BB295" w:rsidP="644BB295" w:rsidRDefault="644BB295" w14:paraId="386C24D6" w14:textId="022052B1">
      <w:pPr>
        <w:pStyle w:val="Normal"/>
        <w:rPr/>
      </w:pPr>
    </w:p>
    <w:p w:rsidR="644BB295" w:rsidP="644BB295" w:rsidRDefault="644BB295" w14:paraId="4EEEBA5C" w14:textId="4CAED3BF">
      <w:pPr>
        <w:pStyle w:val="Normal"/>
        <w:rPr/>
      </w:pPr>
    </w:p>
    <w:p w:rsidR="644BB295" w:rsidP="644BB295" w:rsidRDefault="644BB295" w14:paraId="2ACC8552" w14:textId="00A1ED39">
      <w:pPr>
        <w:pStyle w:val="Normal"/>
        <w:rPr/>
      </w:pPr>
    </w:p>
    <w:p w:rsidR="644BB295" w:rsidP="644BB295" w:rsidRDefault="644BB295" w14:paraId="126C8481" w14:textId="58D3E4AC">
      <w:pPr>
        <w:pStyle w:val="Normal"/>
        <w:rPr/>
      </w:pPr>
    </w:p>
    <w:p w:rsidR="644BB295" w:rsidP="644BB295" w:rsidRDefault="644BB295" w14:paraId="30DF7859" w14:textId="6910CDE3">
      <w:pPr>
        <w:pStyle w:val="Normal"/>
        <w:rPr/>
      </w:pPr>
    </w:p>
    <w:p w:rsidR="644BB295" w:rsidP="644BB295" w:rsidRDefault="644BB295" w14:paraId="1C89DAA3" w14:textId="61512675">
      <w:pPr>
        <w:pStyle w:val="Normal"/>
        <w:rPr/>
      </w:pPr>
    </w:p>
    <w:p w:rsidR="2F45F97F" w:rsidP="10AE5CD7" w:rsidRDefault="2F45F97F" w14:paraId="0E26DC9F" w14:textId="37E19904">
      <w:pPr>
        <w:pStyle w:val="Normal"/>
        <w:rPr/>
      </w:pPr>
      <w:r w:rsidR="2F45F97F">
        <w:rPr/>
        <w:t>Despite this, it was evident that miRNA29 targeted mRNAs associated with cell adhesion and growth. Notably, these were the only categories with more than one mRNA per category.</w:t>
      </w:r>
    </w:p>
    <w:tbl>
      <w:tblPr>
        <w:tblStyle w:val="TableNormal"/>
        <w:tblW w:w="0" w:type="auto"/>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Layout w:type="fixed"/>
        <w:tblLook w:val="06A0" w:firstRow="1" w:lastRow="0" w:firstColumn="1" w:lastColumn="0" w:noHBand="1" w:noVBand="1"/>
      </w:tblPr>
      <w:tblGrid>
        <w:gridCol w:w="1575"/>
        <w:gridCol w:w="1970"/>
        <w:gridCol w:w="1185"/>
        <w:gridCol w:w="974"/>
        <w:gridCol w:w="1661"/>
        <w:gridCol w:w="2162"/>
      </w:tblGrid>
      <w:tr w:rsidR="644BB295" w:rsidTr="644BB295" w14:paraId="683DD96F">
        <w:trPr>
          <w:trHeight w:val="285"/>
        </w:trPr>
        <w:tc>
          <w:tcPr>
            <w:tcW w:w="1575" w:type="dxa"/>
            <w:shd w:val="clear" w:color="auto" w:fill="4472C4"/>
            <w:tcMar>
              <w:top w:w="15" w:type="dxa"/>
              <w:left w:w="15" w:type="dxa"/>
              <w:right w:w="15" w:type="dxa"/>
            </w:tcMar>
            <w:vAlign w:val="bottom"/>
          </w:tcPr>
          <w:p w:rsidR="644BB295" w:rsidP="644BB295" w:rsidRDefault="644BB295" w14:paraId="2E20F1C4" w14:textId="5BEF6A5E">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geneSet</w:t>
            </w:r>
          </w:p>
        </w:tc>
        <w:tc>
          <w:tcPr>
            <w:tcW w:w="1970" w:type="dxa"/>
            <w:shd w:val="clear" w:color="auto" w:fill="4472C4"/>
            <w:tcMar>
              <w:top w:w="15" w:type="dxa"/>
              <w:left w:w="15" w:type="dxa"/>
              <w:right w:w="15" w:type="dxa"/>
            </w:tcMar>
            <w:vAlign w:val="bottom"/>
          </w:tcPr>
          <w:p w:rsidR="644BB295" w:rsidP="644BB295" w:rsidRDefault="644BB295" w14:paraId="30A1F819" w14:textId="512642FE">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description</w:t>
            </w:r>
          </w:p>
        </w:tc>
        <w:tc>
          <w:tcPr>
            <w:tcW w:w="1185" w:type="dxa"/>
            <w:shd w:val="clear" w:color="auto" w:fill="4472C4"/>
            <w:tcMar>
              <w:top w:w="15" w:type="dxa"/>
              <w:left w:w="15" w:type="dxa"/>
              <w:right w:w="15" w:type="dxa"/>
            </w:tcMar>
            <w:vAlign w:val="bottom"/>
          </w:tcPr>
          <w:p w:rsidR="77BB34F8" w:rsidP="644BB295" w:rsidRDefault="77BB34F8" w14:paraId="1C4776D8" w14:textId="2D1CC827">
            <w:pPr>
              <w:pStyle w:val="Normal"/>
              <w:suppressLineNumbers w:val="0"/>
              <w:bidi w:val="0"/>
              <w:spacing w:before="0" w:beforeAutospacing="off" w:after="0" w:afterAutospacing="off" w:line="279" w:lineRule="auto"/>
              <w:ind w:left="0" w:right="0"/>
              <w:jc w:val="left"/>
              <w:rPr>
                <w:rFonts w:ascii="Calibri" w:hAnsi="Calibri" w:eastAsia="Calibri" w:cs="Calibri"/>
                <w:b w:val="1"/>
                <w:bCs w:val="1"/>
                <w:i w:val="0"/>
                <w:iCs w:val="0"/>
                <w:strike w:val="0"/>
                <w:dstrike w:val="0"/>
                <w:color w:val="FFFFFF" w:themeColor="background1" w:themeTint="FF" w:themeShade="FF"/>
                <w:sz w:val="22"/>
                <w:szCs w:val="22"/>
                <w:u w:val="none"/>
              </w:rPr>
            </w:pPr>
            <w:r w:rsidRPr="644BB295" w:rsidR="77BB34F8">
              <w:rPr>
                <w:rFonts w:ascii="Calibri" w:hAnsi="Calibri" w:eastAsia="Calibri" w:cs="Calibri"/>
                <w:b w:val="1"/>
                <w:bCs w:val="1"/>
                <w:i w:val="0"/>
                <w:iCs w:val="0"/>
                <w:strike w:val="0"/>
                <w:dstrike w:val="0"/>
                <w:color w:val="FFFFFF" w:themeColor="background1" w:themeTint="FF" w:themeShade="FF"/>
                <w:sz w:val="22"/>
                <w:szCs w:val="22"/>
                <w:u w:val="none"/>
              </w:rPr>
              <w:t>N of mRNAs</w:t>
            </w:r>
          </w:p>
        </w:tc>
        <w:tc>
          <w:tcPr>
            <w:tcW w:w="974" w:type="dxa"/>
            <w:shd w:val="clear" w:color="auto" w:fill="4472C4"/>
            <w:tcMar>
              <w:top w:w="15" w:type="dxa"/>
              <w:left w:w="15" w:type="dxa"/>
              <w:right w:w="15" w:type="dxa"/>
            </w:tcMar>
            <w:vAlign w:val="bottom"/>
          </w:tcPr>
          <w:p w:rsidR="644BB295" w:rsidP="644BB295" w:rsidRDefault="644BB295" w14:paraId="786A86A0" w14:textId="2816FA3D">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pValue</w:t>
            </w:r>
          </w:p>
        </w:tc>
        <w:tc>
          <w:tcPr>
            <w:tcW w:w="1661" w:type="dxa"/>
            <w:shd w:val="clear" w:color="auto" w:fill="4472C4"/>
            <w:tcMar>
              <w:top w:w="15" w:type="dxa"/>
              <w:left w:w="15" w:type="dxa"/>
              <w:right w:w="15" w:type="dxa"/>
            </w:tcMar>
            <w:vAlign w:val="bottom"/>
          </w:tcPr>
          <w:p w:rsidR="02D54D34" w:rsidP="644BB295" w:rsidRDefault="02D54D34" w14:paraId="45CC55C0" w14:textId="3B95807C">
            <w:pPr>
              <w:pStyle w:val="Normal"/>
              <w:suppressLineNumbers w:val="0"/>
              <w:bidi w:val="0"/>
              <w:spacing w:before="0" w:beforeAutospacing="off" w:after="0" w:afterAutospacing="off" w:line="279" w:lineRule="auto"/>
              <w:ind w:left="0" w:right="0"/>
              <w:jc w:val="left"/>
              <w:rPr/>
            </w:pPr>
            <w:r w:rsidRPr="644BB295" w:rsidR="02D54D34">
              <w:rPr>
                <w:rFonts w:ascii="Calibri" w:hAnsi="Calibri" w:eastAsia="Calibri" w:cs="Calibri"/>
                <w:b w:val="1"/>
                <w:bCs w:val="1"/>
                <w:i w:val="0"/>
                <w:iCs w:val="0"/>
                <w:strike w:val="0"/>
                <w:dstrike w:val="0"/>
                <w:color w:val="FFFFFF" w:themeColor="background1" w:themeTint="FF" w:themeShade="FF"/>
                <w:sz w:val="22"/>
                <w:szCs w:val="22"/>
                <w:u w:val="none"/>
              </w:rPr>
              <w:t>mRNAs</w:t>
            </w:r>
          </w:p>
        </w:tc>
        <w:tc>
          <w:tcPr>
            <w:tcW w:w="2162" w:type="dxa"/>
            <w:shd w:val="clear" w:color="auto" w:fill="4472C4"/>
            <w:tcMar>
              <w:top w:w="15" w:type="dxa"/>
              <w:left w:w="15" w:type="dxa"/>
              <w:right w:w="15" w:type="dxa"/>
            </w:tcMar>
            <w:vAlign w:val="bottom"/>
          </w:tcPr>
          <w:p w:rsidR="644BB295" w:rsidP="644BB295" w:rsidRDefault="644BB295" w14:paraId="3088200A" w14:textId="43204E9E">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Average fold change</w:t>
            </w:r>
          </w:p>
        </w:tc>
      </w:tr>
      <w:tr w:rsidR="644BB295" w:rsidTr="644BB295" w14:paraId="2357FF5E">
        <w:trPr>
          <w:trHeight w:val="285"/>
        </w:trPr>
        <w:tc>
          <w:tcPr>
            <w:tcW w:w="1575" w:type="dxa"/>
            <w:shd w:val="clear" w:color="auto" w:fill="D9E1F2"/>
            <w:tcMar>
              <w:top w:w="15" w:type="dxa"/>
              <w:left w:w="15" w:type="dxa"/>
              <w:right w:w="15" w:type="dxa"/>
            </w:tcMar>
            <w:vAlign w:val="bottom"/>
          </w:tcPr>
          <w:p w:rsidR="644BB295" w:rsidP="644BB295" w:rsidRDefault="644BB295" w14:paraId="790AF305" w14:textId="41ECDF26">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R-HSA-446728</w:t>
            </w:r>
          </w:p>
        </w:tc>
        <w:tc>
          <w:tcPr>
            <w:tcW w:w="1970" w:type="dxa"/>
            <w:shd w:val="clear" w:color="auto" w:fill="D9E1F2"/>
            <w:tcMar>
              <w:top w:w="15" w:type="dxa"/>
              <w:left w:w="15" w:type="dxa"/>
              <w:right w:w="15" w:type="dxa"/>
            </w:tcMar>
            <w:vAlign w:val="bottom"/>
          </w:tcPr>
          <w:p w:rsidR="644BB295" w:rsidP="644BB295" w:rsidRDefault="644BB295" w14:paraId="631558F7" w14:textId="4D30BEAC">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Cell junction organization</w:t>
            </w:r>
          </w:p>
        </w:tc>
        <w:tc>
          <w:tcPr>
            <w:tcW w:w="1185" w:type="dxa"/>
            <w:shd w:val="clear" w:color="auto" w:fill="D9E1F2"/>
            <w:tcMar>
              <w:top w:w="15" w:type="dxa"/>
              <w:left w:w="15" w:type="dxa"/>
              <w:right w:w="15" w:type="dxa"/>
            </w:tcMar>
            <w:vAlign w:val="bottom"/>
          </w:tcPr>
          <w:p w:rsidR="644BB295" w:rsidP="644BB295" w:rsidRDefault="644BB295" w14:paraId="64321967" w14:textId="4C527BE8">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2</w:t>
            </w:r>
          </w:p>
        </w:tc>
        <w:tc>
          <w:tcPr>
            <w:tcW w:w="974" w:type="dxa"/>
            <w:shd w:val="clear" w:color="auto" w:fill="D9E1F2"/>
            <w:tcMar>
              <w:top w:w="15" w:type="dxa"/>
              <w:left w:w="15" w:type="dxa"/>
              <w:right w:w="15" w:type="dxa"/>
            </w:tcMar>
            <w:vAlign w:val="bottom"/>
          </w:tcPr>
          <w:p w:rsidR="644BB295" w:rsidP="644BB295" w:rsidRDefault="644BB295" w14:paraId="3F12F315" w14:textId="6C0D67F4">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0.001991</w:t>
            </w:r>
          </w:p>
        </w:tc>
        <w:tc>
          <w:tcPr>
            <w:tcW w:w="1661" w:type="dxa"/>
            <w:shd w:val="clear" w:color="auto" w:fill="D9E1F2"/>
            <w:tcMar>
              <w:top w:w="15" w:type="dxa"/>
              <w:left w:w="15" w:type="dxa"/>
              <w:right w:w="15" w:type="dxa"/>
            </w:tcMar>
            <w:vAlign w:val="bottom"/>
          </w:tcPr>
          <w:p w:rsidR="644BB295" w:rsidP="644BB295" w:rsidRDefault="644BB295" w14:paraId="33BE68CB" w14:textId="7DC309A8">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CLDN4;FERMT2</w:t>
            </w:r>
          </w:p>
        </w:tc>
        <w:tc>
          <w:tcPr>
            <w:tcW w:w="2162" w:type="dxa"/>
            <w:shd w:val="clear" w:color="auto" w:fill="D9E1F2"/>
            <w:tcMar>
              <w:top w:w="15" w:type="dxa"/>
              <w:left w:w="15" w:type="dxa"/>
              <w:right w:w="15" w:type="dxa"/>
            </w:tcMar>
            <w:vAlign w:val="bottom"/>
          </w:tcPr>
          <w:p w:rsidR="644BB295" w:rsidP="644BB295" w:rsidRDefault="644BB295" w14:paraId="5B6A6EB6" w14:textId="2700AD6B">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4.6</w:t>
            </w:r>
          </w:p>
        </w:tc>
      </w:tr>
    </w:tbl>
    <w:p w:rsidR="644BB295" w:rsidP="644BB295" w:rsidRDefault="644BB295" w14:paraId="73733E84" w14:textId="046DCE23">
      <w:pPr>
        <w:pStyle w:val="Normal"/>
        <w:rPr/>
      </w:pPr>
    </w:p>
    <w:tbl>
      <w:tblPr>
        <w:tblStyle w:val="TableNormal"/>
        <w:tblW w:w="9520" w:type="dxa"/>
        <w:tblBorders>
          <w:insideH w:val="single" w:color="000000" w:themeColor="text1" w:sz="2"/>
          <w:insideV w:val="single" w:color="000000" w:themeColor="text1" w:sz="2"/>
        </w:tblBorders>
        <w:tblLayout w:type="fixed"/>
        <w:tblLook w:val="06A0" w:firstRow="1" w:lastRow="0" w:firstColumn="1" w:lastColumn="0" w:noHBand="1" w:noVBand="1"/>
      </w:tblPr>
      <w:tblGrid>
        <w:gridCol w:w="1230"/>
        <w:gridCol w:w="1139"/>
        <w:gridCol w:w="825"/>
        <w:gridCol w:w="1260"/>
        <w:gridCol w:w="3525"/>
        <w:gridCol w:w="1541"/>
      </w:tblGrid>
      <w:tr w:rsidR="644BB295" w:rsidTr="10AE5CD7" w14:paraId="3E28511E">
        <w:trPr>
          <w:trHeight w:val="285"/>
        </w:trPr>
        <w:tc>
          <w:tcPr>
            <w:tcW w:w="1230" w:type="dxa"/>
            <w:tcBorders>
              <w:top w:val="single" w:color="8EA9DB" w:sz="4"/>
              <w:left w:val="single" w:color="8EA9DB" w:sz="4"/>
            </w:tcBorders>
            <w:shd w:val="clear" w:color="auto" w:fill="4472C4"/>
            <w:tcMar>
              <w:top w:w="15" w:type="dxa"/>
              <w:left w:w="15" w:type="dxa"/>
              <w:right w:w="15" w:type="dxa"/>
            </w:tcMar>
            <w:vAlign w:val="bottom"/>
          </w:tcPr>
          <w:p w:rsidR="644BB295" w:rsidP="644BB295" w:rsidRDefault="644BB295" w14:paraId="5D3C39C4" w14:textId="5CEB575B">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geneSet</w:t>
            </w:r>
          </w:p>
        </w:tc>
        <w:tc>
          <w:tcPr>
            <w:tcW w:w="1139" w:type="dxa"/>
            <w:tcBorders>
              <w:top w:val="single" w:color="8EA9DB" w:sz="4"/>
            </w:tcBorders>
            <w:shd w:val="clear" w:color="auto" w:fill="4472C4"/>
            <w:tcMar>
              <w:top w:w="15" w:type="dxa"/>
              <w:left w:w="15" w:type="dxa"/>
              <w:right w:w="15" w:type="dxa"/>
            </w:tcMar>
            <w:vAlign w:val="bottom"/>
          </w:tcPr>
          <w:p w:rsidR="644BB295" w:rsidP="644BB295" w:rsidRDefault="644BB295" w14:paraId="593CBC83" w14:textId="15183926">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description</w:t>
            </w:r>
          </w:p>
        </w:tc>
        <w:tc>
          <w:tcPr>
            <w:tcW w:w="825" w:type="dxa"/>
            <w:tcBorders>
              <w:top w:val="single" w:color="8EA9DB" w:sz="4"/>
            </w:tcBorders>
            <w:shd w:val="clear" w:color="auto" w:fill="4472C4"/>
            <w:tcMar>
              <w:top w:w="15" w:type="dxa"/>
              <w:left w:w="15" w:type="dxa"/>
              <w:right w:w="15" w:type="dxa"/>
            </w:tcMar>
            <w:vAlign w:val="bottom"/>
          </w:tcPr>
          <w:p w:rsidR="644BB295" w:rsidP="644BB295" w:rsidRDefault="644BB295" w14:paraId="7663DD17" w14:textId="53C98A25">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overlap</w:t>
            </w:r>
          </w:p>
        </w:tc>
        <w:tc>
          <w:tcPr>
            <w:tcW w:w="1260" w:type="dxa"/>
            <w:tcBorders>
              <w:top w:val="single" w:color="8EA9DB" w:sz="4"/>
            </w:tcBorders>
            <w:shd w:val="clear" w:color="auto" w:fill="4472C4"/>
            <w:tcMar>
              <w:top w:w="15" w:type="dxa"/>
              <w:left w:w="15" w:type="dxa"/>
              <w:right w:w="15" w:type="dxa"/>
            </w:tcMar>
            <w:vAlign w:val="bottom"/>
          </w:tcPr>
          <w:p w:rsidR="644BB295" w:rsidP="644BB295" w:rsidRDefault="644BB295" w14:paraId="4F237432" w14:textId="708EC1BD">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pValue</w:t>
            </w:r>
          </w:p>
        </w:tc>
        <w:tc>
          <w:tcPr>
            <w:tcW w:w="3525" w:type="dxa"/>
            <w:tcBorders>
              <w:top w:val="single" w:color="8EA9DB" w:sz="4"/>
            </w:tcBorders>
            <w:shd w:val="clear" w:color="auto" w:fill="4472C4"/>
            <w:tcMar>
              <w:top w:w="15" w:type="dxa"/>
              <w:left w:w="15" w:type="dxa"/>
              <w:right w:w="15" w:type="dxa"/>
            </w:tcMar>
            <w:vAlign w:val="bottom"/>
          </w:tcPr>
          <w:p w:rsidR="21FB8769" w:rsidP="644BB295" w:rsidRDefault="21FB8769" w14:paraId="069BD8CD" w14:textId="5E2DFA25">
            <w:pPr>
              <w:pStyle w:val="Normal"/>
              <w:suppressLineNumbers w:val="0"/>
              <w:bidi w:val="0"/>
              <w:spacing w:before="0" w:beforeAutospacing="off" w:after="0" w:afterAutospacing="off" w:line="279" w:lineRule="auto"/>
              <w:ind w:left="0" w:right="0"/>
              <w:jc w:val="left"/>
              <w:rPr/>
            </w:pPr>
            <w:r w:rsidRPr="644BB295" w:rsidR="21FB8769">
              <w:rPr>
                <w:rFonts w:ascii="Calibri" w:hAnsi="Calibri" w:eastAsia="Calibri" w:cs="Calibri"/>
                <w:b w:val="1"/>
                <w:bCs w:val="1"/>
                <w:i w:val="0"/>
                <w:iCs w:val="0"/>
                <w:strike w:val="0"/>
                <w:dstrike w:val="0"/>
                <w:color w:val="FFFFFF" w:themeColor="background1" w:themeTint="FF" w:themeShade="FF"/>
                <w:sz w:val="22"/>
                <w:szCs w:val="22"/>
                <w:u w:val="none"/>
              </w:rPr>
              <w:t xml:space="preserve"> </w:t>
            </w:r>
            <w:r w:rsidRPr="644BB295" w:rsidR="21FB8769">
              <w:rPr>
                <w:rFonts w:ascii="Calibri" w:hAnsi="Calibri" w:eastAsia="Calibri" w:cs="Calibri"/>
                <w:b w:val="1"/>
                <w:bCs w:val="1"/>
                <w:i w:val="0"/>
                <w:iCs w:val="0"/>
                <w:strike w:val="0"/>
                <w:dstrike w:val="0"/>
                <w:color w:val="FFFFFF" w:themeColor="background1" w:themeTint="FF" w:themeShade="FF"/>
                <w:sz w:val="22"/>
                <w:szCs w:val="22"/>
                <w:u w:val="none"/>
              </w:rPr>
              <w:t>mRNAs</w:t>
            </w:r>
          </w:p>
        </w:tc>
        <w:tc>
          <w:tcPr>
            <w:tcW w:w="1541" w:type="dxa"/>
            <w:tcBorders>
              <w:top w:val="single" w:color="8EA9DB" w:sz="4"/>
              <w:right w:val="single" w:color="8EA9DB" w:sz="4"/>
            </w:tcBorders>
            <w:shd w:val="clear" w:color="auto" w:fill="4472C4"/>
            <w:tcMar>
              <w:top w:w="15" w:type="dxa"/>
              <w:left w:w="15" w:type="dxa"/>
              <w:right w:w="15" w:type="dxa"/>
            </w:tcMar>
            <w:vAlign w:val="bottom"/>
          </w:tcPr>
          <w:p w:rsidR="644BB295" w:rsidP="644BB295" w:rsidRDefault="644BB295" w14:paraId="7DBC57BD" w14:textId="3BAFD1A4">
            <w:pPr>
              <w:spacing w:before="0" w:beforeAutospacing="off" w:after="0" w:afterAutospacing="off"/>
              <w:rPr/>
            </w:pPr>
            <w:r w:rsidRPr="644BB295" w:rsidR="644BB295">
              <w:rPr>
                <w:rFonts w:ascii="Calibri" w:hAnsi="Calibri" w:eastAsia="Calibri" w:cs="Calibri"/>
                <w:b w:val="1"/>
                <w:bCs w:val="1"/>
                <w:i w:val="0"/>
                <w:iCs w:val="0"/>
                <w:strike w:val="0"/>
                <w:dstrike w:val="0"/>
                <w:color w:val="FFFFFF" w:themeColor="background1" w:themeTint="FF" w:themeShade="FF"/>
                <w:sz w:val="22"/>
                <w:szCs w:val="22"/>
                <w:u w:val="none"/>
              </w:rPr>
              <w:t>Average fold change</w:t>
            </w:r>
          </w:p>
        </w:tc>
      </w:tr>
      <w:tr w:rsidR="644BB295" w:rsidTr="10AE5CD7" w14:paraId="2E669D68">
        <w:trPr>
          <w:trHeight w:val="285"/>
        </w:trPr>
        <w:tc>
          <w:tcPr>
            <w:tcW w:w="1230" w:type="dxa"/>
            <w:tcBorders>
              <w:left w:val="single" w:color="8EA9DB" w:sz="4"/>
              <w:bottom w:val="single" w:color="8EA9DB" w:sz="4"/>
            </w:tcBorders>
            <w:shd w:val="clear" w:color="auto" w:fill="D9E1F2"/>
            <w:tcMar>
              <w:top w:w="15" w:type="dxa"/>
              <w:left w:w="15" w:type="dxa"/>
              <w:right w:w="15" w:type="dxa"/>
            </w:tcMar>
            <w:vAlign w:val="bottom"/>
          </w:tcPr>
          <w:p w:rsidR="644BB295" w:rsidP="644BB295" w:rsidRDefault="644BB295" w14:paraId="7F5CB2A6" w14:textId="51C3ABF9">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GO:0040007</w:t>
            </w:r>
          </w:p>
        </w:tc>
        <w:tc>
          <w:tcPr>
            <w:tcW w:w="1139" w:type="dxa"/>
            <w:tcBorders>
              <w:bottom w:val="single" w:color="8EA9DB" w:sz="4"/>
            </w:tcBorders>
            <w:shd w:val="clear" w:color="auto" w:fill="D9E1F2"/>
            <w:tcMar>
              <w:top w:w="15" w:type="dxa"/>
              <w:left w:w="15" w:type="dxa"/>
              <w:right w:w="15" w:type="dxa"/>
            </w:tcMar>
            <w:vAlign w:val="bottom"/>
          </w:tcPr>
          <w:p w:rsidR="644BB295" w:rsidP="644BB295" w:rsidRDefault="644BB295" w14:paraId="145F70F6" w14:textId="5B5BB600">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growth</w:t>
            </w:r>
          </w:p>
        </w:tc>
        <w:tc>
          <w:tcPr>
            <w:tcW w:w="825" w:type="dxa"/>
            <w:tcBorders>
              <w:bottom w:val="single" w:color="8EA9DB" w:sz="4"/>
            </w:tcBorders>
            <w:shd w:val="clear" w:color="auto" w:fill="D9E1F2"/>
            <w:tcMar>
              <w:top w:w="15" w:type="dxa"/>
              <w:left w:w="15" w:type="dxa"/>
              <w:right w:w="15" w:type="dxa"/>
            </w:tcMar>
            <w:vAlign w:val="bottom"/>
          </w:tcPr>
          <w:p w:rsidR="644BB295" w:rsidP="644BB295" w:rsidRDefault="644BB295" w14:paraId="7504B6EC" w14:textId="69282CFA">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5</w:t>
            </w:r>
          </w:p>
        </w:tc>
        <w:tc>
          <w:tcPr>
            <w:tcW w:w="1260" w:type="dxa"/>
            <w:tcBorders>
              <w:bottom w:val="single" w:color="8EA9DB" w:sz="4"/>
            </w:tcBorders>
            <w:shd w:val="clear" w:color="auto" w:fill="D9E1F2"/>
            <w:tcMar>
              <w:top w:w="15" w:type="dxa"/>
              <w:left w:w="15" w:type="dxa"/>
              <w:right w:w="15" w:type="dxa"/>
            </w:tcMar>
            <w:vAlign w:val="bottom"/>
          </w:tcPr>
          <w:p w:rsidR="644BB295" w:rsidP="644BB295" w:rsidRDefault="644BB295" w14:paraId="6FB97C85" w14:textId="783D1439">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2.18E-04</w:t>
            </w:r>
          </w:p>
        </w:tc>
        <w:tc>
          <w:tcPr>
            <w:tcW w:w="3525" w:type="dxa"/>
            <w:tcBorders>
              <w:bottom w:val="single" w:color="8EA9DB" w:sz="4"/>
            </w:tcBorders>
            <w:shd w:val="clear" w:color="auto" w:fill="D9E1F2"/>
            <w:tcMar>
              <w:top w:w="15" w:type="dxa"/>
              <w:left w:w="15" w:type="dxa"/>
              <w:right w:w="15" w:type="dxa"/>
            </w:tcMar>
            <w:vAlign w:val="bottom"/>
          </w:tcPr>
          <w:p w:rsidR="644BB295" w:rsidP="644BB295" w:rsidRDefault="644BB295" w14:paraId="79DA2291" w14:textId="4361D6E0">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BCL2L11;PIM1;SEMA7A;SESN2;STK40</w:t>
            </w:r>
          </w:p>
        </w:tc>
        <w:tc>
          <w:tcPr>
            <w:tcW w:w="1541" w:type="dxa"/>
            <w:tcBorders>
              <w:bottom w:val="single" w:color="8EA9DB" w:sz="4"/>
              <w:right w:val="single" w:color="8EA9DB" w:sz="4"/>
            </w:tcBorders>
            <w:shd w:val="clear" w:color="auto" w:fill="D9E1F2"/>
            <w:tcMar>
              <w:top w:w="15" w:type="dxa"/>
              <w:left w:w="15" w:type="dxa"/>
              <w:right w:w="15" w:type="dxa"/>
            </w:tcMar>
            <w:vAlign w:val="bottom"/>
          </w:tcPr>
          <w:p w:rsidR="644BB295" w:rsidP="644BB295" w:rsidRDefault="644BB295" w14:paraId="48DA4C27" w14:textId="7985634F">
            <w:pPr>
              <w:spacing w:before="0" w:beforeAutospacing="off" w:after="0" w:afterAutospacing="off"/>
              <w:rPr/>
            </w:pPr>
            <w:r w:rsidRPr="644BB295" w:rsidR="644BB295">
              <w:rPr>
                <w:rFonts w:ascii="Calibri" w:hAnsi="Calibri" w:eastAsia="Calibri" w:cs="Calibri"/>
                <w:b w:val="0"/>
                <w:bCs w:val="0"/>
                <w:i w:val="0"/>
                <w:iCs w:val="0"/>
                <w:strike w:val="0"/>
                <w:dstrike w:val="0"/>
                <w:color w:val="000000" w:themeColor="text1" w:themeTint="FF" w:themeShade="FF"/>
                <w:sz w:val="22"/>
                <w:szCs w:val="22"/>
                <w:u w:val="none"/>
              </w:rPr>
              <w:t>8.5</w:t>
            </w:r>
          </w:p>
        </w:tc>
      </w:tr>
    </w:tbl>
    <w:p w:rsidR="644BB295" w:rsidP="644BB295" w:rsidRDefault="644BB295" w14:paraId="133893DC" w14:textId="78563B0B">
      <w:pPr>
        <w:pStyle w:val="Normal"/>
        <w:rPr/>
      </w:pPr>
    </w:p>
    <w:p w:rsidR="644BB295" w:rsidP="644BB295" w:rsidRDefault="644BB295" w14:paraId="16A0740F" w14:textId="0D3A1134">
      <w:pPr>
        <w:pStyle w:val="Normal"/>
        <w:rPr/>
      </w:pPr>
    </w:p>
    <w:p w:rsidR="2BC6D243" w:rsidP="644BB295" w:rsidRDefault="2BC6D243" w14:paraId="65AD19F7" w14:textId="7668E6F2">
      <w:pPr>
        <w:pStyle w:val="Normal"/>
        <w:rPr/>
      </w:pPr>
      <w:r w:rsidR="2BC6D243">
        <w:rPr/>
        <w:t xml:space="preserve">Sema7a and STX40 </w:t>
      </w:r>
      <w:r w:rsidR="777001B8">
        <w:rPr/>
        <w:t xml:space="preserve">presented a </w:t>
      </w:r>
      <w:r w:rsidR="12DB5295">
        <w:rPr/>
        <w:t>Mir-CLIP</w:t>
      </w:r>
      <w:r w:rsidR="777001B8">
        <w:rPr/>
        <w:t xml:space="preserve"> fold change even above 10 </w:t>
      </w:r>
    </w:p>
    <w:p w:rsidR="644BB295" w:rsidP="644BB295" w:rsidRDefault="644BB295" w14:paraId="7969369A" w14:textId="64CCBC92">
      <w:pPr>
        <w:pStyle w:val="Normal"/>
        <w:rPr/>
      </w:pPr>
    </w:p>
    <w:p w:rsidR="3C9772E3" w:rsidP="10AE5CD7" w:rsidRDefault="3C9772E3" w14:paraId="2FCE7E06" w14:textId="240361A4">
      <w:pPr>
        <w:pStyle w:val="Normal"/>
        <w:rPr>
          <w:rFonts w:ascii="Calibri" w:hAnsi="Calibri" w:eastAsia="Calibri" w:cs="Calibri"/>
          <w:b w:val="0"/>
          <w:bCs w:val="0"/>
          <w:i w:val="0"/>
          <w:iCs w:val="0"/>
          <w:caps w:val="0"/>
          <w:smallCaps w:val="0"/>
          <w:noProof w:val="0"/>
          <w:color w:val="212121"/>
          <w:sz w:val="24"/>
          <w:szCs w:val="24"/>
          <w:lang w:val="en-US"/>
        </w:rPr>
      </w:pPr>
      <w:r w:rsidRPr="10AE5CD7" w:rsidR="3C9772E3">
        <w:rPr>
          <w:rFonts w:ascii="Calibri" w:hAnsi="Calibri" w:eastAsia="Calibri" w:cs="Calibri"/>
          <w:b w:val="0"/>
          <w:bCs w:val="0"/>
          <w:i w:val="0"/>
          <w:iCs w:val="0"/>
          <w:caps w:val="0"/>
          <w:smallCaps w:val="0"/>
          <w:noProof w:val="0"/>
          <w:color w:val="212121"/>
          <w:sz w:val="24"/>
          <w:szCs w:val="24"/>
          <w:lang w:val="en-US"/>
        </w:rPr>
        <w:t>CLDN4, an adhesive molecule, has been reported to enhance tight junctions (Sakamoto et al., 2024; Minowa et al., 2021).</w:t>
      </w:r>
    </w:p>
    <w:p w:rsidR="3C9772E3" w:rsidP="10AE5CD7" w:rsidRDefault="3C9772E3" w14:paraId="2FE936D9" w14:textId="3688B776">
      <w:pPr>
        <w:pStyle w:val="Normal"/>
        <w:rPr/>
      </w:pPr>
      <w:r w:rsidRPr="10AE5CD7" w:rsidR="3C9772E3">
        <w:rPr>
          <w:rFonts w:ascii="Calibri" w:hAnsi="Calibri" w:eastAsia="Calibri" w:cs="Calibri"/>
          <w:b w:val="0"/>
          <w:bCs w:val="0"/>
          <w:i w:val="0"/>
          <w:iCs w:val="0"/>
          <w:caps w:val="0"/>
          <w:smallCaps w:val="0"/>
          <w:noProof w:val="0"/>
          <w:color w:val="212121"/>
          <w:sz w:val="24"/>
          <w:szCs w:val="24"/>
          <w:lang w:val="en-US"/>
        </w:rPr>
        <w:t xml:space="preserve"> </w:t>
      </w:r>
    </w:p>
    <w:p w:rsidR="3C9772E3" w:rsidP="10AE5CD7" w:rsidRDefault="3C9772E3" w14:paraId="34D45008" w14:textId="3CB62AD8">
      <w:pPr>
        <w:pStyle w:val="Normal"/>
        <w:rPr/>
      </w:pPr>
      <w:r w:rsidRPr="10AE5CD7" w:rsidR="3C9772E3">
        <w:rPr>
          <w:rFonts w:ascii="Calibri" w:hAnsi="Calibri" w:eastAsia="Calibri" w:cs="Calibri"/>
          <w:b w:val="0"/>
          <w:bCs w:val="0"/>
          <w:i w:val="0"/>
          <w:iCs w:val="0"/>
          <w:caps w:val="0"/>
          <w:smallCaps w:val="0"/>
          <w:noProof w:val="0"/>
          <w:color w:val="212121"/>
          <w:sz w:val="24"/>
          <w:szCs w:val="24"/>
          <w:lang w:val="en-US"/>
        </w:rPr>
        <w:t>FERMt2, also known as kindlin 2, is expressed in both keratinocytes and fibroblasts. In fibroblasts, it enhances focal adhesion during wound healing (He et al., 2011). In keratinocytes, FERMT2 is essential for motility and intercellular adhesion (Simpson et al., 2011).</w:t>
      </w:r>
    </w:p>
    <w:p w:rsidR="3C9772E3" w:rsidP="10AE5CD7" w:rsidRDefault="3C9772E3" w14:paraId="2715EE1C" w14:textId="186F1398">
      <w:pPr>
        <w:pStyle w:val="Normal"/>
        <w:rPr/>
      </w:pPr>
      <w:r w:rsidRPr="10AE5CD7" w:rsidR="3C9772E3">
        <w:rPr>
          <w:rFonts w:ascii="Calibri" w:hAnsi="Calibri" w:eastAsia="Calibri" w:cs="Calibri"/>
          <w:b w:val="0"/>
          <w:bCs w:val="0"/>
          <w:i w:val="0"/>
          <w:iCs w:val="0"/>
          <w:caps w:val="0"/>
          <w:smallCaps w:val="0"/>
          <w:noProof w:val="0"/>
          <w:color w:val="212121"/>
          <w:sz w:val="24"/>
          <w:szCs w:val="24"/>
          <w:lang w:val="en-US"/>
        </w:rPr>
        <w:t xml:space="preserve"> </w:t>
      </w:r>
    </w:p>
    <w:p w:rsidR="3C9772E3" w:rsidP="10AE5CD7" w:rsidRDefault="3C9772E3" w14:paraId="0459485B" w14:textId="7C212ED0">
      <w:pPr>
        <w:pStyle w:val="Normal"/>
        <w:rPr/>
      </w:pPr>
      <w:r w:rsidRPr="10AE5CD7" w:rsidR="3C9772E3">
        <w:rPr>
          <w:rFonts w:ascii="Calibri" w:hAnsi="Calibri" w:eastAsia="Calibri" w:cs="Calibri"/>
          <w:b w:val="0"/>
          <w:bCs w:val="0"/>
          <w:i w:val="0"/>
          <w:iCs w:val="0"/>
          <w:caps w:val="0"/>
          <w:smallCaps w:val="0"/>
          <w:noProof w:val="0"/>
          <w:color w:val="212121"/>
          <w:sz w:val="24"/>
          <w:szCs w:val="24"/>
          <w:lang w:val="en-US"/>
        </w:rPr>
        <w:t>Sema7a has been shown to promote attachment and spreading in fibroblasts. Although expressed in keratinocytes as well, its role remains unclear (Upadhyay et al., 2021).</w:t>
      </w:r>
    </w:p>
    <w:p w:rsidR="3C9772E3" w:rsidP="10AE5CD7" w:rsidRDefault="3C9772E3" w14:paraId="6D31260E" w14:textId="4965B4BF">
      <w:pPr>
        <w:pStyle w:val="Normal"/>
        <w:rPr/>
      </w:pPr>
      <w:r w:rsidRPr="10AE5CD7" w:rsidR="3C9772E3">
        <w:rPr>
          <w:rFonts w:ascii="Calibri" w:hAnsi="Calibri" w:eastAsia="Calibri" w:cs="Calibri"/>
          <w:b w:val="0"/>
          <w:bCs w:val="0"/>
          <w:i w:val="0"/>
          <w:iCs w:val="0"/>
          <w:caps w:val="0"/>
          <w:smallCaps w:val="0"/>
          <w:noProof w:val="0"/>
          <w:color w:val="212121"/>
          <w:sz w:val="24"/>
          <w:szCs w:val="24"/>
          <w:lang w:val="en-US"/>
        </w:rPr>
        <w:t xml:space="preserve"> </w:t>
      </w:r>
    </w:p>
    <w:p w:rsidR="3C9772E3" w:rsidP="10AE5CD7" w:rsidRDefault="3C9772E3" w14:paraId="384FA852" w14:textId="53756397">
      <w:pPr>
        <w:pStyle w:val="Normal"/>
        <w:rPr/>
      </w:pPr>
      <w:r w:rsidRPr="10AE5CD7" w:rsidR="3C9772E3">
        <w:rPr>
          <w:rFonts w:ascii="Calibri" w:hAnsi="Calibri" w:eastAsia="Calibri" w:cs="Calibri"/>
          <w:b w:val="0"/>
          <w:bCs w:val="0"/>
          <w:i w:val="0"/>
          <w:iCs w:val="0"/>
          <w:caps w:val="0"/>
          <w:smallCaps w:val="0"/>
          <w:noProof w:val="0"/>
          <w:color w:val="212121"/>
          <w:sz w:val="24"/>
          <w:szCs w:val="24"/>
          <w:lang w:val="en-US"/>
        </w:rPr>
        <w:t>Sest2 induces the PI3K/AKT pathway, thereby promoting wound healing by enhancing keratinocyte proliferation and migration (Wang et al., 2023).</w:t>
      </w:r>
    </w:p>
    <w:p w:rsidR="31EBE2E2" w:rsidP="644BB295" w:rsidRDefault="31EBE2E2" w14:paraId="2E6474BD" w14:textId="65272C6F">
      <w:pPr>
        <w:spacing w:before="0" w:beforeAutospacing="off" w:after="160" w:line="480" w:lineRule="auto"/>
        <w:ind w:left="720" w:right="-20" w:hanging="720"/>
        <w:rPr>
          <w:rFonts w:ascii="Calibri" w:hAnsi="Calibri" w:eastAsia="Calibri" w:cs="Calibri"/>
          <w:b w:val="0"/>
          <w:bCs w:val="0"/>
          <w:i w:val="1"/>
          <w:iCs w:val="1"/>
          <w:noProof w:val="0"/>
          <w:sz w:val="20"/>
          <w:szCs w:val="20"/>
          <w:lang w:val="en-US"/>
        </w:rPr>
      </w:pP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He, Y., Esser, P., Heinemann, A., Bruckner-</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Tuderman</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L., &amp; Has, C. (2011). Kindlin-1 and -2 Have Overlapping Functions in Epithelial Cells.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The American Journal of Pathology</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178</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(3), 975–982. </w:t>
      </w:r>
      <w:hyperlink r:id="R10fc793a47204e3a">
        <w:r w:rsidRPr="644BB295" w:rsidR="31EBE2E2">
          <w:rPr>
            <w:rStyle w:val="Hyperlink"/>
            <w:b w:val="0"/>
            <w:bCs w:val="0"/>
            <w:i w:val="1"/>
            <w:iCs w:val="1"/>
            <w:caps w:val="0"/>
            <w:smallCaps w:val="0"/>
            <w:strike w:val="0"/>
            <w:dstrike w:val="0"/>
            <w:noProof w:val="0"/>
            <w:sz w:val="20"/>
            <w:szCs w:val="20"/>
            <w:lang w:val="en-US"/>
          </w:rPr>
          <w:t>https://doi.org/10.1016/j.ajpath.2010.11.053</w:t>
        </w:r>
      </w:hyperlink>
    </w:p>
    <w:p w:rsidR="644BB295" w:rsidP="644BB295" w:rsidRDefault="644BB295" w14:paraId="72DAD0A6" w14:textId="43C6CB25">
      <w:pPr>
        <w:pStyle w:val="Normal"/>
        <w:rPr>
          <w:rFonts w:ascii="Calibri" w:hAnsi="Calibri" w:eastAsia="Calibri" w:cs="Calibri"/>
          <w:b w:val="0"/>
          <w:bCs w:val="0"/>
          <w:i w:val="1"/>
          <w:iCs w:val="1"/>
          <w:caps w:val="0"/>
          <w:smallCaps w:val="0"/>
          <w:noProof w:val="0"/>
          <w:color w:val="212121"/>
          <w:sz w:val="20"/>
          <w:szCs w:val="20"/>
          <w:lang w:val="en-US"/>
        </w:rPr>
      </w:pPr>
    </w:p>
    <w:p w:rsidR="31EBE2E2" w:rsidP="644BB295" w:rsidRDefault="31EBE2E2" w14:paraId="4D01F43B" w14:textId="74A349CB">
      <w:pPr>
        <w:spacing w:before="0" w:beforeAutospacing="off" w:after="160" w:line="480" w:lineRule="auto"/>
        <w:ind w:left="720" w:right="-20" w:hanging="720"/>
        <w:rPr>
          <w:rFonts w:ascii="Calibri" w:hAnsi="Calibri" w:eastAsia="Calibri" w:cs="Calibri"/>
          <w:b w:val="0"/>
          <w:bCs w:val="0"/>
          <w:i w:val="1"/>
          <w:iCs w:val="1"/>
          <w:noProof w:val="0"/>
          <w:sz w:val="20"/>
          <w:szCs w:val="20"/>
          <w:lang w:val="en-US"/>
        </w:rPr>
      </w:pP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Minowa, E., Kurashige, Y., Syed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Taufiqul</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Islam, Yoshida, K., Sakakibara, S., Okada, Y., Fujita, Y.,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Dembereldorj</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Bolortsetseg, Murai, Y., &amp; Masato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Saitoh</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(2021). Increased integrity of cell–cell junctions accompanied by increased expression of claudin 4 in keratinocytes stimulated with vitamin D3.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Medical Molecular Morphology</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54</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(4), 346–355. </w:t>
      </w:r>
      <w:hyperlink r:id="R799d7a4d81fb4b8b">
        <w:r w:rsidRPr="644BB295" w:rsidR="31EBE2E2">
          <w:rPr>
            <w:rStyle w:val="Hyperlink"/>
            <w:b w:val="0"/>
            <w:bCs w:val="0"/>
            <w:i w:val="1"/>
            <w:iCs w:val="1"/>
            <w:caps w:val="0"/>
            <w:smallCaps w:val="0"/>
            <w:strike w:val="0"/>
            <w:dstrike w:val="0"/>
            <w:noProof w:val="0"/>
            <w:sz w:val="20"/>
            <w:szCs w:val="20"/>
            <w:lang w:val="en-US"/>
          </w:rPr>
          <w:t>https://doi.org/10.1007/s00795-021-00299-1</w:t>
        </w:r>
      </w:hyperlink>
    </w:p>
    <w:p w:rsidR="644BB295" w:rsidP="644BB295" w:rsidRDefault="644BB295" w14:paraId="3A2CC547" w14:textId="286D3004">
      <w:pPr>
        <w:pStyle w:val="Normal"/>
        <w:rPr>
          <w:rFonts w:ascii="Calibri" w:hAnsi="Calibri" w:eastAsia="Calibri" w:cs="Calibri"/>
          <w:b w:val="0"/>
          <w:bCs w:val="0"/>
          <w:i w:val="1"/>
          <w:iCs w:val="1"/>
          <w:caps w:val="0"/>
          <w:smallCaps w:val="0"/>
          <w:noProof w:val="0"/>
          <w:color w:val="212121"/>
          <w:sz w:val="20"/>
          <w:szCs w:val="20"/>
          <w:lang w:val="en-US"/>
        </w:rPr>
      </w:pPr>
    </w:p>
    <w:p w:rsidR="31EBE2E2" w:rsidP="644BB295" w:rsidRDefault="31EBE2E2" w14:paraId="653C4B1D" w14:textId="6CB8B1E1">
      <w:pPr>
        <w:spacing w:before="0" w:beforeAutospacing="off" w:after="160" w:line="480" w:lineRule="auto"/>
        <w:ind w:left="720" w:right="-20" w:hanging="720"/>
        <w:rPr>
          <w:rFonts w:ascii="Calibri" w:hAnsi="Calibri" w:eastAsia="Calibri" w:cs="Calibri"/>
          <w:b w:val="0"/>
          <w:bCs w:val="0"/>
          <w:i w:val="1"/>
          <w:iCs w:val="1"/>
          <w:noProof w:val="0"/>
          <w:sz w:val="20"/>
          <w:szCs w:val="20"/>
          <w:lang w:val="en-US"/>
        </w:rPr>
      </w:pP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Sakamoto, H., Nishikawa, M., &amp; Yamada, S. (2024). Development of tight junction-strengthening compounds using a high-throughput screening system to evaluate cell surface-localized claudin-1 in keratinocytes.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Scientific Reports</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14</w:t>
      </w:r>
      <w:r w:rsidRPr="644BB295" w:rsidR="31EBE2E2">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(1), 3312. </w:t>
      </w:r>
      <w:hyperlink r:id="R8b4d906fe6fa4051">
        <w:r w:rsidRPr="644BB295" w:rsidR="31EBE2E2">
          <w:rPr>
            <w:rStyle w:val="Hyperlink"/>
            <w:b w:val="0"/>
            <w:bCs w:val="0"/>
            <w:i w:val="1"/>
            <w:iCs w:val="1"/>
            <w:caps w:val="0"/>
            <w:smallCaps w:val="0"/>
            <w:strike w:val="0"/>
            <w:dstrike w:val="0"/>
            <w:noProof w:val="0"/>
            <w:sz w:val="20"/>
            <w:szCs w:val="20"/>
            <w:lang w:val="en-US"/>
          </w:rPr>
          <w:t>https://doi.org/10.1038/s41598-024-53649-1</w:t>
        </w:r>
      </w:hyperlink>
    </w:p>
    <w:p w:rsidR="23EDE685" w:rsidP="644BB295" w:rsidRDefault="23EDE685" w14:paraId="6A8E644B" w14:textId="4D25E25A">
      <w:pPr>
        <w:spacing w:before="0" w:beforeAutospacing="off" w:after="160" w:line="480" w:lineRule="auto"/>
        <w:ind w:left="720" w:right="-20" w:hanging="720"/>
        <w:rPr>
          <w:rFonts w:ascii="Calibri" w:hAnsi="Calibri" w:eastAsia="Calibri" w:cs="Calibri"/>
          <w:b w:val="0"/>
          <w:bCs w:val="0"/>
          <w:i w:val="1"/>
          <w:iCs w:val="1"/>
          <w:noProof w:val="0"/>
          <w:sz w:val="20"/>
          <w:szCs w:val="20"/>
          <w:lang w:val="en-US"/>
        </w:rPr>
      </w:pPr>
      <w:r w:rsidRPr="644BB295" w:rsidR="23EDE68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Simpson, C. L., Patel, D. M., &amp; Green, K. J. (2011). Deconstructing the skin: cytoarchitectural determinants of epidermal morphogenesis. </w:t>
      </w:r>
      <w:r w:rsidRPr="644BB295" w:rsidR="23EDE68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Nature Reviews Molecular Cell Biology</w:t>
      </w:r>
      <w:r w:rsidRPr="644BB295" w:rsidR="23EDE68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w:t>
      </w:r>
      <w:r w:rsidRPr="644BB295" w:rsidR="23EDE68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12</w:t>
      </w:r>
      <w:r w:rsidRPr="644BB295" w:rsidR="23EDE68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(9), 565–580. </w:t>
      </w:r>
      <w:hyperlink r:id="Re6d4ad9fdec042d1">
        <w:r w:rsidRPr="644BB295" w:rsidR="23EDE685">
          <w:rPr>
            <w:rStyle w:val="Hyperlink"/>
            <w:b w:val="0"/>
            <w:bCs w:val="0"/>
            <w:i w:val="1"/>
            <w:iCs w:val="1"/>
            <w:caps w:val="0"/>
            <w:smallCaps w:val="0"/>
            <w:strike w:val="0"/>
            <w:dstrike w:val="0"/>
            <w:noProof w:val="0"/>
            <w:sz w:val="20"/>
            <w:szCs w:val="20"/>
            <w:lang w:val="en-US"/>
          </w:rPr>
          <w:t>https://doi.org/10.1038/nrm3175</w:t>
        </w:r>
      </w:hyperlink>
    </w:p>
    <w:p w:rsidR="6B245CD9" w:rsidP="644BB295" w:rsidRDefault="6B245CD9" w14:paraId="59971D46" w14:textId="012E75E5">
      <w:pPr>
        <w:pStyle w:val="Normal"/>
        <w:spacing w:before="0" w:beforeAutospacing="off" w:after="160" w:line="480" w:lineRule="auto"/>
        <w:ind w:left="720" w:right="-20" w:hanging="720"/>
        <w:rPr>
          <w:b w:val="0"/>
          <w:bCs w:val="0"/>
          <w:i w:val="1"/>
          <w:iCs w:val="1"/>
          <w:caps w:val="0"/>
          <w:smallCaps w:val="0"/>
          <w:strike w:val="0"/>
          <w:dstrike w:val="0"/>
          <w:noProof w:val="0"/>
          <w:sz w:val="20"/>
          <w:szCs w:val="20"/>
          <w:lang w:val="en-US"/>
        </w:rPr>
      </w:pPr>
      <w:r w:rsidRPr="644BB295" w:rsidR="6B245CD9">
        <w:rPr>
          <w:b w:val="0"/>
          <w:bCs w:val="0"/>
          <w:i w:val="1"/>
          <w:iCs w:val="1"/>
          <w:caps w:val="0"/>
          <w:smallCaps w:val="0"/>
          <w:strike w:val="0"/>
          <w:dstrike w:val="0"/>
          <w:noProof w:val="0"/>
          <w:sz w:val="20"/>
          <w:szCs w:val="20"/>
          <w:lang w:val="en-US"/>
        </w:rPr>
        <w:t xml:space="preserve">Upadhyay, P. R., Ho, T., &amp; Abdel‐Malek, Z. A. (2021). Participation of keratinocyte‐ and fibroblast‐derived factors in melanocyte homeostasis, the response to UV, and pigmentary disorders. Pigment Cell &amp; Melanoma Research, 34(4), 762–776. https://doi.org/10.1111/pcmr.12985  </w:t>
      </w:r>
    </w:p>
    <w:p w:rsidR="6B245CD9" w:rsidP="644BB295" w:rsidRDefault="6B245CD9" w14:paraId="5FB822E0" w14:textId="1913C925">
      <w:pPr>
        <w:pStyle w:val="Normal"/>
        <w:spacing w:before="0" w:beforeAutospacing="off" w:after="160" w:line="480" w:lineRule="auto"/>
        <w:ind w:left="720" w:right="-20" w:hanging="720"/>
        <w:rPr>
          <w:b w:val="0"/>
          <w:bCs w:val="0"/>
          <w:i w:val="1"/>
          <w:iCs w:val="1"/>
          <w:caps w:val="0"/>
          <w:smallCaps w:val="0"/>
          <w:strike w:val="0"/>
          <w:dstrike w:val="0"/>
          <w:noProof w:val="0"/>
          <w:sz w:val="20"/>
          <w:szCs w:val="20"/>
          <w:lang w:val="en-US"/>
        </w:rPr>
      </w:pPr>
      <w:r w:rsidRPr="644BB295" w:rsidR="6B245CD9">
        <w:rPr>
          <w:b w:val="0"/>
          <w:bCs w:val="0"/>
          <w:i w:val="1"/>
          <w:iCs w:val="1"/>
          <w:caps w:val="0"/>
          <w:smallCaps w:val="0"/>
          <w:strike w:val="0"/>
          <w:dstrike w:val="0"/>
          <w:noProof w:val="0"/>
          <w:sz w:val="20"/>
          <w:szCs w:val="20"/>
          <w:lang w:val="en-US"/>
        </w:rPr>
        <w:t xml:space="preserve">Wang, K., Shen, K., Han, F., Bai, X., Fang, Z., Jia, Y., Zhang, J., Li, Y., Cai, W., Wang, X., Luo, L., Guo, K., Wang, H., Yang, X., Wang, H., &amp; Hu, D. (2023). Activation of Sestrin2 accelerates deep second-degree burn wound healing through PI3K/AKT pathway. Archives of Biochemistry and Biophysics, 743, 109645. https://doi.org/10.1016/j.abb.2023.109645  </w:t>
      </w:r>
    </w:p>
    <w:p w:rsidR="644BB295" w:rsidP="644BB295" w:rsidRDefault="644BB295" w14:paraId="6292D46C" w14:textId="1BE1F238">
      <w:pPr>
        <w:pStyle w:val="Normal"/>
        <w:rPr>
          <w:rFonts w:ascii="Calibri" w:hAnsi="Calibri" w:eastAsia="Calibri" w:cs="Calibri"/>
          <w:b w:val="0"/>
          <w:bCs w:val="0"/>
          <w:i w:val="1"/>
          <w:iCs w:val="1"/>
          <w:caps w:val="0"/>
          <w:smallCaps w:val="0"/>
          <w:noProof w:val="0"/>
          <w:color w:val="212121"/>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C4BD37"/>
    <w:rsid w:val="02D54D34"/>
    <w:rsid w:val="06D29068"/>
    <w:rsid w:val="085983F2"/>
    <w:rsid w:val="08ACC458"/>
    <w:rsid w:val="0A20F847"/>
    <w:rsid w:val="0A4E9B55"/>
    <w:rsid w:val="0E881FDE"/>
    <w:rsid w:val="0EA42F6D"/>
    <w:rsid w:val="0F603B18"/>
    <w:rsid w:val="10482012"/>
    <w:rsid w:val="10AE5CD7"/>
    <w:rsid w:val="113E557B"/>
    <w:rsid w:val="11B2691A"/>
    <w:rsid w:val="12DB5295"/>
    <w:rsid w:val="155AE24A"/>
    <w:rsid w:val="15D31CF6"/>
    <w:rsid w:val="1685DA3D"/>
    <w:rsid w:val="16AEB676"/>
    <w:rsid w:val="17F3F4AD"/>
    <w:rsid w:val="1969B90B"/>
    <w:rsid w:val="1969B90B"/>
    <w:rsid w:val="1A5B217C"/>
    <w:rsid w:val="1AD66B73"/>
    <w:rsid w:val="1DD9EB76"/>
    <w:rsid w:val="1DEC2DFF"/>
    <w:rsid w:val="1E0E0C35"/>
    <w:rsid w:val="1E34BAC0"/>
    <w:rsid w:val="1EB15FD9"/>
    <w:rsid w:val="1ED74854"/>
    <w:rsid w:val="1FC3A703"/>
    <w:rsid w:val="1FD8FA8F"/>
    <w:rsid w:val="1FD8FA8F"/>
    <w:rsid w:val="204D303A"/>
    <w:rsid w:val="2130BE2E"/>
    <w:rsid w:val="21FB8769"/>
    <w:rsid w:val="23109B51"/>
    <w:rsid w:val="23EDE685"/>
    <w:rsid w:val="24AC6BB2"/>
    <w:rsid w:val="24E63BFB"/>
    <w:rsid w:val="253CEFED"/>
    <w:rsid w:val="25AF8876"/>
    <w:rsid w:val="25B33476"/>
    <w:rsid w:val="26042F51"/>
    <w:rsid w:val="26D8C04E"/>
    <w:rsid w:val="2779E7E8"/>
    <w:rsid w:val="28A166F3"/>
    <w:rsid w:val="28B56451"/>
    <w:rsid w:val="2A5134B2"/>
    <w:rsid w:val="2B4B31D9"/>
    <w:rsid w:val="2BC6D243"/>
    <w:rsid w:val="2C0782A3"/>
    <w:rsid w:val="2C0782A3"/>
    <w:rsid w:val="2C904D24"/>
    <w:rsid w:val="2E696818"/>
    <w:rsid w:val="2EF5B209"/>
    <w:rsid w:val="2F45F97F"/>
    <w:rsid w:val="2F993F48"/>
    <w:rsid w:val="2FF282F0"/>
    <w:rsid w:val="3163BE47"/>
    <w:rsid w:val="316E461B"/>
    <w:rsid w:val="318AEEBA"/>
    <w:rsid w:val="3197F452"/>
    <w:rsid w:val="31EBE2E2"/>
    <w:rsid w:val="322C1E8F"/>
    <w:rsid w:val="32E60E0C"/>
    <w:rsid w:val="34C28F7C"/>
    <w:rsid w:val="35044D4B"/>
    <w:rsid w:val="3512D06E"/>
    <w:rsid w:val="3566C19E"/>
    <w:rsid w:val="36A01DAC"/>
    <w:rsid w:val="370291FF"/>
    <w:rsid w:val="3738FA73"/>
    <w:rsid w:val="389E6260"/>
    <w:rsid w:val="3925B436"/>
    <w:rsid w:val="396EABDC"/>
    <w:rsid w:val="39A35C7A"/>
    <w:rsid w:val="39EA8CDC"/>
    <w:rsid w:val="3A1C4FBB"/>
    <w:rsid w:val="3C9772E3"/>
    <w:rsid w:val="3CDF1A2D"/>
    <w:rsid w:val="3D43F5DC"/>
    <w:rsid w:val="3E06DC01"/>
    <w:rsid w:val="3E5D4EFD"/>
    <w:rsid w:val="3F0A5821"/>
    <w:rsid w:val="40E34150"/>
    <w:rsid w:val="4135D894"/>
    <w:rsid w:val="4194EFBF"/>
    <w:rsid w:val="427BAD1A"/>
    <w:rsid w:val="42A27688"/>
    <w:rsid w:val="43A6E040"/>
    <w:rsid w:val="456F411A"/>
    <w:rsid w:val="45A5E7D6"/>
    <w:rsid w:val="460EFD56"/>
    <w:rsid w:val="46AC28E1"/>
    <w:rsid w:val="4720A34F"/>
    <w:rsid w:val="48DD8898"/>
    <w:rsid w:val="4958A338"/>
    <w:rsid w:val="4A30DFEE"/>
    <w:rsid w:val="4A7958F9"/>
    <w:rsid w:val="4A8EAC85"/>
    <w:rsid w:val="4C15295A"/>
    <w:rsid w:val="4D398AF0"/>
    <w:rsid w:val="4E960197"/>
    <w:rsid w:val="4EC2D89E"/>
    <w:rsid w:val="4FE33AAC"/>
    <w:rsid w:val="5136E971"/>
    <w:rsid w:val="515A679A"/>
    <w:rsid w:val="5170C575"/>
    <w:rsid w:val="518E7244"/>
    <w:rsid w:val="518FDD37"/>
    <w:rsid w:val="52517814"/>
    <w:rsid w:val="52846ADE"/>
    <w:rsid w:val="54203B3F"/>
    <w:rsid w:val="54358ECB"/>
    <w:rsid w:val="54358ECB"/>
    <w:rsid w:val="55D15F2C"/>
    <w:rsid w:val="567D7E43"/>
    <w:rsid w:val="57F10B7D"/>
    <w:rsid w:val="5886D75D"/>
    <w:rsid w:val="5908FFEE"/>
    <w:rsid w:val="598CDBDE"/>
    <w:rsid w:val="5AA4D04F"/>
    <w:rsid w:val="5AA4D04F"/>
    <w:rsid w:val="5AF13C60"/>
    <w:rsid w:val="5BB4A36A"/>
    <w:rsid w:val="5BD32CD9"/>
    <w:rsid w:val="5BEAC19F"/>
    <w:rsid w:val="5C40A0B0"/>
    <w:rsid w:val="5CD124EB"/>
    <w:rsid w:val="5D7F3BF2"/>
    <w:rsid w:val="5DDC7111"/>
    <w:rsid w:val="5E6C71E7"/>
    <w:rsid w:val="5E8DA0B0"/>
    <w:rsid w:val="5F627DAC"/>
    <w:rsid w:val="60A8A0AB"/>
    <w:rsid w:val="62426E5D"/>
    <w:rsid w:val="629A1E6E"/>
    <w:rsid w:val="62E8C3BC"/>
    <w:rsid w:val="632FAB2A"/>
    <w:rsid w:val="644BB295"/>
    <w:rsid w:val="654C3208"/>
    <w:rsid w:val="65689EE9"/>
    <w:rsid w:val="65D1BF30"/>
    <w:rsid w:val="687B9298"/>
    <w:rsid w:val="69B5B18C"/>
    <w:rsid w:val="69C4BD37"/>
    <w:rsid w:val="69E46AC2"/>
    <w:rsid w:val="6B245CD9"/>
    <w:rsid w:val="6B46BD8F"/>
    <w:rsid w:val="6B6712C6"/>
    <w:rsid w:val="6C1B6762"/>
    <w:rsid w:val="6D1836B3"/>
    <w:rsid w:val="6DC6617B"/>
    <w:rsid w:val="6DDA9276"/>
    <w:rsid w:val="6DFA0894"/>
    <w:rsid w:val="6E1196F3"/>
    <w:rsid w:val="6E75D729"/>
    <w:rsid w:val="70CC21E4"/>
    <w:rsid w:val="719D9FD1"/>
    <w:rsid w:val="71CFBDED"/>
    <w:rsid w:val="71CFBDED"/>
    <w:rsid w:val="72C8630C"/>
    <w:rsid w:val="73877837"/>
    <w:rsid w:val="73B7C12E"/>
    <w:rsid w:val="73C996F2"/>
    <w:rsid w:val="75FD334D"/>
    <w:rsid w:val="777001B8"/>
    <w:rsid w:val="777C7378"/>
    <w:rsid w:val="77BB34F8"/>
    <w:rsid w:val="78CFC131"/>
    <w:rsid w:val="78D2E843"/>
    <w:rsid w:val="79A26E41"/>
    <w:rsid w:val="79E4F518"/>
    <w:rsid w:val="7A336CD2"/>
    <w:rsid w:val="7AA3EB9A"/>
    <w:rsid w:val="7B4E7D5A"/>
    <w:rsid w:val="7B6B59A9"/>
    <w:rsid w:val="7C1C48A2"/>
    <w:rsid w:val="7CEA4DBB"/>
    <w:rsid w:val="7D072A0A"/>
    <w:rsid w:val="7D31BF14"/>
    <w:rsid w:val="7D31BF14"/>
    <w:rsid w:val="7F5AAF19"/>
    <w:rsid w:val="7F5AA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BD37"/>
  <w15:chartTrackingRefBased/>
  <w15:docId w15:val="{993C4DF5-EBF1-4C5E-96CC-AC43843214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16/j.ajpath.2010.11.053" TargetMode="External" Id="R10fc793a47204e3a" /><Relationship Type="http://schemas.openxmlformats.org/officeDocument/2006/relationships/hyperlink" Target="https://doi.org/10.1007/s00795-021-00299-1" TargetMode="External" Id="R799d7a4d81fb4b8b" /><Relationship Type="http://schemas.openxmlformats.org/officeDocument/2006/relationships/hyperlink" Target="https://doi.org/10.1038/s41598-024-53649-1" TargetMode="External" Id="R8b4d906fe6fa4051" /><Relationship Type="http://schemas.openxmlformats.org/officeDocument/2006/relationships/hyperlink" Target="https://doi.org/10.1038/nrm3175" TargetMode="External" Id="Re6d4ad9fdec042d1" /><Relationship Type="http://schemas.openxmlformats.org/officeDocument/2006/relationships/image" Target="/media/image3.png" Id="R4bf1fef848e54466" /><Relationship Type="http://schemas.openxmlformats.org/officeDocument/2006/relationships/image" Target="/media/image4.png" Id="R83052e1df42d4473" /><Relationship Type="http://schemas.openxmlformats.org/officeDocument/2006/relationships/image" Target="/media/image5.png" Id="Rb70b65a44c2a46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2024-03-21T00:07:45.0846404Z</dcterms:created>
  <dcterms:modified xsi:type="dcterms:W3CDTF">2024-03-21T11:49:35.9587502Z</dcterms:modified>
  <dc:creator>David Mandia</dc:creator>
  <lastModifiedBy>David Mandia</lastModifiedBy>
</coreProperties>
</file>