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146F7" w:rsidRDefault="0015512A" w:rsidP="002146F7">
      <w:pPr>
        <w:ind w:firstLine="708"/>
        <w:rPr>
          <w:rFonts w:ascii="Arial" w:hAnsi="Arial" w:cs="Arial"/>
          <w:sz w:val="24"/>
          <w:szCs w:val="24"/>
        </w:rPr>
      </w:pPr>
      <w:r>
        <w:rPr>
          <w:rFonts w:ascii="Arial" w:hAnsi="Arial" w:cs="Arial"/>
          <w:sz w:val="24"/>
          <w:szCs w:val="24"/>
        </w:rPr>
        <w:t>ANÁLISIS</w:t>
      </w:r>
    </w:p>
    <w:p w:rsidR="002146F7" w:rsidRPr="005F5EB8" w:rsidRDefault="002146F7" w:rsidP="002146F7">
      <w:pPr>
        <w:pStyle w:val="Ttulo2"/>
      </w:pPr>
      <w:bookmarkStart w:id="0" w:name="_Toc216355566"/>
      <w:bookmarkStart w:id="1" w:name="_GoBack"/>
      <w:r>
        <w:t xml:space="preserve">1.3 </w:t>
      </w:r>
      <w:r w:rsidRPr="005F5EB8">
        <w:t>ANÁLISIS DE IMPACTO</w:t>
      </w:r>
      <w:bookmarkEnd w:id="0"/>
      <w:r w:rsidRPr="005F5EB8">
        <w:t xml:space="preserve"> </w:t>
      </w:r>
    </w:p>
    <w:bookmarkEnd w:id="1"/>
    <w:p w:rsidR="002146F7" w:rsidRDefault="002146F7" w:rsidP="002146F7">
      <w:pPr>
        <w:rPr>
          <w:rFonts w:ascii="Arial" w:hAnsi="Arial" w:cs="Arial"/>
          <w:sz w:val="24"/>
          <w:szCs w:val="24"/>
        </w:rPr>
      </w:pPr>
      <w:r w:rsidRPr="00EA6646">
        <w:rPr>
          <w:rFonts w:ascii="Arial" w:hAnsi="Arial" w:cs="Arial"/>
          <w:sz w:val="24"/>
          <w:szCs w:val="24"/>
        </w:rPr>
        <w:t>Para evaluar el impacto ambiental derivado del uso de ingredientes activos en el control de plagas y enfermedades del cultivo de zarzamora, así como de los residuos plásticos asociados a su manipulación y aplicación, se empleó un sistema multicriterio que permite cuantificar la severidad de los efectos sobre el ecosistema, identificar los elementos de mayor relevancia en términos de riesgo ambiental y orientar decisiones para su manejo y mitigación.</w:t>
      </w:r>
    </w:p>
    <w:p w:rsidR="002146F7" w:rsidRPr="007B2A2D" w:rsidRDefault="002146F7" w:rsidP="002146F7">
      <w:pPr>
        <w:ind w:firstLine="708"/>
        <w:rPr>
          <w:rFonts w:ascii="Arial" w:hAnsi="Arial" w:cs="Arial"/>
          <w:b/>
          <w:bCs/>
          <w:sz w:val="24"/>
          <w:szCs w:val="24"/>
        </w:rPr>
      </w:pPr>
      <w:r w:rsidRPr="007B2A2D">
        <w:rPr>
          <w:rFonts w:ascii="Arial" w:hAnsi="Arial" w:cs="Arial"/>
          <w:sz w:val="24"/>
          <w:szCs w:val="24"/>
        </w:rPr>
        <w:t xml:space="preserve">El primer criterio, </w:t>
      </w:r>
      <w:r w:rsidRPr="00EA6646">
        <w:rPr>
          <w:rFonts w:ascii="Arial" w:hAnsi="Arial" w:cs="Arial"/>
          <w:b/>
          <w:bCs/>
          <w:sz w:val="24"/>
          <w:szCs w:val="24"/>
        </w:rPr>
        <w:t>persistencia en el ambiente (P)</w:t>
      </w:r>
      <w:r w:rsidRPr="007B2A2D">
        <w:rPr>
          <w:rFonts w:ascii="Arial" w:hAnsi="Arial" w:cs="Arial"/>
          <w:sz w:val="24"/>
          <w:szCs w:val="24"/>
        </w:rPr>
        <w:t>, analiza el tiempo durante el cual una sustancia química o un residuo plástico permanece en el medio antes de degradarse total o parcialmente. Su duración está influenciada por factores como la radiación solar, la limitada circulación del aire, la humedad retenida en el suelo y la composición del material, los cuales pueden ralentizar los procesos naturales de degradación. La evaluación de este aspecto es fundamental, ya que determina la probabilidad de acumulación, la extensión temporal del impacto y el riesgo de exposición prolongada para los organismos y procesos ecológicos.</w:t>
      </w:r>
    </w:p>
    <w:p w:rsidR="002146F7" w:rsidRPr="007B2A2D" w:rsidRDefault="002146F7" w:rsidP="002146F7">
      <w:pPr>
        <w:ind w:firstLine="708"/>
        <w:rPr>
          <w:rFonts w:ascii="Arial" w:hAnsi="Arial" w:cs="Arial"/>
          <w:sz w:val="24"/>
          <w:szCs w:val="24"/>
        </w:rPr>
      </w:pPr>
      <w:r w:rsidRPr="007B2A2D">
        <w:rPr>
          <w:rFonts w:ascii="Arial" w:hAnsi="Arial" w:cs="Arial"/>
          <w:sz w:val="24"/>
          <w:szCs w:val="24"/>
        </w:rPr>
        <w:t>El nivel de “P” se clasifica mediante el siguiente puntaje:</w:t>
      </w:r>
    </w:p>
    <w:p w:rsidR="002146F7" w:rsidRDefault="002146F7" w:rsidP="002146F7">
      <w:pPr>
        <w:pStyle w:val="Prrafodelista"/>
        <w:numPr>
          <w:ilvl w:val="0"/>
          <w:numId w:val="15"/>
        </w:numPr>
        <w:spacing w:after="160" w:line="360" w:lineRule="auto"/>
        <w:jc w:val="both"/>
        <w:rPr>
          <w:rFonts w:ascii="Arial" w:hAnsi="Arial" w:cs="Arial"/>
        </w:rPr>
      </w:pPr>
      <w:r w:rsidRPr="00BF0A68">
        <w:rPr>
          <w:rFonts w:ascii="Arial" w:hAnsi="Arial" w:cs="Arial"/>
          <w:b/>
          <w:bCs/>
        </w:rPr>
        <w:t>1 = Baja persistencia (semanas–meses)</w:t>
      </w:r>
      <w:r w:rsidRPr="00BF0A68">
        <w:rPr>
          <w:rFonts w:ascii="Arial" w:hAnsi="Arial" w:cs="Arial"/>
        </w:rPr>
        <w:t>. Sustancias o residuos que se degradan relativamente rápido mediante procesos fotoquímicos, actividad microbiana o condiciones ambientales favorables.</w:t>
      </w:r>
    </w:p>
    <w:p w:rsidR="002146F7" w:rsidRDefault="002146F7" w:rsidP="002146F7">
      <w:pPr>
        <w:pStyle w:val="Prrafodelista"/>
        <w:numPr>
          <w:ilvl w:val="0"/>
          <w:numId w:val="15"/>
        </w:numPr>
        <w:spacing w:after="160" w:line="360" w:lineRule="auto"/>
        <w:jc w:val="both"/>
        <w:rPr>
          <w:rFonts w:ascii="Arial" w:hAnsi="Arial" w:cs="Arial"/>
        </w:rPr>
      </w:pPr>
      <w:r w:rsidRPr="00BF0A68">
        <w:rPr>
          <w:rFonts w:ascii="Arial" w:hAnsi="Arial" w:cs="Arial"/>
          <w:b/>
          <w:bCs/>
        </w:rPr>
        <w:t>2 = Persistencia media (meses–1 año).</w:t>
      </w:r>
      <w:r w:rsidRPr="00BF0A68">
        <w:rPr>
          <w:rFonts w:ascii="Arial" w:hAnsi="Arial" w:cs="Arial"/>
        </w:rPr>
        <w:t xml:space="preserve"> Compuestos que permanecen durante periodos prolongados, incrementando el riesgo de acumulación durante un ciclo agrícola.</w:t>
      </w:r>
    </w:p>
    <w:p w:rsidR="002146F7" w:rsidRPr="00BF0A68" w:rsidRDefault="002146F7" w:rsidP="002146F7">
      <w:pPr>
        <w:pStyle w:val="Prrafodelista"/>
        <w:numPr>
          <w:ilvl w:val="0"/>
          <w:numId w:val="15"/>
        </w:numPr>
        <w:spacing w:after="160" w:line="360" w:lineRule="auto"/>
        <w:jc w:val="both"/>
        <w:rPr>
          <w:rFonts w:ascii="Arial" w:hAnsi="Arial" w:cs="Arial"/>
        </w:rPr>
      </w:pPr>
      <w:r w:rsidRPr="00BF0A68">
        <w:rPr>
          <w:rFonts w:ascii="Arial" w:hAnsi="Arial" w:cs="Arial"/>
          <w:b/>
          <w:bCs/>
        </w:rPr>
        <w:t>3 = Alta persistencia (años–siglos).</w:t>
      </w:r>
      <w:r w:rsidRPr="00BF0A68">
        <w:rPr>
          <w:rFonts w:ascii="Arial" w:hAnsi="Arial" w:cs="Arial"/>
        </w:rPr>
        <w:t xml:space="preserve"> Sustancias o residuos extremadamente duraderos, que pueden permanecer en el ambiente durante varios años o incluso siglos, representando riesgos crónicos y acumulativos al interactuar con el suelo, el agua y la biota.</w:t>
      </w:r>
    </w:p>
    <w:p w:rsidR="002146F7" w:rsidRPr="009E4742" w:rsidRDefault="002146F7" w:rsidP="002146F7">
      <w:pPr>
        <w:ind w:firstLine="708"/>
        <w:rPr>
          <w:rFonts w:ascii="Arial" w:hAnsi="Arial" w:cs="Arial"/>
          <w:sz w:val="24"/>
          <w:szCs w:val="24"/>
        </w:rPr>
      </w:pPr>
      <w:r w:rsidRPr="009E4742">
        <w:rPr>
          <w:rFonts w:ascii="Arial" w:hAnsi="Arial" w:cs="Arial"/>
          <w:sz w:val="24"/>
          <w:szCs w:val="24"/>
        </w:rPr>
        <w:t xml:space="preserve">El </w:t>
      </w:r>
      <w:r>
        <w:rPr>
          <w:rFonts w:ascii="Arial" w:hAnsi="Arial" w:cs="Arial"/>
          <w:sz w:val="24"/>
          <w:szCs w:val="24"/>
        </w:rPr>
        <w:t xml:space="preserve">segundo </w:t>
      </w:r>
      <w:r w:rsidRPr="009E4742">
        <w:rPr>
          <w:rFonts w:ascii="Arial" w:hAnsi="Arial" w:cs="Arial"/>
          <w:sz w:val="24"/>
          <w:szCs w:val="24"/>
        </w:rPr>
        <w:t xml:space="preserve">criterio, </w:t>
      </w:r>
      <w:r w:rsidRPr="009E4742">
        <w:rPr>
          <w:rFonts w:ascii="Arial" w:hAnsi="Arial" w:cs="Arial"/>
          <w:b/>
          <w:bCs/>
          <w:sz w:val="24"/>
          <w:szCs w:val="24"/>
        </w:rPr>
        <w:t xml:space="preserve">movilidad y </w:t>
      </w:r>
      <w:r>
        <w:rPr>
          <w:rFonts w:ascii="Arial" w:hAnsi="Arial" w:cs="Arial"/>
          <w:b/>
          <w:bCs/>
          <w:sz w:val="24"/>
          <w:szCs w:val="24"/>
        </w:rPr>
        <w:t xml:space="preserve">peligro </w:t>
      </w:r>
      <w:r w:rsidRPr="009E4742">
        <w:rPr>
          <w:rFonts w:ascii="Arial" w:hAnsi="Arial" w:cs="Arial"/>
          <w:b/>
          <w:bCs/>
          <w:sz w:val="24"/>
          <w:szCs w:val="24"/>
        </w:rPr>
        <w:t>de dispersión (M)</w:t>
      </w:r>
      <w:r w:rsidRPr="009E4742">
        <w:rPr>
          <w:rFonts w:ascii="Arial" w:hAnsi="Arial" w:cs="Arial"/>
          <w:sz w:val="24"/>
          <w:szCs w:val="24"/>
        </w:rPr>
        <w:t xml:space="preserve">, evalúa la probabilidad de que un residuo </w:t>
      </w:r>
      <w:r>
        <w:rPr>
          <w:rFonts w:ascii="Arial" w:hAnsi="Arial" w:cs="Arial"/>
          <w:sz w:val="24"/>
          <w:szCs w:val="24"/>
        </w:rPr>
        <w:t xml:space="preserve">plástico o químico </w:t>
      </w:r>
      <w:r w:rsidRPr="009E4742">
        <w:rPr>
          <w:rFonts w:ascii="Arial" w:hAnsi="Arial" w:cs="Arial"/>
          <w:sz w:val="24"/>
          <w:szCs w:val="24"/>
        </w:rPr>
        <w:t>se desplace haci</w:t>
      </w:r>
      <w:r>
        <w:rPr>
          <w:rFonts w:ascii="Arial" w:hAnsi="Arial" w:cs="Arial"/>
          <w:sz w:val="24"/>
          <w:szCs w:val="24"/>
        </w:rPr>
        <w:t xml:space="preserve">a zonas naturales, como consecuencia </w:t>
      </w:r>
      <w:r w:rsidRPr="001B2CA2">
        <w:rPr>
          <w:rFonts w:ascii="Arial" w:hAnsi="Arial" w:cs="Arial"/>
          <w:sz w:val="24"/>
          <w:szCs w:val="24"/>
        </w:rPr>
        <w:t>de</w:t>
      </w:r>
      <w:r>
        <w:rPr>
          <w:rFonts w:ascii="Arial" w:hAnsi="Arial" w:cs="Arial"/>
          <w:sz w:val="24"/>
          <w:szCs w:val="24"/>
        </w:rPr>
        <w:t xml:space="preserve"> </w:t>
      </w:r>
      <w:r w:rsidRPr="001B2CA2">
        <w:rPr>
          <w:rFonts w:ascii="Arial" w:hAnsi="Arial" w:cs="Arial"/>
          <w:sz w:val="24"/>
          <w:szCs w:val="24"/>
        </w:rPr>
        <w:t>factores climáticos (viento, escorrentía, infiltración), características químicas (solubilidad, volatilidad), o</w:t>
      </w:r>
      <w:r>
        <w:rPr>
          <w:rFonts w:ascii="Arial" w:hAnsi="Arial" w:cs="Arial"/>
          <w:sz w:val="24"/>
          <w:szCs w:val="24"/>
        </w:rPr>
        <w:t xml:space="preserve"> cuestiones físicas </w:t>
      </w:r>
      <w:r>
        <w:rPr>
          <w:rFonts w:ascii="Arial" w:hAnsi="Arial" w:cs="Arial"/>
          <w:sz w:val="24"/>
          <w:szCs w:val="24"/>
        </w:rPr>
        <w:lastRenderedPageBreak/>
        <w:t>(arrast</w:t>
      </w:r>
      <w:r w:rsidRPr="0075627D">
        <w:rPr>
          <w:rFonts w:ascii="Arial" w:hAnsi="Arial" w:cs="Arial"/>
          <w:sz w:val="24"/>
          <w:szCs w:val="24"/>
        </w:rPr>
        <w:t>re superficial, erosión o manipulación</w:t>
      </w:r>
      <w:r>
        <w:rPr>
          <w:rFonts w:ascii="Arial" w:hAnsi="Arial" w:cs="Arial"/>
          <w:sz w:val="24"/>
          <w:szCs w:val="24"/>
        </w:rPr>
        <w:t xml:space="preserve">). </w:t>
      </w:r>
      <w:r w:rsidRPr="001B2CA2">
        <w:rPr>
          <w:rFonts w:ascii="Arial" w:hAnsi="Arial" w:cs="Arial"/>
          <w:sz w:val="24"/>
          <w:szCs w:val="24"/>
        </w:rPr>
        <w:t>La movilidad determina el alcance espacial del impacto ambiental y la posibilidad de contaminar cuerpos de agua, bordes de cultivo u otros componentes del agroecosistema.</w:t>
      </w:r>
      <w:r>
        <w:rPr>
          <w:rFonts w:ascii="Arial" w:hAnsi="Arial" w:cs="Arial"/>
          <w:sz w:val="24"/>
          <w:szCs w:val="24"/>
        </w:rPr>
        <w:t xml:space="preserve"> </w:t>
      </w:r>
    </w:p>
    <w:p w:rsidR="002146F7" w:rsidRDefault="002146F7" w:rsidP="002146F7">
      <w:pPr>
        <w:ind w:firstLine="708"/>
        <w:rPr>
          <w:rFonts w:ascii="Arial" w:hAnsi="Arial" w:cs="Arial"/>
          <w:sz w:val="24"/>
          <w:szCs w:val="24"/>
        </w:rPr>
      </w:pPr>
      <w:r w:rsidRPr="009E4742">
        <w:rPr>
          <w:rFonts w:ascii="Arial" w:hAnsi="Arial" w:cs="Arial"/>
          <w:sz w:val="24"/>
          <w:szCs w:val="24"/>
        </w:rPr>
        <w:t>El nivel de “M” se clasifica mediante el siguiente puntaje:</w:t>
      </w:r>
    </w:p>
    <w:p w:rsidR="002146F7" w:rsidRPr="0075627D" w:rsidRDefault="002146F7" w:rsidP="002146F7">
      <w:pPr>
        <w:pStyle w:val="Prrafodelista"/>
        <w:numPr>
          <w:ilvl w:val="0"/>
          <w:numId w:val="8"/>
        </w:numPr>
        <w:spacing w:after="160" w:line="360" w:lineRule="auto"/>
        <w:jc w:val="both"/>
        <w:rPr>
          <w:rFonts w:ascii="Arial" w:hAnsi="Arial" w:cs="Arial"/>
        </w:rPr>
      </w:pPr>
      <w:r w:rsidRPr="00135DC9">
        <w:rPr>
          <w:rFonts w:ascii="Arial" w:hAnsi="Arial" w:cs="Arial"/>
          <w:b/>
          <w:bCs/>
        </w:rPr>
        <w:t>1 = Movilidad baja</w:t>
      </w:r>
      <w:r>
        <w:rPr>
          <w:rFonts w:ascii="Arial" w:hAnsi="Arial" w:cs="Arial"/>
          <w:b/>
          <w:bCs/>
        </w:rPr>
        <w:t>.</w:t>
      </w:r>
      <w:r w:rsidRPr="0075627D">
        <w:rPr>
          <w:rFonts w:ascii="Arial" w:hAnsi="Arial" w:cs="Arial"/>
        </w:rPr>
        <w:t xml:space="preserve"> </w:t>
      </w:r>
      <w:r>
        <w:rPr>
          <w:rFonts w:ascii="Arial" w:hAnsi="Arial" w:cs="Arial"/>
        </w:rPr>
        <w:t>S</w:t>
      </w:r>
      <w:r w:rsidRPr="0075627D">
        <w:rPr>
          <w:rFonts w:ascii="Arial" w:hAnsi="Arial" w:cs="Arial"/>
        </w:rPr>
        <w:t>ustancias o residuos que permanecen estables en el sitio de aplicación, con mínima capacidad de desplazamiento, lo que limita la contaminación fuera del área tratada.</w:t>
      </w:r>
    </w:p>
    <w:p w:rsidR="002146F7" w:rsidRPr="0062339A" w:rsidRDefault="002146F7" w:rsidP="002146F7">
      <w:pPr>
        <w:pStyle w:val="Prrafodelista"/>
        <w:numPr>
          <w:ilvl w:val="0"/>
          <w:numId w:val="8"/>
        </w:numPr>
        <w:spacing w:after="160" w:line="360" w:lineRule="auto"/>
        <w:jc w:val="both"/>
        <w:rPr>
          <w:rFonts w:ascii="Arial" w:hAnsi="Arial" w:cs="Arial"/>
        </w:rPr>
      </w:pPr>
      <w:r w:rsidRPr="00135DC9">
        <w:rPr>
          <w:rFonts w:ascii="Arial" w:hAnsi="Arial" w:cs="Arial"/>
          <w:b/>
          <w:bCs/>
        </w:rPr>
        <w:t>2 = Movilidad media</w:t>
      </w:r>
      <w:r>
        <w:rPr>
          <w:rFonts w:ascii="Arial" w:hAnsi="Arial" w:cs="Arial"/>
          <w:b/>
          <w:bCs/>
        </w:rPr>
        <w:t>.</w:t>
      </w:r>
      <w:r w:rsidRPr="0075627D">
        <w:rPr>
          <w:rFonts w:ascii="Arial" w:hAnsi="Arial" w:cs="Arial"/>
        </w:rPr>
        <w:t xml:space="preserve"> </w:t>
      </w:r>
      <w:r>
        <w:rPr>
          <w:rFonts w:ascii="Arial" w:hAnsi="Arial" w:cs="Arial"/>
        </w:rPr>
        <w:t>C</w:t>
      </w:r>
      <w:r w:rsidRPr="0075627D">
        <w:rPr>
          <w:rFonts w:ascii="Arial" w:hAnsi="Arial" w:cs="Arial"/>
        </w:rPr>
        <w:t>ompuestos o fragmentos que pueden trasladarse bajo ciertas condiciones, como lluvias intensas, riegos excesivos, suelos con baja capacidad de retención o manipulación agrícola, generando un riesgo moderado de dispersión, especialmente en sistemas protegidos con manejo inadecuado.</w:t>
      </w:r>
    </w:p>
    <w:p w:rsidR="002146F7" w:rsidRPr="003F7637" w:rsidRDefault="002146F7" w:rsidP="002146F7">
      <w:pPr>
        <w:pStyle w:val="Prrafodelista"/>
        <w:numPr>
          <w:ilvl w:val="0"/>
          <w:numId w:val="8"/>
        </w:numPr>
        <w:spacing w:after="160" w:line="360" w:lineRule="auto"/>
        <w:jc w:val="both"/>
        <w:rPr>
          <w:rFonts w:ascii="Arial" w:hAnsi="Arial" w:cs="Arial"/>
        </w:rPr>
      </w:pPr>
      <w:r w:rsidRPr="00135DC9">
        <w:rPr>
          <w:rFonts w:ascii="Arial" w:hAnsi="Arial" w:cs="Arial"/>
          <w:b/>
          <w:bCs/>
        </w:rPr>
        <w:t>3 = Movilidad alta</w:t>
      </w:r>
      <w:r>
        <w:rPr>
          <w:rFonts w:ascii="Arial" w:hAnsi="Arial" w:cs="Arial"/>
          <w:b/>
          <w:bCs/>
        </w:rPr>
        <w:t>.</w:t>
      </w:r>
      <w:r w:rsidRPr="0075627D">
        <w:rPr>
          <w:rFonts w:ascii="Arial" w:hAnsi="Arial" w:cs="Arial"/>
        </w:rPr>
        <w:t xml:space="preserve"> </w:t>
      </w:r>
      <w:r>
        <w:rPr>
          <w:rFonts w:ascii="Arial" w:hAnsi="Arial" w:cs="Arial"/>
        </w:rPr>
        <w:t>S</w:t>
      </w:r>
      <w:r w:rsidRPr="0075627D">
        <w:rPr>
          <w:rFonts w:ascii="Arial" w:hAnsi="Arial" w:cs="Arial"/>
        </w:rPr>
        <w:t>ustancias o residuos con elevada solubilidad, volatilidad o facilidad de desplazamiento, capaces de moverse hacia cuerpos de agua, drenajes, zonas cercanas o cultivos vecinos, representando un riesgo considerable de afectación fuera del área de aplicación.</w:t>
      </w:r>
    </w:p>
    <w:p w:rsidR="002146F7" w:rsidRPr="009E4742" w:rsidRDefault="002146F7" w:rsidP="002146F7">
      <w:pPr>
        <w:ind w:firstLine="708"/>
        <w:rPr>
          <w:rFonts w:ascii="Arial" w:hAnsi="Arial" w:cs="Arial"/>
          <w:sz w:val="24"/>
          <w:szCs w:val="24"/>
        </w:rPr>
      </w:pPr>
      <w:r w:rsidRPr="009E4742">
        <w:rPr>
          <w:rFonts w:ascii="Arial" w:hAnsi="Arial" w:cs="Arial"/>
          <w:sz w:val="24"/>
          <w:szCs w:val="24"/>
        </w:rPr>
        <w:t xml:space="preserve">El </w:t>
      </w:r>
      <w:r>
        <w:rPr>
          <w:rFonts w:ascii="Arial" w:hAnsi="Arial" w:cs="Arial"/>
          <w:sz w:val="24"/>
          <w:szCs w:val="24"/>
        </w:rPr>
        <w:t xml:space="preserve">tercer </w:t>
      </w:r>
      <w:r w:rsidRPr="009E4742">
        <w:rPr>
          <w:rFonts w:ascii="Arial" w:hAnsi="Arial" w:cs="Arial"/>
          <w:sz w:val="24"/>
          <w:szCs w:val="24"/>
        </w:rPr>
        <w:t xml:space="preserve">criterio, </w:t>
      </w:r>
      <w:r w:rsidRPr="00135DC9">
        <w:rPr>
          <w:rFonts w:ascii="Arial" w:hAnsi="Arial" w:cs="Arial"/>
          <w:b/>
          <w:bCs/>
          <w:sz w:val="24"/>
          <w:szCs w:val="24"/>
        </w:rPr>
        <w:t>interferencia con la estructura y funciones del suelo (S)</w:t>
      </w:r>
      <w:r w:rsidRPr="009E4742">
        <w:rPr>
          <w:rFonts w:ascii="Arial" w:hAnsi="Arial" w:cs="Arial"/>
          <w:sz w:val="24"/>
          <w:szCs w:val="24"/>
        </w:rPr>
        <w:t>, se centra en la capacidad de los residuos para modificar las propiedades físicas, químicas o biológicas del suelo. Un suelo sano requiere porosidad adecuada, buena infiltración, temperatura estable y microbiota funcional activa</w:t>
      </w:r>
      <w:r>
        <w:rPr>
          <w:rFonts w:ascii="Arial" w:hAnsi="Arial" w:cs="Arial"/>
          <w:sz w:val="24"/>
          <w:szCs w:val="24"/>
        </w:rPr>
        <w:t>. Pero,</w:t>
      </w:r>
      <w:r w:rsidRPr="009E4742">
        <w:rPr>
          <w:rFonts w:ascii="Arial" w:hAnsi="Arial" w:cs="Arial"/>
          <w:sz w:val="24"/>
          <w:szCs w:val="24"/>
        </w:rPr>
        <w:t xml:space="preserve"> cualquier alteración puede reducir su fertilidad y afectar procesos esenciales para el desarrollo del cultivo.</w:t>
      </w:r>
    </w:p>
    <w:p w:rsidR="002146F7" w:rsidRPr="009E4742" w:rsidRDefault="002146F7" w:rsidP="002146F7">
      <w:pPr>
        <w:ind w:firstLine="708"/>
        <w:rPr>
          <w:rFonts w:ascii="Arial" w:hAnsi="Arial" w:cs="Arial"/>
          <w:sz w:val="24"/>
          <w:szCs w:val="24"/>
        </w:rPr>
      </w:pPr>
      <w:r w:rsidRPr="009E4742">
        <w:rPr>
          <w:rFonts w:ascii="Arial" w:hAnsi="Arial" w:cs="Arial"/>
          <w:sz w:val="24"/>
          <w:szCs w:val="24"/>
        </w:rPr>
        <w:t>El nivel de “S” se clasifica mediante el siguiente puntaje:</w:t>
      </w:r>
    </w:p>
    <w:p w:rsidR="002146F7" w:rsidRPr="00BF0A68" w:rsidRDefault="002146F7" w:rsidP="002146F7">
      <w:pPr>
        <w:pStyle w:val="Prrafodelista"/>
        <w:numPr>
          <w:ilvl w:val="0"/>
          <w:numId w:val="16"/>
        </w:numPr>
        <w:spacing w:after="160" w:line="360" w:lineRule="auto"/>
        <w:jc w:val="both"/>
        <w:rPr>
          <w:rFonts w:ascii="Arial" w:hAnsi="Arial" w:cs="Arial"/>
        </w:rPr>
      </w:pPr>
      <w:r w:rsidRPr="00BF0A68">
        <w:rPr>
          <w:rFonts w:ascii="Arial" w:hAnsi="Arial" w:cs="Arial"/>
          <w:b/>
          <w:bCs/>
        </w:rPr>
        <w:t>1 = Baja interferencia.</w:t>
      </w:r>
      <w:r w:rsidRPr="00BF0A68">
        <w:rPr>
          <w:rFonts w:ascii="Arial" w:hAnsi="Arial" w:cs="Arial"/>
        </w:rPr>
        <w:t xml:space="preserve"> Cambios mínimos y generalmente reversibles, que se presentan cuando la cantidad de residuos es reducida o las sustancias se degradan rápidamente sin dejar acumulaciones significativas.</w:t>
      </w:r>
    </w:p>
    <w:p w:rsidR="002146F7" w:rsidRPr="00BF0A68" w:rsidRDefault="002146F7" w:rsidP="002146F7">
      <w:pPr>
        <w:pStyle w:val="Prrafodelista"/>
        <w:numPr>
          <w:ilvl w:val="0"/>
          <w:numId w:val="16"/>
        </w:numPr>
        <w:spacing w:after="160" w:line="360" w:lineRule="auto"/>
        <w:jc w:val="both"/>
        <w:rPr>
          <w:rFonts w:ascii="Arial" w:hAnsi="Arial" w:cs="Arial"/>
        </w:rPr>
      </w:pPr>
      <w:r w:rsidRPr="00BF0A68">
        <w:rPr>
          <w:rFonts w:ascii="Arial" w:hAnsi="Arial" w:cs="Arial"/>
          <w:b/>
          <w:bCs/>
        </w:rPr>
        <w:t>2 = Interferencia media</w:t>
      </w:r>
      <w:r w:rsidRPr="00BF0A68">
        <w:rPr>
          <w:rFonts w:ascii="Arial" w:hAnsi="Arial" w:cs="Arial"/>
        </w:rPr>
        <w:t>. Alteraciones moderadas y visibles, que pueden incluir zonas compactadas, leves cambios en la porosidad o afectación temporal de comunidades microbianas, indicando una tendencia a la acumulación de impactos.</w:t>
      </w:r>
    </w:p>
    <w:p w:rsidR="002146F7" w:rsidRPr="00BF0A68" w:rsidRDefault="002146F7" w:rsidP="002146F7">
      <w:pPr>
        <w:pStyle w:val="Prrafodelista"/>
        <w:numPr>
          <w:ilvl w:val="0"/>
          <w:numId w:val="16"/>
        </w:numPr>
        <w:spacing w:after="160" w:line="360" w:lineRule="auto"/>
        <w:jc w:val="both"/>
        <w:rPr>
          <w:rFonts w:ascii="Arial" w:hAnsi="Arial" w:cs="Arial"/>
        </w:rPr>
      </w:pPr>
      <w:r w:rsidRPr="00BF0A68">
        <w:rPr>
          <w:rFonts w:ascii="Arial" w:hAnsi="Arial" w:cs="Arial"/>
          <w:b/>
          <w:bCs/>
        </w:rPr>
        <w:lastRenderedPageBreak/>
        <w:t>3 = Alta interferencia.</w:t>
      </w:r>
      <w:r w:rsidRPr="00BF0A68">
        <w:rPr>
          <w:rFonts w:ascii="Arial" w:hAnsi="Arial" w:cs="Arial"/>
        </w:rPr>
        <w:t xml:space="preserve"> Cambios relevantes que comprometen la estructura física del suelo o afectan de manera persistente su actividad biológica y procesos microbiológicos fundamentales.</w:t>
      </w:r>
    </w:p>
    <w:p w:rsidR="002146F7" w:rsidRDefault="002146F7" w:rsidP="002146F7">
      <w:pPr>
        <w:ind w:firstLine="708"/>
        <w:rPr>
          <w:rFonts w:ascii="Arial" w:hAnsi="Arial" w:cs="Arial"/>
          <w:sz w:val="24"/>
          <w:szCs w:val="24"/>
        </w:rPr>
      </w:pPr>
      <w:r w:rsidRPr="00BF0A68">
        <w:rPr>
          <w:rFonts w:ascii="Arial" w:hAnsi="Arial" w:cs="Arial"/>
          <w:sz w:val="24"/>
          <w:szCs w:val="24"/>
        </w:rPr>
        <w:t xml:space="preserve">Los puntajes obtenidos para cada criterio se sumaron para obtener una </w:t>
      </w:r>
      <w:r w:rsidRPr="00BF0A68">
        <w:rPr>
          <w:rFonts w:ascii="Arial" w:hAnsi="Arial" w:cs="Arial"/>
          <w:b/>
          <w:bCs/>
          <w:sz w:val="24"/>
          <w:szCs w:val="24"/>
        </w:rPr>
        <w:t xml:space="preserve">calificación total de impacto atribuida a cada ingrediente activo o residuo plástico </w:t>
      </w:r>
      <w:r w:rsidRPr="00BF0A68">
        <w:rPr>
          <w:rFonts w:ascii="Arial" w:hAnsi="Arial" w:cs="Arial"/>
          <w:sz w:val="24"/>
          <w:szCs w:val="24"/>
        </w:rPr>
        <w:t xml:space="preserve">evaluado. La interpretación final se basa en </w:t>
      </w:r>
      <w:r>
        <w:rPr>
          <w:rFonts w:ascii="Arial" w:hAnsi="Arial" w:cs="Arial"/>
          <w:sz w:val="24"/>
          <w:szCs w:val="24"/>
        </w:rPr>
        <w:t xml:space="preserve">la </w:t>
      </w:r>
      <w:r w:rsidRPr="00BF0A68">
        <w:rPr>
          <w:rFonts w:ascii="Arial" w:hAnsi="Arial" w:cs="Arial"/>
          <w:sz w:val="24"/>
          <w:szCs w:val="24"/>
        </w:rPr>
        <w:t>escala</w:t>
      </w:r>
      <w:r>
        <w:rPr>
          <w:rFonts w:ascii="Arial" w:hAnsi="Arial" w:cs="Arial"/>
          <w:sz w:val="24"/>
          <w:szCs w:val="24"/>
        </w:rPr>
        <w:t xml:space="preserve"> próxima. </w:t>
      </w:r>
    </w:p>
    <w:p w:rsidR="002146F7" w:rsidRDefault="002146F7" w:rsidP="002146F7">
      <w:pPr>
        <w:pStyle w:val="Prrafodelista"/>
        <w:numPr>
          <w:ilvl w:val="0"/>
          <w:numId w:val="14"/>
        </w:numPr>
        <w:spacing w:after="160" w:line="360" w:lineRule="auto"/>
        <w:jc w:val="both"/>
        <w:rPr>
          <w:rFonts w:ascii="Arial" w:hAnsi="Arial" w:cs="Arial"/>
        </w:rPr>
      </w:pPr>
      <w:r w:rsidRPr="00680BA8">
        <w:rPr>
          <w:rFonts w:ascii="Arial" w:hAnsi="Arial" w:cs="Arial"/>
          <w:b/>
          <w:bCs/>
        </w:rPr>
        <w:t>Impacto bajo (3 a 4 puntos).</w:t>
      </w:r>
      <w:r w:rsidRPr="00BF0A68">
        <w:rPr>
          <w:rFonts w:ascii="Arial" w:hAnsi="Arial" w:cs="Arial"/>
        </w:rPr>
        <w:t xml:space="preserve"> </w:t>
      </w:r>
      <w:r w:rsidRPr="00680BA8">
        <w:rPr>
          <w:rFonts w:ascii="Arial" w:hAnsi="Arial" w:cs="Arial"/>
        </w:rPr>
        <w:t xml:space="preserve">Comprende residuos poco persistentes, con bajo peligro de movilidad y mínima interferencia en la estructura y funciones del suelo, por lo que requieren únicamente medidas preventivas que permitan mantener un manejo apropiado y evitar que prácticas incorrectas incrementen </w:t>
      </w:r>
      <w:r>
        <w:rPr>
          <w:rFonts w:ascii="Arial" w:hAnsi="Arial" w:cs="Arial"/>
        </w:rPr>
        <w:t xml:space="preserve">el daño </w:t>
      </w:r>
      <w:r w:rsidRPr="00680BA8">
        <w:rPr>
          <w:rFonts w:ascii="Arial" w:hAnsi="Arial" w:cs="Arial"/>
        </w:rPr>
        <w:t>ambiental.</w:t>
      </w:r>
      <w:r>
        <w:rPr>
          <w:rFonts w:ascii="Arial" w:hAnsi="Arial" w:cs="Arial"/>
        </w:rPr>
        <w:t xml:space="preserve"> </w:t>
      </w:r>
    </w:p>
    <w:p w:rsidR="002146F7" w:rsidRDefault="002146F7" w:rsidP="002146F7">
      <w:pPr>
        <w:pStyle w:val="Prrafodelista"/>
        <w:numPr>
          <w:ilvl w:val="0"/>
          <w:numId w:val="14"/>
        </w:numPr>
        <w:spacing w:after="160" w:line="360" w:lineRule="auto"/>
        <w:jc w:val="both"/>
        <w:rPr>
          <w:rFonts w:ascii="Arial" w:hAnsi="Arial" w:cs="Arial"/>
        </w:rPr>
      </w:pPr>
      <w:r w:rsidRPr="00680BA8">
        <w:rPr>
          <w:rFonts w:ascii="Arial" w:hAnsi="Arial" w:cs="Arial"/>
          <w:b/>
          <w:bCs/>
        </w:rPr>
        <w:t>Impacto medio (5 a 6 puntos).</w:t>
      </w:r>
      <w:r w:rsidRPr="00BF0A68">
        <w:rPr>
          <w:rFonts w:ascii="Arial" w:hAnsi="Arial" w:cs="Arial"/>
        </w:rPr>
        <w:t xml:space="preserve"> </w:t>
      </w:r>
      <w:r w:rsidRPr="00245CD0">
        <w:rPr>
          <w:rFonts w:ascii="Arial" w:hAnsi="Arial" w:cs="Arial"/>
        </w:rPr>
        <w:t xml:space="preserve">Incluye ingredientes activos y desechos plásticos con persistencia moderada, movilidad intermedia y degradación lenta, por lo que requieren acciones de </w:t>
      </w:r>
      <w:r>
        <w:rPr>
          <w:rFonts w:ascii="Arial" w:hAnsi="Arial" w:cs="Arial"/>
        </w:rPr>
        <w:t xml:space="preserve">mejora </w:t>
      </w:r>
      <w:r w:rsidRPr="00245CD0">
        <w:rPr>
          <w:rFonts w:ascii="Arial" w:hAnsi="Arial" w:cs="Arial"/>
        </w:rPr>
        <w:t>que reduzcan el riesgo de acumulación progresiva y eviten efectos adversos en el entorno.</w:t>
      </w:r>
      <w:r>
        <w:rPr>
          <w:rFonts w:ascii="Arial" w:hAnsi="Arial" w:cs="Arial"/>
        </w:rPr>
        <w:t xml:space="preserve">  </w:t>
      </w:r>
    </w:p>
    <w:p w:rsidR="002146F7" w:rsidRDefault="002146F7" w:rsidP="002146F7">
      <w:pPr>
        <w:pStyle w:val="Prrafodelista"/>
        <w:numPr>
          <w:ilvl w:val="0"/>
          <w:numId w:val="14"/>
        </w:numPr>
        <w:spacing w:after="160" w:line="360" w:lineRule="auto"/>
        <w:jc w:val="both"/>
        <w:rPr>
          <w:rFonts w:ascii="Arial" w:hAnsi="Arial" w:cs="Arial"/>
        </w:rPr>
      </w:pPr>
      <w:r w:rsidRPr="003B4E13">
        <w:rPr>
          <w:rFonts w:ascii="Arial" w:hAnsi="Arial" w:cs="Arial"/>
          <w:b/>
          <w:bCs/>
        </w:rPr>
        <w:t>Impacto alto (7 a 9 puntos).</w:t>
      </w:r>
      <w:r w:rsidRPr="00BF0A68">
        <w:rPr>
          <w:rFonts w:ascii="Arial" w:hAnsi="Arial" w:cs="Arial"/>
        </w:rPr>
        <w:t xml:space="preserve"> </w:t>
      </w:r>
      <w:r w:rsidRPr="00606976">
        <w:rPr>
          <w:rFonts w:ascii="Arial" w:hAnsi="Arial" w:cs="Arial"/>
        </w:rPr>
        <w:t>Integrado por sustancias y residuos con larga persistencia, alto riesgo de movilidad y degradación extremadamente lenta, por lo que requieren acciones de ajuste de mayor alcance que permitan manejar la prolongación de sus efectos en el espacio y en el tiempo.</w:t>
      </w:r>
      <w:r>
        <w:rPr>
          <w:rFonts w:ascii="Arial" w:hAnsi="Arial" w:cs="Arial"/>
        </w:rPr>
        <w:t xml:space="preserve"> </w:t>
      </w:r>
    </w:p>
    <w:p w:rsidR="002146F7" w:rsidRDefault="002146F7" w:rsidP="002146F7">
      <w:pPr>
        <w:ind w:firstLine="360"/>
        <w:rPr>
          <w:rFonts w:ascii="Arial" w:hAnsi="Arial" w:cs="Arial"/>
          <w:sz w:val="24"/>
          <w:szCs w:val="24"/>
        </w:rPr>
      </w:pPr>
      <w:r w:rsidRPr="00ED19A0">
        <w:rPr>
          <w:rFonts w:ascii="Arial" w:hAnsi="Arial" w:cs="Arial"/>
          <w:sz w:val="24"/>
          <w:szCs w:val="24"/>
        </w:rPr>
        <w:t xml:space="preserve">Al </w:t>
      </w:r>
      <w:r>
        <w:rPr>
          <w:rFonts w:ascii="Arial" w:hAnsi="Arial" w:cs="Arial"/>
          <w:sz w:val="24"/>
          <w:szCs w:val="24"/>
        </w:rPr>
        <w:t xml:space="preserve">inspeccionar </w:t>
      </w:r>
      <w:r w:rsidRPr="00ED19A0">
        <w:rPr>
          <w:rFonts w:ascii="Arial" w:hAnsi="Arial" w:cs="Arial"/>
          <w:sz w:val="24"/>
          <w:szCs w:val="24"/>
        </w:rPr>
        <w:t>los ingredientes activos y residuos plásticos involucrados en el control de plagas y enfermedades, mediante el sistema multicriterio</w:t>
      </w:r>
      <w:r>
        <w:rPr>
          <w:rFonts w:ascii="Arial" w:hAnsi="Arial" w:cs="Arial"/>
          <w:sz w:val="24"/>
          <w:szCs w:val="24"/>
        </w:rPr>
        <w:t xml:space="preserve"> que fue</w:t>
      </w:r>
      <w:r w:rsidRPr="00ED19A0">
        <w:rPr>
          <w:rFonts w:ascii="Arial" w:hAnsi="Arial" w:cs="Arial"/>
          <w:sz w:val="24"/>
          <w:szCs w:val="24"/>
        </w:rPr>
        <w:t xml:space="preserve"> definido previamente, se obtuvo la Tabla 1 con el </w:t>
      </w:r>
      <w:r>
        <w:rPr>
          <w:rFonts w:ascii="Arial" w:hAnsi="Arial" w:cs="Arial"/>
          <w:sz w:val="24"/>
          <w:szCs w:val="24"/>
        </w:rPr>
        <w:t xml:space="preserve">resumen </w:t>
      </w:r>
      <w:r w:rsidRPr="00ED19A0">
        <w:rPr>
          <w:rFonts w:ascii="Arial" w:hAnsi="Arial" w:cs="Arial"/>
          <w:sz w:val="24"/>
          <w:szCs w:val="24"/>
        </w:rPr>
        <w:t>de resultados.</w:t>
      </w:r>
    </w:p>
    <w:p w:rsidR="002146F7" w:rsidRDefault="002146F7" w:rsidP="002146F7">
      <w:pPr>
        <w:rPr>
          <w:rFonts w:ascii="Arial" w:hAnsi="Arial" w:cs="Arial"/>
          <w:b/>
          <w:bCs/>
          <w:i/>
          <w:iCs/>
          <w:sz w:val="20"/>
          <w:szCs w:val="20"/>
        </w:rPr>
      </w:pPr>
      <w:r w:rsidRPr="008841DA">
        <w:rPr>
          <w:rFonts w:ascii="Arial" w:hAnsi="Arial" w:cs="Arial"/>
          <w:noProof/>
          <w:sz w:val="24"/>
          <w:szCs w:val="24"/>
        </w:rPr>
        <w:drawing>
          <wp:anchor distT="0" distB="0" distL="114300" distR="114300" simplePos="0" relativeHeight="251659264" behindDoc="1" locked="0" layoutInCell="1" allowOverlap="1" wp14:anchorId="425E0867" wp14:editId="2C753C20">
            <wp:simplePos x="0" y="0"/>
            <wp:positionH relativeFrom="margin">
              <wp:posOffset>596265</wp:posOffset>
            </wp:positionH>
            <wp:positionV relativeFrom="paragraph">
              <wp:posOffset>187960</wp:posOffset>
            </wp:positionV>
            <wp:extent cx="4591050" cy="2681605"/>
            <wp:effectExtent l="0" t="0" r="0" b="4445"/>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4591728" cy="2682001"/>
                    </a:xfrm>
                    <a:prstGeom prst="rect">
                      <a:avLst/>
                    </a:prstGeom>
                  </pic:spPr>
                </pic:pic>
              </a:graphicData>
            </a:graphic>
            <wp14:sizeRelH relativeFrom="margin">
              <wp14:pctWidth>0</wp14:pctWidth>
            </wp14:sizeRelH>
            <wp14:sizeRelV relativeFrom="margin">
              <wp14:pctHeight>0</wp14:pctHeight>
            </wp14:sizeRelV>
          </wp:anchor>
        </w:drawing>
      </w:r>
      <w:r w:rsidRPr="00913A41">
        <w:rPr>
          <w:rFonts w:ascii="Arial" w:hAnsi="Arial" w:cs="Arial"/>
          <w:b/>
          <w:bCs/>
          <w:i/>
          <w:iCs/>
          <w:sz w:val="20"/>
          <w:szCs w:val="20"/>
        </w:rPr>
        <w:t xml:space="preserve">Tabla </w:t>
      </w:r>
      <w:r>
        <w:rPr>
          <w:rFonts w:ascii="Arial" w:hAnsi="Arial" w:cs="Arial"/>
          <w:b/>
          <w:bCs/>
          <w:i/>
          <w:iCs/>
          <w:sz w:val="20"/>
          <w:szCs w:val="20"/>
        </w:rPr>
        <w:t>1</w:t>
      </w:r>
      <w:r w:rsidRPr="00913A41">
        <w:rPr>
          <w:rFonts w:ascii="Arial" w:hAnsi="Arial" w:cs="Arial"/>
          <w:b/>
          <w:bCs/>
          <w:i/>
          <w:iCs/>
          <w:sz w:val="20"/>
          <w:szCs w:val="20"/>
        </w:rPr>
        <w:t xml:space="preserve">. </w:t>
      </w:r>
      <w:r>
        <w:rPr>
          <w:rFonts w:ascii="Arial" w:hAnsi="Arial" w:cs="Arial"/>
          <w:b/>
          <w:bCs/>
          <w:i/>
          <w:iCs/>
          <w:sz w:val="20"/>
          <w:szCs w:val="20"/>
        </w:rPr>
        <w:t>Impacto ecológico de ingredientes activos y residuos plásticos de productos (parte 1)</w:t>
      </w:r>
    </w:p>
    <w:p w:rsidR="002146F7" w:rsidRDefault="002146F7" w:rsidP="002146F7">
      <w:pPr>
        <w:ind w:firstLine="360"/>
        <w:rPr>
          <w:rFonts w:ascii="Arial" w:hAnsi="Arial" w:cs="Arial"/>
          <w:sz w:val="24"/>
          <w:szCs w:val="24"/>
        </w:rPr>
      </w:pPr>
    </w:p>
    <w:p w:rsidR="002146F7" w:rsidRDefault="002146F7" w:rsidP="002146F7">
      <w:pPr>
        <w:ind w:firstLine="360"/>
        <w:rPr>
          <w:rFonts w:ascii="Arial" w:hAnsi="Arial" w:cs="Arial"/>
          <w:sz w:val="24"/>
          <w:szCs w:val="24"/>
        </w:rPr>
      </w:pPr>
    </w:p>
    <w:p w:rsidR="002146F7" w:rsidRDefault="002146F7" w:rsidP="002146F7">
      <w:pPr>
        <w:ind w:firstLine="360"/>
        <w:rPr>
          <w:rFonts w:ascii="Arial" w:hAnsi="Arial" w:cs="Arial"/>
          <w:sz w:val="24"/>
          <w:szCs w:val="24"/>
        </w:rPr>
      </w:pPr>
    </w:p>
    <w:p w:rsidR="002146F7" w:rsidRDefault="002146F7" w:rsidP="002146F7">
      <w:pPr>
        <w:ind w:firstLine="360"/>
        <w:rPr>
          <w:rFonts w:ascii="Arial" w:hAnsi="Arial" w:cs="Arial"/>
          <w:sz w:val="24"/>
          <w:szCs w:val="24"/>
        </w:rPr>
      </w:pPr>
    </w:p>
    <w:p w:rsidR="002146F7" w:rsidRDefault="002146F7" w:rsidP="002146F7">
      <w:pPr>
        <w:ind w:firstLine="360"/>
        <w:rPr>
          <w:rFonts w:ascii="Arial" w:hAnsi="Arial" w:cs="Arial"/>
          <w:sz w:val="24"/>
          <w:szCs w:val="24"/>
        </w:rPr>
      </w:pPr>
    </w:p>
    <w:p w:rsidR="002146F7" w:rsidRDefault="002146F7" w:rsidP="002146F7">
      <w:pPr>
        <w:ind w:firstLine="360"/>
        <w:rPr>
          <w:rFonts w:ascii="Arial" w:hAnsi="Arial" w:cs="Arial"/>
          <w:sz w:val="24"/>
          <w:szCs w:val="24"/>
        </w:rPr>
      </w:pPr>
    </w:p>
    <w:p w:rsidR="002146F7" w:rsidRDefault="002146F7" w:rsidP="002146F7">
      <w:pPr>
        <w:ind w:firstLine="360"/>
        <w:rPr>
          <w:rFonts w:ascii="Arial" w:hAnsi="Arial" w:cs="Arial"/>
          <w:sz w:val="24"/>
          <w:szCs w:val="24"/>
        </w:rPr>
      </w:pPr>
    </w:p>
    <w:p w:rsidR="002146F7" w:rsidRPr="00D646FA" w:rsidRDefault="002146F7" w:rsidP="002146F7">
      <w:pPr>
        <w:rPr>
          <w:rFonts w:ascii="Arial" w:hAnsi="Arial" w:cs="Arial"/>
          <w:b/>
          <w:bCs/>
          <w:i/>
          <w:iCs/>
          <w:sz w:val="20"/>
          <w:szCs w:val="20"/>
        </w:rPr>
      </w:pPr>
      <w:r w:rsidRPr="008841DA">
        <w:rPr>
          <w:rFonts w:ascii="Arial" w:hAnsi="Arial" w:cs="Arial"/>
          <w:noProof/>
          <w:sz w:val="24"/>
          <w:szCs w:val="24"/>
        </w:rPr>
        <w:lastRenderedPageBreak/>
        <w:drawing>
          <wp:anchor distT="0" distB="0" distL="114300" distR="114300" simplePos="0" relativeHeight="251660288" behindDoc="1" locked="0" layoutInCell="1" allowOverlap="1" wp14:anchorId="28904FE6" wp14:editId="4355EDD7">
            <wp:simplePos x="0" y="0"/>
            <wp:positionH relativeFrom="column">
              <wp:posOffset>229870</wp:posOffset>
            </wp:positionH>
            <wp:positionV relativeFrom="paragraph">
              <wp:posOffset>541655</wp:posOffset>
            </wp:positionV>
            <wp:extent cx="5150485" cy="4624705"/>
            <wp:effectExtent l="0" t="0" r="0" b="4445"/>
            <wp:wrapTight wrapText="bothSides">
              <wp:wrapPolygon edited="0">
                <wp:start x="0" y="0"/>
                <wp:lineTo x="0" y="21532"/>
                <wp:lineTo x="21491" y="21532"/>
                <wp:lineTo x="21491" y="0"/>
                <wp:lineTo x="0" y="0"/>
              </wp:wrapPolygon>
            </wp:wrapTight>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150485" cy="4624705"/>
                    </a:xfrm>
                    <a:prstGeom prst="rect">
                      <a:avLst/>
                    </a:prstGeom>
                  </pic:spPr>
                </pic:pic>
              </a:graphicData>
            </a:graphic>
            <wp14:sizeRelV relativeFrom="margin">
              <wp14:pctHeight>0</wp14:pctHeight>
            </wp14:sizeRelV>
          </wp:anchor>
        </w:drawing>
      </w:r>
      <w:r w:rsidRPr="00913A41">
        <w:rPr>
          <w:rFonts w:ascii="Arial" w:hAnsi="Arial" w:cs="Arial"/>
          <w:b/>
          <w:bCs/>
          <w:i/>
          <w:iCs/>
          <w:sz w:val="20"/>
          <w:szCs w:val="20"/>
        </w:rPr>
        <w:t xml:space="preserve">Tabla </w:t>
      </w:r>
      <w:r>
        <w:rPr>
          <w:rFonts w:ascii="Arial" w:hAnsi="Arial" w:cs="Arial"/>
          <w:b/>
          <w:bCs/>
          <w:i/>
          <w:iCs/>
          <w:sz w:val="20"/>
          <w:szCs w:val="20"/>
        </w:rPr>
        <w:t>1</w:t>
      </w:r>
      <w:r w:rsidRPr="00913A41">
        <w:rPr>
          <w:rFonts w:ascii="Arial" w:hAnsi="Arial" w:cs="Arial"/>
          <w:b/>
          <w:bCs/>
          <w:i/>
          <w:iCs/>
          <w:sz w:val="20"/>
          <w:szCs w:val="20"/>
        </w:rPr>
        <w:t xml:space="preserve">. </w:t>
      </w:r>
      <w:r>
        <w:rPr>
          <w:rFonts w:ascii="Arial" w:hAnsi="Arial" w:cs="Arial"/>
          <w:b/>
          <w:bCs/>
          <w:i/>
          <w:iCs/>
          <w:sz w:val="20"/>
          <w:szCs w:val="20"/>
        </w:rPr>
        <w:t>Impacto ecológico de ingredientes activos y residuos plásticos de productos (parte 2)</w:t>
      </w:r>
    </w:p>
    <w:p w:rsidR="002146F7" w:rsidRDefault="002146F7" w:rsidP="002146F7">
      <w:pPr>
        <w:rPr>
          <w:rFonts w:ascii="Arial" w:hAnsi="Arial" w:cs="Arial"/>
          <w:sz w:val="24"/>
          <w:szCs w:val="24"/>
        </w:rPr>
      </w:pPr>
    </w:p>
    <w:p w:rsidR="002146F7" w:rsidRPr="00463ADA" w:rsidRDefault="002146F7" w:rsidP="002146F7">
      <w:pPr>
        <w:ind w:firstLine="360"/>
        <w:rPr>
          <w:rFonts w:ascii="Arial" w:hAnsi="Arial" w:cs="Arial"/>
          <w:sz w:val="24"/>
          <w:szCs w:val="24"/>
        </w:rPr>
      </w:pPr>
      <w:r w:rsidRPr="005407B3">
        <w:rPr>
          <w:rFonts w:ascii="Arial" w:hAnsi="Arial" w:cs="Arial"/>
          <w:sz w:val="24"/>
          <w:szCs w:val="24"/>
        </w:rPr>
        <w:t xml:space="preserve">En función de la </w:t>
      </w:r>
      <w:r>
        <w:rPr>
          <w:rFonts w:ascii="Arial" w:hAnsi="Arial" w:cs="Arial"/>
          <w:sz w:val="24"/>
          <w:szCs w:val="24"/>
        </w:rPr>
        <w:t>t</w:t>
      </w:r>
      <w:r w:rsidRPr="005407B3">
        <w:rPr>
          <w:rFonts w:ascii="Arial" w:hAnsi="Arial" w:cs="Arial"/>
          <w:sz w:val="24"/>
          <w:szCs w:val="24"/>
        </w:rPr>
        <w:t xml:space="preserve">abla 1, se observa que los elementos con </w:t>
      </w:r>
      <w:r w:rsidRPr="005407B3">
        <w:rPr>
          <w:rFonts w:ascii="Arial" w:hAnsi="Arial" w:cs="Arial"/>
          <w:b/>
          <w:bCs/>
          <w:sz w:val="24"/>
          <w:szCs w:val="24"/>
        </w:rPr>
        <w:t>riesgo alto</w:t>
      </w:r>
      <w:r w:rsidRPr="005407B3">
        <w:rPr>
          <w:rFonts w:ascii="Arial" w:hAnsi="Arial" w:cs="Arial"/>
          <w:sz w:val="24"/>
          <w:szCs w:val="24"/>
        </w:rPr>
        <w:t xml:space="preserve">, como imidacloprid, </w:t>
      </w:r>
      <w:proofErr w:type="spellStart"/>
      <w:r w:rsidRPr="005407B3">
        <w:rPr>
          <w:rFonts w:ascii="Arial" w:hAnsi="Arial" w:cs="Arial"/>
          <w:sz w:val="24"/>
          <w:szCs w:val="24"/>
        </w:rPr>
        <w:t>abamectina</w:t>
      </w:r>
      <w:proofErr w:type="spellEnd"/>
      <w:r w:rsidRPr="005407B3">
        <w:rPr>
          <w:rFonts w:ascii="Arial" w:hAnsi="Arial" w:cs="Arial"/>
          <w:sz w:val="24"/>
          <w:szCs w:val="24"/>
        </w:rPr>
        <w:t xml:space="preserve">, envases plásticos, tapas, sellos y fragmentos por desgaste, representan una amenaza significativa para el ecosistema debido a su alta persistencia y movilidad, que facilita su acumulación y dispersión en zonas críticas del suelo. Estos compuestos y residuos afectan directamente a microorganismos y artrópodos benéficos, comprometiendo procesos biogeoquímicos esenciales y la estructura física del suelo. </w:t>
      </w:r>
      <w:r w:rsidRPr="00463ADA">
        <w:rPr>
          <w:rFonts w:ascii="Arial" w:hAnsi="Arial" w:cs="Arial"/>
          <w:sz w:val="24"/>
          <w:szCs w:val="24"/>
        </w:rPr>
        <w:t xml:space="preserve">La combinación de estos factores indica que su impacto es </w:t>
      </w:r>
      <w:r w:rsidRPr="005407B3">
        <w:rPr>
          <w:rFonts w:ascii="Arial" w:hAnsi="Arial" w:cs="Arial"/>
          <w:b/>
          <w:bCs/>
          <w:sz w:val="24"/>
          <w:szCs w:val="24"/>
        </w:rPr>
        <w:t>acumulativo</w:t>
      </w:r>
      <w:r w:rsidRPr="00463ADA">
        <w:rPr>
          <w:rFonts w:ascii="Arial" w:hAnsi="Arial" w:cs="Arial"/>
          <w:sz w:val="24"/>
          <w:szCs w:val="24"/>
        </w:rPr>
        <w:t xml:space="preserve"> y </w:t>
      </w:r>
      <w:r w:rsidRPr="005407B3">
        <w:rPr>
          <w:rFonts w:ascii="Arial" w:hAnsi="Arial" w:cs="Arial"/>
          <w:b/>
          <w:bCs/>
          <w:sz w:val="24"/>
          <w:szCs w:val="24"/>
        </w:rPr>
        <w:t>prolongado</w:t>
      </w:r>
      <w:r w:rsidRPr="00463ADA">
        <w:rPr>
          <w:rFonts w:ascii="Arial" w:hAnsi="Arial" w:cs="Arial"/>
          <w:sz w:val="24"/>
          <w:szCs w:val="24"/>
        </w:rPr>
        <w:t xml:space="preserve">, demandando </w:t>
      </w:r>
      <w:r w:rsidRPr="005407B3">
        <w:rPr>
          <w:rFonts w:ascii="Arial" w:hAnsi="Arial" w:cs="Arial"/>
          <w:b/>
          <w:bCs/>
          <w:sz w:val="24"/>
          <w:szCs w:val="24"/>
        </w:rPr>
        <w:t xml:space="preserve">medidas urgentes </w:t>
      </w:r>
      <w:r w:rsidRPr="00463ADA">
        <w:rPr>
          <w:rFonts w:ascii="Arial" w:hAnsi="Arial" w:cs="Arial"/>
          <w:sz w:val="24"/>
          <w:szCs w:val="24"/>
        </w:rPr>
        <w:t xml:space="preserve">y </w:t>
      </w:r>
      <w:r w:rsidRPr="005407B3">
        <w:rPr>
          <w:rFonts w:ascii="Arial" w:hAnsi="Arial" w:cs="Arial"/>
          <w:b/>
          <w:bCs/>
          <w:sz w:val="24"/>
          <w:szCs w:val="24"/>
        </w:rPr>
        <w:t>específicas</w:t>
      </w:r>
      <w:r w:rsidRPr="00463ADA">
        <w:rPr>
          <w:rFonts w:ascii="Arial" w:hAnsi="Arial" w:cs="Arial"/>
          <w:sz w:val="24"/>
          <w:szCs w:val="24"/>
        </w:rPr>
        <w:t xml:space="preserve"> para evitar daños irreversibles en el agroecosistema.</w:t>
      </w:r>
    </w:p>
    <w:p w:rsidR="002146F7" w:rsidRDefault="002146F7" w:rsidP="002146F7">
      <w:pPr>
        <w:ind w:firstLine="360"/>
        <w:rPr>
          <w:rFonts w:ascii="Arial" w:hAnsi="Arial" w:cs="Arial"/>
          <w:sz w:val="24"/>
          <w:szCs w:val="24"/>
        </w:rPr>
      </w:pPr>
      <w:r w:rsidRPr="00463ADA">
        <w:rPr>
          <w:rFonts w:ascii="Arial" w:hAnsi="Arial" w:cs="Arial"/>
          <w:sz w:val="24"/>
          <w:szCs w:val="24"/>
        </w:rPr>
        <w:lastRenderedPageBreak/>
        <w:t xml:space="preserve">Por el contrario, los elementos con un nivel de </w:t>
      </w:r>
      <w:r w:rsidRPr="005407B3">
        <w:rPr>
          <w:rFonts w:ascii="Arial" w:hAnsi="Arial" w:cs="Arial"/>
          <w:b/>
          <w:bCs/>
          <w:sz w:val="24"/>
          <w:szCs w:val="24"/>
        </w:rPr>
        <w:t>riesgo medio</w:t>
      </w:r>
      <w:r w:rsidRPr="00463ADA">
        <w:rPr>
          <w:rFonts w:ascii="Arial" w:hAnsi="Arial" w:cs="Arial"/>
          <w:sz w:val="24"/>
          <w:szCs w:val="24"/>
        </w:rPr>
        <w:t xml:space="preserve">, como </w:t>
      </w:r>
      <w:proofErr w:type="spellStart"/>
      <w:r w:rsidRPr="00463ADA">
        <w:rPr>
          <w:rFonts w:ascii="Arial" w:hAnsi="Arial" w:cs="Arial"/>
          <w:sz w:val="24"/>
          <w:szCs w:val="24"/>
        </w:rPr>
        <w:t>spirotetramat</w:t>
      </w:r>
      <w:proofErr w:type="spellEnd"/>
      <w:r w:rsidRPr="00463ADA">
        <w:rPr>
          <w:rFonts w:ascii="Arial" w:hAnsi="Arial" w:cs="Arial"/>
          <w:sz w:val="24"/>
          <w:szCs w:val="24"/>
        </w:rPr>
        <w:t xml:space="preserve">, </w:t>
      </w:r>
      <w:proofErr w:type="spellStart"/>
      <w:r w:rsidRPr="00463ADA">
        <w:rPr>
          <w:rFonts w:ascii="Arial" w:hAnsi="Arial" w:cs="Arial"/>
          <w:sz w:val="24"/>
          <w:szCs w:val="24"/>
        </w:rPr>
        <w:t>tebuconazole</w:t>
      </w:r>
      <w:proofErr w:type="spellEnd"/>
      <w:r w:rsidRPr="00463ADA">
        <w:rPr>
          <w:rFonts w:ascii="Arial" w:hAnsi="Arial" w:cs="Arial"/>
          <w:sz w:val="24"/>
          <w:szCs w:val="24"/>
        </w:rPr>
        <w:t xml:space="preserve">, </w:t>
      </w:r>
      <w:proofErr w:type="spellStart"/>
      <w:r w:rsidRPr="00463ADA">
        <w:rPr>
          <w:rFonts w:ascii="Arial" w:hAnsi="Arial" w:cs="Arial"/>
          <w:sz w:val="24"/>
          <w:szCs w:val="24"/>
        </w:rPr>
        <w:t>metalaxil</w:t>
      </w:r>
      <w:proofErr w:type="spellEnd"/>
      <w:r w:rsidRPr="00463ADA">
        <w:rPr>
          <w:rFonts w:ascii="Arial" w:hAnsi="Arial" w:cs="Arial"/>
          <w:sz w:val="24"/>
          <w:szCs w:val="24"/>
        </w:rPr>
        <w:t xml:space="preserve">, etiquetas y restos adheridos, aunque presentan menor persistencia y movilidad, no deben ser subestimados. Su capacidad para interferir en la mineralización de nutrientes y afectar microorganismos benéficos puede generar </w:t>
      </w:r>
      <w:r w:rsidRPr="005407B3">
        <w:rPr>
          <w:rFonts w:ascii="Arial" w:hAnsi="Arial" w:cs="Arial"/>
          <w:b/>
          <w:bCs/>
          <w:sz w:val="24"/>
          <w:szCs w:val="24"/>
        </w:rPr>
        <w:t>impactos graduales</w:t>
      </w:r>
      <w:r w:rsidRPr="00463ADA">
        <w:rPr>
          <w:rFonts w:ascii="Arial" w:hAnsi="Arial" w:cs="Arial"/>
          <w:sz w:val="24"/>
          <w:szCs w:val="24"/>
        </w:rPr>
        <w:t xml:space="preserve"> que, si no se regulan, </w:t>
      </w:r>
      <w:r w:rsidRPr="005407B3">
        <w:rPr>
          <w:rFonts w:ascii="Arial" w:hAnsi="Arial" w:cs="Arial"/>
          <w:sz w:val="24"/>
          <w:szCs w:val="24"/>
        </w:rPr>
        <w:t>podrían escalar con el tiempo</w:t>
      </w:r>
      <w:r w:rsidRPr="00463ADA">
        <w:rPr>
          <w:rFonts w:ascii="Arial" w:hAnsi="Arial" w:cs="Arial"/>
          <w:sz w:val="24"/>
          <w:szCs w:val="24"/>
        </w:rPr>
        <w:t xml:space="preserve">. Estos elementos requieren </w:t>
      </w:r>
      <w:r w:rsidRPr="005407B3">
        <w:rPr>
          <w:rFonts w:ascii="Arial" w:hAnsi="Arial" w:cs="Arial"/>
          <w:b/>
          <w:bCs/>
          <w:sz w:val="24"/>
          <w:szCs w:val="24"/>
        </w:rPr>
        <w:t>acciones continuas de monitoreo y manejo adecuado</w:t>
      </w:r>
      <w:r w:rsidRPr="00463ADA">
        <w:rPr>
          <w:rFonts w:ascii="Arial" w:hAnsi="Arial" w:cs="Arial"/>
          <w:sz w:val="24"/>
          <w:szCs w:val="24"/>
        </w:rPr>
        <w:t xml:space="preserve"> para evitar que su impacto, inicialmente moderado, evolucione hacia niveles críticos que comprometan la salud del suelo y la sostenibilidad del cultivo.</w:t>
      </w:r>
    </w:p>
    <w:p w:rsidR="002146F7" w:rsidRDefault="002146F7" w:rsidP="002146F7">
      <w:pPr>
        <w:ind w:firstLine="360"/>
        <w:rPr>
          <w:rFonts w:ascii="Arial" w:hAnsi="Arial" w:cs="Arial"/>
          <w:sz w:val="24"/>
          <w:szCs w:val="24"/>
        </w:rPr>
      </w:pPr>
      <w:r>
        <w:rPr>
          <w:rFonts w:ascii="Arial" w:hAnsi="Arial" w:cs="Arial"/>
          <w:sz w:val="24"/>
          <w:szCs w:val="24"/>
        </w:rPr>
        <w:t xml:space="preserve">A nivel general, el </w:t>
      </w:r>
      <w:r w:rsidRPr="00FB6217">
        <w:rPr>
          <w:rFonts w:ascii="Arial" w:hAnsi="Arial" w:cs="Arial"/>
          <w:sz w:val="24"/>
          <w:szCs w:val="24"/>
        </w:rPr>
        <w:t xml:space="preserve">análisis confirma que </w:t>
      </w:r>
      <w:r w:rsidRPr="00811F09">
        <w:rPr>
          <w:rFonts w:ascii="Arial" w:hAnsi="Arial" w:cs="Arial"/>
          <w:b/>
          <w:bCs/>
          <w:sz w:val="24"/>
          <w:szCs w:val="24"/>
        </w:rPr>
        <w:t>todos los ingredientes activos y residuos plásticos</w:t>
      </w:r>
      <w:r w:rsidRPr="00FB6217">
        <w:rPr>
          <w:rFonts w:ascii="Arial" w:hAnsi="Arial" w:cs="Arial"/>
          <w:sz w:val="24"/>
          <w:szCs w:val="24"/>
        </w:rPr>
        <w:t xml:space="preserve"> empleados en el control de plagas y enfermedades </w:t>
      </w:r>
      <w:r w:rsidRPr="00811F09">
        <w:rPr>
          <w:rFonts w:ascii="Arial" w:hAnsi="Arial" w:cs="Arial"/>
          <w:b/>
          <w:bCs/>
          <w:sz w:val="24"/>
          <w:szCs w:val="24"/>
        </w:rPr>
        <w:t>ejercen algún nivel de impacto sobre la naturaleza</w:t>
      </w:r>
      <w:r w:rsidRPr="00FB6217">
        <w:rPr>
          <w:rFonts w:ascii="Arial" w:hAnsi="Arial" w:cs="Arial"/>
          <w:sz w:val="24"/>
          <w:szCs w:val="24"/>
        </w:rPr>
        <w:t xml:space="preserve">, ya sea de manera inmediata o acumulativa. Esta constatación subraya la necesidad de </w:t>
      </w:r>
      <w:r w:rsidRPr="00811F09">
        <w:rPr>
          <w:rFonts w:ascii="Arial" w:hAnsi="Arial" w:cs="Arial"/>
          <w:b/>
          <w:bCs/>
          <w:sz w:val="24"/>
          <w:szCs w:val="24"/>
        </w:rPr>
        <w:t>definir acciones claras y definitivas</w:t>
      </w:r>
      <w:r>
        <w:rPr>
          <w:rFonts w:ascii="Arial" w:hAnsi="Arial" w:cs="Arial"/>
          <w:sz w:val="24"/>
          <w:szCs w:val="24"/>
        </w:rPr>
        <w:t xml:space="preserve"> </w:t>
      </w:r>
      <w:r w:rsidRPr="00FB6217">
        <w:rPr>
          <w:rFonts w:ascii="Arial" w:hAnsi="Arial" w:cs="Arial"/>
          <w:sz w:val="24"/>
          <w:szCs w:val="24"/>
        </w:rPr>
        <w:t xml:space="preserve">que regulen </w:t>
      </w:r>
      <w:r>
        <w:rPr>
          <w:rFonts w:ascii="Arial" w:hAnsi="Arial" w:cs="Arial"/>
          <w:sz w:val="24"/>
          <w:szCs w:val="24"/>
        </w:rPr>
        <w:t xml:space="preserve">el manejo apropiado </w:t>
      </w:r>
      <w:r w:rsidRPr="00811F09">
        <w:rPr>
          <w:rFonts w:ascii="Arial" w:hAnsi="Arial" w:cs="Arial"/>
          <w:sz w:val="24"/>
          <w:szCs w:val="24"/>
        </w:rPr>
        <w:t xml:space="preserve">de todos los elementos evaluados, logrando con ello minimizar riesgos y preservar la sostenibilidad del agro sistema. </w:t>
      </w:r>
    </w:p>
    <w:p w:rsidR="00615207" w:rsidRPr="00080B9F" w:rsidRDefault="00615207" w:rsidP="002146F7">
      <w:pPr>
        <w:spacing w:before="240"/>
      </w:pPr>
    </w:p>
    <w:sectPr w:rsidR="00615207" w:rsidRPr="00080B9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B2B88"/>
    <w:multiLevelType w:val="hybridMultilevel"/>
    <w:tmpl w:val="76E6EC2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 w15:restartNumberingAfterBreak="0">
    <w:nsid w:val="053D25AE"/>
    <w:multiLevelType w:val="hybridMultilevel"/>
    <w:tmpl w:val="AF9699AA"/>
    <w:lvl w:ilvl="0" w:tplc="603898C2">
      <w:start w:val="3"/>
      <w:numFmt w:val="upperRoman"/>
      <w:lvlText w:val="%1."/>
      <w:lvlJc w:val="right"/>
      <w:pPr>
        <w:ind w:left="4046" w:hanging="360"/>
      </w:pPr>
    </w:lvl>
    <w:lvl w:ilvl="1" w:tplc="FFFFFFFF">
      <w:start w:val="1"/>
      <w:numFmt w:val="lowerLetter"/>
      <w:lvlText w:val="%2."/>
      <w:lvlJc w:val="left"/>
      <w:pPr>
        <w:ind w:left="4766" w:hanging="360"/>
      </w:pPr>
    </w:lvl>
    <w:lvl w:ilvl="2" w:tplc="FFFFFFFF">
      <w:start w:val="1"/>
      <w:numFmt w:val="lowerRoman"/>
      <w:lvlText w:val="%3."/>
      <w:lvlJc w:val="right"/>
      <w:pPr>
        <w:ind w:left="5486" w:hanging="180"/>
      </w:pPr>
    </w:lvl>
    <w:lvl w:ilvl="3" w:tplc="FFFFFFFF">
      <w:start w:val="1"/>
      <w:numFmt w:val="decimal"/>
      <w:lvlText w:val="%4."/>
      <w:lvlJc w:val="left"/>
      <w:pPr>
        <w:ind w:left="6206" w:hanging="360"/>
      </w:pPr>
    </w:lvl>
    <w:lvl w:ilvl="4" w:tplc="FFFFFFFF">
      <w:start w:val="1"/>
      <w:numFmt w:val="lowerLetter"/>
      <w:lvlText w:val="%5."/>
      <w:lvlJc w:val="left"/>
      <w:pPr>
        <w:ind w:left="6926" w:hanging="360"/>
      </w:pPr>
    </w:lvl>
    <w:lvl w:ilvl="5" w:tplc="FFFFFFFF">
      <w:start w:val="1"/>
      <w:numFmt w:val="lowerRoman"/>
      <w:lvlText w:val="%6."/>
      <w:lvlJc w:val="right"/>
      <w:pPr>
        <w:ind w:left="7646" w:hanging="180"/>
      </w:pPr>
    </w:lvl>
    <w:lvl w:ilvl="6" w:tplc="FFFFFFFF">
      <w:start w:val="1"/>
      <w:numFmt w:val="decimal"/>
      <w:lvlText w:val="%7."/>
      <w:lvlJc w:val="left"/>
      <w:pPr>
        <w:ind w:left="8366" w:hanging="360"/>
      </w:pPr>
    </w:lvl>
    <w:lvl w:ilvl="7" w:tplc="FFFFFFFF">
      <w:start w:val="1"/>
      <w:numFmt w:val="lowerLetter"/>
      <w:lvlText w:val="%8."/>
      <w:lvlJc w:val="left"/>
      <w:pPr>
        <w:ind w:left="9086" w:hanging="360"/>
      </w:pPr>
    </w:lvl>
    <w:lvl w:ilvl="8" w:tplc="FFFFFFFF">
      <w:start w:val="1"/>
      <w:numFmt w:val="lowerRoman"/>
      <w:lvlText w:val="%9."/>
      <w:lvlJc w:val="right"/>
      <w:pPr>
        <w:ind w:left="9806" w:hanging="180"/>
      </w:pPr>
    </w:lvl>
  </w:abstractNum>
  <w:abstractNum w:abstractNumId="2" w15:restartNumberingAfterBreak="0">
    <w:nsid w:val="08554E85"/>
    <w:multiLevelType w:val="hybridMultilevel"/>
    <w:tmpl w:val="230E240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C2D5A7B"/>
    <w:multiLevelType w:val="hybridMultilevel"/>
    <w:tmpl w:val="D7462B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19077E9"/>
    <w:multiLevelType w:val="hybridMultilevel"/>
    <w:tmpl w:val="DF069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4E0C30"/>
    <w:multiLevelType w:val="hybridMultilevel"/>
    <w:tmpl w:val="9B3245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8C32088"/>
    <w:multiLevelType w:val="hybridMultilevel"/>
    <w:tmpl w:val="597077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9B907AE"/>
    <w:multiLevelType w:val="hybridMultilevel"/>
    <w:tmpl w:val="981C07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30DF10F5"/>
    <w:multiLevelType w:val="hybridMultilevel"/>
    <w:tmpl w:val="8ED2A0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5271BAD"/>
    <w:multiLevelType w:val="hybridMultilevel"/>
    <w:tmpl w:val="E1787C8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0" w15:restartNumberingAfterBreak="0">
    <w:nsid w:val="455919CA"/>
    <w:multiLevelType w:val="hybridMultilevel"/>
    <w:tmpl w:val="33FEF1B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1" w15:restartNumberingAfterBreak="0">
    <w:nsid w:val="533B55FB"/>
    <w:multiLevelType w:val="hybridMultilevel"/>
    <w:tmpl w:val="989E812E"/>
    <w:lvl w:ilvl="0" w:tplc="08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533C6A93"/>
    <w:multiLevelType w:val="hybridMultilevel"/>
    <w:tmpl w:val="437E937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5CB02086"/>
    <w:multiLevelType w:val="hybridMultilevel"/>
    <w:tmpl w:val="E488D4E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4" w15:restartNumberingAfterBreak="0">
    <w:nsid w:val="6D231A76"/>
    <w:multiLevelType w:val="hybridMultilevel"/>
    <w:tmpl w:val="8FDA4804"/>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5" w15:restartNumberingAfterBreak="0">
    <w:nsid w:val="7824613C"/>
    <w:multiLevelType w:val="hybridMultilevel"/>
    <w:tmpl w:val="91642E48"/>
    <w:lvl w:ilvl="0" w:tplc="E19843CE">
      <w:start w:val="1"/>
      <w:numFmt w:val="upp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4"/>
  </w:num>
  <w:num w:numId="2">
    <w:abstractNumId w:val="0"/>
  </w:num>
  <w:num w:numId="3">
    <w:abstractNumId w:val="10"/>
  </w:num>
  <w:num w:numId="4">
    <w:abstractNumId w:val="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num>
  <w:num w:numId="6">
    <w:abstractNumId w:val="14"/>
  </w:num>
  <w:num w:numId="7">
    <w:abstractNumId w:val="13"/>
  </w:num>
  <w:num w:numId="8">
    <w:abstractNumId w:val="12"/>
  </w:num>
  <w:num w:numId="9">
    <w:abstractNumId w:val="15"/>
  </w:num>
  <w:num w:numId="10">
    <w:abstractNumId w:val="2"/>
  </w:num>
  <w:num w:numId="11">
    <w:abstractNumId w:val="11"/>
  </w:num>
  <w:num w:numId="12">
    <w:abstractNumId w:val="3"/>
  </w:num>
  <w:num w:numId="13">
    <w:abstractNumId w:val="6"/>
  </w:num>
  <w:num w:numId="14">
    <w:abstractNumId w:val="7"/>
  </w:num>
  <w:num w:numId="15">
    <w:abstractNumId w:val="5"/>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DBD"/>
    <w:rsid w:val="00037B04"/>
    <w:rsid w:val="00080B9F"/>
    <w:rsid w:val="0015512A"/>
    <w:rsid w:val="001D304F"/>
    <w:rsid w:val="002146F7"/>
    <w:rsid w:val="00440794"/>
    <w:rsid w:val="00470DAA"/>
    <w:rsid w:val="00522DBD"/>
    <w:rsid w:val="005F232A"/>
    <w:rsid w:val="00615207"/>
    <w:rsid w:val="00681C81"/>
    <w:rsid w:val="00750F6B"/>
    <w:rsid w:val="007B62CE"/>
    <w:rsid w:val="007E5C6D"/>
    <w:rsid w:val="00A02981"/>
    <w:rsid w:val="00A71635"/>
    <w:rsid w:val="00B6281B"/>
    <w:rsid w:val="00C15789"/>
    <w:rsid w:val="00CC13CC"/>
    <w:rsid w:val="00D8041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04BDB"/>
  <w15:chartTrackingRefBased/>
  <w15:docId w15:val="{AEC2125D-8062-4F2F-92C9-4EFF49A4F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22DBD"/>
    <w:pPr>
      <w:spacing w:after="0" w:line="360" w:lineRule="auto"/>
      <w:jc w:val="both"/>
    </w:pPr>
  </w:style>
  <w:style w:type="paragraph" w:styleId="Ttulo1">
    <w:name w:val="heading 1"/>
    <w:basedOn w:val="Normal"/>
    <w:next w:val="Normal"/>
    <w:link w:val="Ttulo1Car"/>
    <w:uiPriority w:val="9"/>
    <w:qFormat/>
    <w:rsid w:val="00522DBD"/>
    <w:pPr>
      <w:keepNext/>
      <w:keepLines/>
      <w:spacing w:before="240" w:line="240" w:lineRule="auto"/>
      <w:jc w:val="center"/>
      <w:outlineLvl w:val="0"/>
    </w:pPr>
    <w:rPr>
      <w:rFonts w:ascii="Aptos Display" w:eastAsiaTheme="majorEastAsia" w:hAnsi="Aptos Display" w:cstheme="majorBidi"/>
      <w:b/>
      <w:bCs/>
      <w:sz w:val="36"/>
      <w:szCs w:val="36"/>
    </w:rPr>
  </w:style>
  <w:style w:type="paragraph" w:styleId="Ttulo2">
    <w:name w:val="heading 2"/>
    <w:basedOn w:val="Normal"/>
    <w:next w:val="Normal"/>
    <w:link w:val="Ttulo2Car"/>
    <w:uiPriority w:val="9"/>
    <w:semiHidden/>
    <w:unhideWhenUsed/>
    <w:qFormat/>
    <w:rsid w:val="007E5C6D"/>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22DBD"/>
    <w:rPr>
      <w:rFonts w:ascii="Aptos Display" w:eastAsiaTheme="majorEastAsia" w:hAnsi="Aptos Display" w:cstheme="majorBidi"/>
      <w:b/>
      <w:bCs/>
      <w:sz w:val="36"/>
      <w:szCs w:val="36"/>
    </w:rPr>
  </w:style>
  <w:style w:type="paragraph" w:styleId="Prrafodelista">
    <w:name w:val="List Paragraph"/>
    <w:basedOn w:val="Normal"/>
    <w:uiPriority w:val="34"/>
    <w:qFormat/>
    <w:rsid w:val="001D304F"/>
    <w:pPr>
      <w:spacing w:line="240" w:lineRule="auto"/>
      <w:ind w:left="720"/>
      <w:contextualSpacing/>
      <w:jc w:val="left"/>
    </w:pPr>
    <w:rPr>
      <w:rFonts w:eastAsiaTheme="minorEastAsia"/>
      <w:kern w:val="0"/>
      <w:sz w:val="24"/>
      <w:szCs w:val="24"/>
      <w:lang w:val="es-ES_tradnl" w:eastAsia="es-ES"/>
      <w14:ligatures w14:val="none"/>
    </w:rPr>
  </w:style>
  <w:style w:type="paragraph" w:customStyle="1" w:styleId="Default">
    <w:name w:val="Default"/>
    <w:rsid w:val="00A02981"/>
    <w:pPr>
      <w:autoSpaceDE w:val="0"/>
      <w:autoSpaceDN w:val="0"/>
      <w:adjustRightInd w:val="0"/>
      <w:spacing w:after="0" w:line="240" w:lineRule="auto"/>
    </w:pPr>
    <w:rPr>
      <w:rFonts w:ascii="Arial" w:hAnsi="Arial" w:cs="Arial"/>
      <w:color w:val="000000"/>
      <w:kern w:val="0"/>
      <w:sz w:val="24"/>
      <w:szCs w:val="24"/>
    </w:rPr>
  </w:style>
  <w:style w:type="table" w:styleId="Tabladecuadrcula4">
    <w:name w:val="Grid Table 4"/>
    <w:basedOn w:val="Tablanormal"/>
    <w:uiPriority w:val="49"/>
    <w:rsid w:val="00080B9F"/>
    <w:pPr>
      <w:spacing w:after="0" w:line="240" w:lineRule="auto"/>
      <w:jc w:val="both"/>
    </w:pPr>
    <w:tblPr>
      <w:tblStyleRowBandSize w:val="1"/>
      <w:tblStyleColBandSize w:val="1"/>
      <w:tblInd w:w="0" w:type="nil"/>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Ttulo2Car">
    <w:name w:val="Título 2 Car"/>
    <w:basedOn w:val="Fuentedeprrafopredeter"/>
    <w:link w:val="Ttulo2"/>
    <w:uiPriority w:val="9"/>
    <w:semiHidden/>
    <w:rsid w:val="007E5C6D"/>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362812">
      <w:bodyDiv w:val="1"/>
      <w:marLeft w:val="0"/>
      <w:marRight w:val="0"/>
      <w:marTop w:val="0"/>
      <w:marBottom w:val="0"/>
      <w:divBdr>
        <w:top w:val="none" w:sz="0" w:space="0" w:color="auto"/>
        <w:left w:val="none" w:sz="0" w:space="0" w:color="auto"/>
        <w:bottom w:val="none" w:sz="0" w:space="0" w:color="auto"/>
        <w:right w:val="none" w:sz="0" w:space="0" w:color="auto"/>
      </w:divBdr>
    </w:div>
    <w:div w:id="2050642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1167</Words>
  <Characters>6419</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INNOVA - PC</dc:creator>
  <cp:keywords/>
  <dc:description/>
  <cp:lastModifiedBy>INNOVA - PC</cp:lastModifiedBy>
  <cp:revision>2</cp:revision>
  <dcterms:created xsi:type="dcterms:W3CDTF">2026-05-14T16:26:00Z</dcterms:created>
  <dcterms:modified xsi:type="dcterms:W3CDTF">2026-05-14T16:26:00Z</dcterms:modified>
</cp:coreProperties>
</file>