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536DC" w14:textId="77777777" w:rsidR="00556F04" w:rsidRDefault="00556F04">
      <w:pPr>
        <w:spacing w:line="480" w:lineRule="auto"/>
        <w:ind w:firstLine="720"/>
        <w:jc w:val="center"/>
        <w:rPr>
          <w:rFonts w:ascii="Times New Roman" w:eastAsia="Times New Roman" w:hAnsi="Times New Roman" w:cs="Times New Roman"/>
          <w:sz w:val="24"/>
          <w:szCs w:val="24"/>
        </w:rPr>
      </w:pPr>
    </w:p>
    <w:p w14:paraId="104536DD" w14:textId="77777777" w:rsidR="00556F04" w:rsidRDefault="00556F04">
      <w:pPr>
        <w:spacing w:line="480" w:lineRule="auto"/>
        <w:ind w:firstLine="720"/>
        <w:jc w:val="center"/>
        <w:rPr>
          <w:rFonts w:ascii="Times New Roman" w:eastAsia="Times New Roman" w:hAnsi="Times New Roman" w:cs="Times New Roman"/>
          <w:sz w:val="24"/>
          <w:szCs w:val="24"/>
        </w:rPr>
      </w:pPr>
    </w:p>
    <w:p w14:paraId="104536DE" w14:textId="77777777" w:rsidR="00556F04" w:rsidRDefault="00556F04">
      <w:pPr>
        <w:spacing w:line="480" w:lineRule="auto"/>
        <w:ind w:firstLine="720"/>
        <w:jc w:val="center"/>
        <w:rPr>
          <w:rFonts w:ascii="Times New Roman" w:eastAsia="Times New Roman" w:hAnsi="Times New Roman" w:cs="Times New Roman"/>
          <w:sz w:val="24"/>
          <w:szCs w:val="24"/>
        </w:rPr>
      </w:pPr>
    </w:p>
    <w:p w14:paraId="104536E2" w14:textId="77777777" w:rsidR="00556F04" w:rsidRDefault="00556F04">
      <w:pPr>
        <w:spacing w:line="480" w:lineRule="auto"/>
        <w:rPr>
          <w:rFonts w:ascii="Times New Roman" w:eastAsia="Times New Roman" w:hAnsi="Times New Roman" w:cs="Times New Roman"/>
          <w:sz w:val="24"/>
          <w:szCs w:val="24"/>
        </w:rPr>
      </w:pPr>
    </w:p>
    <w:p w14:paraId="45D1A2B0" w14:textId="77777777" w:rsidR="008E0AFC" w:rsidRDefault="008E0AFC">
      <w:pPr>
        <w:spacing w:line="480" w:lineRule="auto"/>
        <w:rPr>
          <w:rFonts w:ascii="Times New Roman" w:eastAsia="Times New Roman" w:hAnsi="Times New Roman" w:cs="Times New Roman"/>
          <w:sz w:val="24"/>
          <w:szCs w:val="24"/>
        </w:rPr>
      </w:pPr>
    </w:p>
    <w:p w14:paraId="3CF0638A" w14:textId="77777777" w:rsidR="008E0AFC" w:rsidRDefault="008E0AFC">
      <w:pPr>
        <w:spacing w:line="480" w:lineRule="auto"/>
        <w:rPr>
          <w:rFonts w:ascii="Times New Roman" w:eastAsia="Times New Roman" w:hAnsi="Times New Roman" w:cs="Times New Roman"/>
          <w:sz w:val="24"/>
          <w:szCs w:val="24"/>
        </w:rPr>
      </w:pPr>
    </w:p>
    <w:p w14:paraId="104536E3" w14:textId="77777777" w:rsidR="00556F04" w:rsidRDefault="00556F04">
      <w:pPr>
        <w:spacing w:line="480" w:lineRule="auto"/>
        <w:ind w:firstLine="720"/>
        <w:jc w:val="center"/>
        <w:rPr>
          <w:rFonts w:ascii="Times New Roman" w:eastAsia="Times New Roman" w:hAnsi="Times New Roman" w:cs="Times New Roman"/>
          <w:sz w:val="24"/>
          <w:szCs w:val="24"/>
        </w:rPr>
      </w:pPr>
    </w:p>
    <w:p w14:paraId="104536E4" w14:textId="17A9B0DD" w:rsidR="00556F04" w:rsidRPr="00A70259" w:rsidRDefault="00000000" w:rsidP="004D5557">
      <w:pPr>
        <w:pStyle w:val="Title"/>
        <w:jc w:val="center"/>
        <w:rPr>
          <w:rFonts w:asciiTheme="majorHAnsi" w:hAnsiTheme="majorHAnsi" w:cstheme="majorHAnsi"/>
          <w:sz w:val="56"/>
          <w:szCs w:val="56"/>
        </w:rPr>
      </w:pPr>
      <w:r w:rsidRPr="00A70259">
        <w:rPr>
          <w:rFonts w:asciiTheme="majorHAnsi" w:hAnsiTheme="majorHAnsi" w:cstheme="majorHAnsi"/>
          <w:sz w:val="56"/>
          <w:szCs w:val="56"/>
        </w:rPr>
        <w:t xml:space="preserve">Time-Series Relationship Between Interest Rates </w:t>
      </w:r>
      <w:r w:rsidR="00180EC9" w:rsidRPr="00A70259">
        <w:rPr>
          <w:rFonts w:asciiTheme="majorHAnsi" w:hAnsiTheme="majorHAnsi" w:cstheme="majorHAnsi"/>
          <w:sz w:val="56"/>
          <w:szCs w:val="56"/>
        </w:rPr>
        <w:t>and</w:t>
      </w:r>
      <w:r w:rsidRPr="00A70259">
        <w:rPr>
          <w:rFonts w:asciiTheme="majorHAnsi" w:hAnsiTheme="majorHAnsi" w:cstheme="majorHAnsi"/>
          <w:sz w:val="56"/>
          <w:szCs w:val="56"/>
        </w:rPr>
        <w:t xml:space="preserve"> Equity Returns</w:t>
      </w:r>
    </w:p>
    <w:p w14:paraId="05142557" w14:textId="77777777" w:rsidR="004D5557" w:rsidRDefault="004D5557" w:rsidP="004D5557">
      <w:pPr>
        <w:rPr>
          <w:rFonts w:asciiTheme="majorHAnsi" w:hAnsiTheme="majorHAnsi" w:cstheme="majorHAnsi"/>
        </w:rPr>
      </w:pPr>
    </w:p>
    <w:p w14:paraId="7F5477B8" w14:textId="77777777" w:rsidR="00A70259" w:rsidRDefault="00A70259" w:rsidP="004D5557">
      <w:pPr>
        <w:rPr>
          <w:rFonts w:asciiTheme="majorHAnsi" w:hAnsiTheme="majorHAnsi" w:cstheme="majorHAnsi"/>
        </w:rPr>
      </w:pPr>
    </w:p>
    <w:p w14:paraId="1CD313CC" w14:textId="77777777" w:rsidR="00A70259" w:rsidRPr="00A70259" w:rsidRDefault="00A70259" w:rsidP="004D5557">
      <w:pPr>
        <w:rPr>
          <w:rFonts w:asciiTheme="majorHAnsi" w:hAnsiTheme="majorHAnsi" w:cstheme="majorHAnsi"/>
        </w:rPr>
      </w:pPr>
    </w:p>
    <w:p w14:paraId="104536E5" w14:textId="77777777" w:rsidR="00556F04" w:rsidRPr="00A70259" w:rsidRDefault="00000000" w:rsidP="004D5557">
      <w:pPr>
        <w:pStyle w:val="Title"/>
        <w:jc w:val="center"/>
        <w:rPr>
          <w:rFonts w:asciiTheme="majorHAnsi" w:hAnsiTheme="majorHAnsi" w:cstheme="majorHAnsi"/>
          <w:sz w:val="40"/>
          <w:szCs w:val="40"/>
        </w:rPr>
      </w:pPr>
      <w:r w:rsidRPr="00A70259">
        <w:rPr>
          <w:rFonts w:asciiTheme="majorHAnsi" w:hAnsiTheme="majorHAnsi" w:cstheme="majorHAnsi"/>
          <w:sz w:val="40"/>
          <w:szCs w:val="40"/>
        </w:rPr>
        <w:t>Johns Hopkins University</w:t>
      </w:r>
    </w:p>
    <w:p w14:paraId="3DE71E4D" w14:textId="77777777" w:rsidR="004D5557" w:rsidRPr="00A70259" w:rsidRDefault="004D5557" w:rsidP="004D5557">
      <w:pPr>
        <w:rPr>
          <w:rFonts w:asciiTheme="majorHAnsi" w:hAnsiTheme="majorHAnsi" w:cstheme="majorHAnsi"/>
        </w:rPr>
      </w:pPr>
    </w:p>
    <w:p w14:paraId="104536E6" w14:textId="77777777" w:rsidR="00556F04" w:rsidRPr="00A70259" w:rsidRDefault="00000000" w:rsidP="004D5557">
      <w:pPr>
        <w:pStyle w:val="Title"/>
        <w:jc w:val="center"/>
        <w:rPr>
          <w:rFonts w:asciiTheme="majorHAnsi" w:hAnsiTheme="majorHAnsi" w:cstheme="majorHAnsi"/>
          <w:sz w:val="40"/>
          <w:szCs w:val="40"/>
        </w:rPr>
      </w:pPr>
      <w:r w:rsidRPr="00A70259">
        <w:rPr>
          <w:rFonts w:asciiTheme="majorHAnsi" w:hAnsiTheme="majorHAnsi" w:cstheme="majorHAnsi"/>
          <w:sz w:val="40"/>
          <w:szCs w:val="40"/>
        </w:rPr>
        <w:t>Financial Econometrics [Time-Series Analysis]</w:t>
      </w:r>
    </w:p>
    <w:p w14:paraId="2CA4A146" w14:textId="77777777" w:rsidR="004D5557" w:rsidRPr="00A70259" w:rsidRDefault="004D5557" w:rsidP="004D5557">
      <w:pPr>
        <w:rPr>
          <w:rFonts w:asciiTheme="majorHAnsi" w:hAnsiTheme="majorHAnsi" w:cstheme="majorHAnsi"/>
        </w:rPr>
      </w:pPr>
    </w:p>
    <w:p w14:paraId="1F47FC00" w14:textId="77777777" w:rsidR="004D5557" w:rsidRPr="00A70259" w:rsidRDefault="004D5557" w:rsidP="004D5557">
      <w:pPr>
        <w:rPr>
          <w:rFonts w:asciiTheme="majorHAnsi" w:hAnsiTheme="majorHAnsi" w:cstheme="majorHAnsi"/>
        </w:rPr>
      </w:pPr>
    </w:p>
    <w:p w14:paraId="104536E7" w14:textId="77777777" w:rsidR="00556F04" w:rsidRPr="00A70259" w:rsidRDefault="00000000" w:rsidP="004D5557">
      <w:pPr>
        <w:pStyle w:val="Title"/>
        <w:jc w:val="center"/>
        <w:rPr>
          <w:rFonts w:asciiTheme="majorHAnsi" w:hAnsiTheme="majorHAnsi" w:cstheme="majorHAnsi"/>
          <w:sz w:val="40"/>
          <w:szCs w:val="40"/>
        </w:rPr>
      </w:pPr>
      <w:r w:rsidRPr="00A70259">
        <w:rPr>
          <w:rFonts w:asciiTheme="majorHAnsi" w:hAnsiTheme="majorHAnsi" w:cstheme="majorHAnsi"/>
          <w:sz w:val="40"/>
          <w:szCs w:val="40"/>
        </w:rPr>
        <w:t>Zhihao Zhang, David Mo, Chi Tang</w:t>
      </w:r>
    </w:p>
    <w:p w14:paraId="104536E8" w14:textId="77777777" w:rsidR="00556F04" w:rsidRPr="00A70259" w:rsidRDefault="00556F04">
      <w:pPr>
        <w:spacing w:line="480" w:lineRule="auto"/>
        <w:ind w:firstLine="720"/>
        <w:jc w:val="center"/>
        <w:rPr>
          <w:rFonts w:asciiTheme="majorHAnsi" w:eastAsia="Times New Roman" w:hAnsiTheme="majorHAnsi" w:cstheme="majorHAnsi"/>
          <w:sz w:val="24"/>
          <w:szCs w:val="24"/>
        </w:rPr>
      </w:pPr>
    </w:p>
    <w:p w14:paraId="104536E9" w14:textId="77777777" w:rsidR="00556F04" w:rsidRPr="00A70259" w:rsidRDefault="00556F04">
      <w:pPr>
        <w:spacing w:line="480" w:lineRule="auto"/>
        <w:ind w:firstLine="720"/>
        <w:jc w:val="center"/>
        <w:rPr>
          <w:rFonts w:asciiTheme="majorHAnsi" w:eastAsia="Times New Roman" w:hAnsiTheme="majorHAnsi" w:cstheme="majorHAnsi"/>
          <w:sz w:val="24"/>
          <w:szCs w:val="24"/>
        </w:rPr>
      </w:pPr>
    </w:p>
    <w:p w14:paraId="104536EA" w14:textId="77777777" w:rsidR="00556F04" w:rsidRPr="00A70259" w:rsidRDefault="00556F04">
      <w:pPr>
        <w:spacing w:line="480" w:lineRule="auto"/>
        <w:ind w:firstLine="720"/>
        <w:jc w:val="center"/>
        <w:rPr>
          <w:rFonts w:asciiTheme="majorHAnsi" w:eastAsia="Times New Roman" w:hAnsiTheme="majorHAnsi" w:cstheme="majorHAnsi"/>
          <w:sz w:val="24"/>
          <w:szCs w:val="24"/>
        </w:rPr>
      </w:pPr>
    </w:p>
    <w:p w14:paraId="104536EB" w14:textId="77777777" w:rsidR="00556F04" w:rsidRPr="00A70259" w:rsidRDefault="00556F04">
      <w:pPr>
        <w:spacing w:line="480" w:lineRule="auto"/>
        <w:ind w:firstLine="720"/>
        <w:jc w:val="center"/>
        <w:rPr>
          <w:rFonts w:asciiTheme="majorHAnsi" w:eastAsia="Times New Roman" w:hAnsiTheme="majorHAnsi" w:cstheme="majorHAnsi"/>
          <w:sz w:val="24"/>
          <w:szCs w:val="24"/>
        </w:rPr>
      </w:pPr>
    </w:p>
    <w:p w14:paraId="104536F3" w14:textId="77777777" w:rsidR="00556F04" w:rsidRDefault="00556F04">
      <w:pPr>
        <w:spacing w:line="480" w:lineRule="auto"/>
        <w:rPr>
          <w:rFonts w:ascii="Times New Roman" w:eastAsia="Times New Roman" w:hAnsi="Times New Roman" w:cs="Times New Roman"/>
          <w:sz w:val="24"/>
          <w:szCs w:val="24"/>
        </w:rPr>
      </w:pPr>
    </w:p>
    <w:p w14:paraId="104536F4" w14:textId="77777777" w:rsidR="00556F04" w:rsidRPr="00A70259" w:rsidRDefault="00000000" w:rsidP="00A70259">
      <w:pPr>
        <w:pStyle w:val="Heading1"/>
        <w:spacing w:line="480" w:lineRule="auto"/>
        <w:rPr>
          <w:rFonts w:ascii="Calibri" w:hAnsi="Calibri" w:cs="Calibri"/>
        </w:rPr>
      </w:pPr>
      <w:bookmarkStart w:id="0" w:name="_m5iqtekx23x5" w:colFirst="0" w:colLast="0"/>
      <w:bookmarkEnd w:id="0"/>
      <w:r w:rsidRPr="00A70259">
        <w:rPr>
          <w:rFonts w:ascii="Calibri" w:hAnsi="Calibri" w:cs="Calibri"/>
        </w:rPr>
        <w:lastRenderedPageBreak/>
        <w:t>Abstract</w:t>
      </w:r>
    </w:p>
    <w:p w14:paraId="104536F5" w14:textId="1F6CB944" w:rsidR="00556F04" w:rsidRPr="00A70259" w:rsidRDefault="00000000">
      <w:pPr>
        <w:spacing w:line="480" w:lineRule="auto"/>
        <w:rPr>
          <w:rFonts w:ascii="Calibri" w:hAnsi="Calibri" w:cs="Calibri"/>
          <w:sz w:val="24"/>
          <w:szCs w:val="24"/>
        </w:rPr>
      </w:pPr>
      <w:r w:rsidRPr="00A70259">
        <w:rPr>
          <w:rFonts w:ascii="Calibri" w:hAnsi="Calibri" w:cs="Calibri"/>
          <w:sz w:val="24"/>
          <w:szCs w:val="24"/>
        </w:rPr>
        <w:t xml:space="preserve">Given the recent attention around interest rate increases spurred by Federal Reserve monetary policy, this paper looks to utilize the theoretical link between the </w:t>
      </w:r>
      <w:r w:rsidR="008D3AEC">
        <w:rPr>
          <w:rFonts w:ascii="Calibri" w:hAnsi="Calibri" w:cs="Calibri"/>
          <w:sz w:val="24"/>
          <w:szCs w:val="24"/>
        </w:rPr>
        <w:t>e</w:t>
      </w:r>
      <w:r w:rsidRPr="00A70259">
        <w:rPr>
          <w:rFonts w:ascii="Calibri" w:hAnsi="Calibri" w:cs="Calibri"/>
          <w:sz w:val="24"/>
          <w:szCs w:val="24"/>
        </w:rPr>
        <w:t xml:space="preserve">ffective </w:t>
      </w:r>
      <w:r w:rsidR="008D3AEC">
        <w:rPr>
          <w:rFonts w:ascii="Calibri" w:hAnsi="Calibri" w:cs="Calibri"/>
          <w:sz w:val="24"/>
          <w:szCs w:val="24"/>
        </w:rPr>
        <w:t>f</w:t>
      </w:r>
      <w:r w:rsidRPr="00A70259">
        <w:rPr>
          <w:rFonts w:ascii="Calibri" w:hAnsi="Calibri" w:cs="Calibri"/>
          <w:sz w:val="24"/>
          <w:szCs w:val="24"/>
        </w:rPr>
        <w:t xml:space="preserve">ederal </w:t>
      </w:r>
      <w:r w:rsidR="008D3AEC">
        <w:rPr>
          <w:rFonts w:ascii="Calibri" w:hAnsi="Calibri" w:cs="Calibri"/>
          <w:sz w:val="24"/>
          <w:szCs w:val="24"/>
        </w:rPr>
        <w:t>f</w:t>
      </w:r>
      <w:r w:rsidRPr="00A70259">
        <w:rPr>
          <w:rFonts w:ascii="Calibri" w:hAnsi="Calibri" w:cs="Calibri"/>
          <w:sz w:val="24"/>
          <w:szCs w:val="24"/>
        </w:rPr>
        <w:t xml:space="preserve">unds </w:t>
      </w:r>
      <w:r w:rsidR="008D3AEC">
        <w:rPr>
          <w:rFonts w:ascii="Calibri" w:hAnsi="Calibri" w:cs="Calibri"/>
          <w:sz w:val="24"/>
          <w:szCs w:val="24"/>
        </w:rPr>
        <w:t>r</w:t>
      </w:r>
      <w:r w:rsidRPr="00A70259">
        <w:rPr>
          <w:rFonts w:ascii="Calibri" w:hAnsi="Calibri" w:cs="Calibri"/>
          <w:sz w:val="24"/>
          <w:szCs w:val="24"/>
        </w:rPr>
        <w:t xml:space="preserve">ate and </w:t>
      </w:r>
      <w:r w:rsidR="008D3AEC">
        <w:rPr>
          <w:rFonts w:ascii="Calibri" w:hAnsi="Calibri" w:cs="Calibri"/>
          <w:sz w:val="24"/>
          <w:szCs w:val="24"/>
        </w:rPr>
        <w:t>equity</w:t>
      </w:r>
      <w:r w:rsidRPr="00A70259">
        <w:rPr>
          <w:rFonts w:ascii="Calibri" w:hAnsi="Calibri" w:cs="Calibri"/>
          <w:sz w:val="24"/>
          <w:szCs w:val="24"/>
        </w:rPr>
        <w:t xml:space="preserve"> prices to create a </w:t>
      </w:r>
      <w:r w:rsidR="00BA2514">
        <w:rPr>
          <w:rFonts w:ascii="Calibri" w:hAnsi="Calibri" w:cs="Calibri"/>
          <w:sz w:val="24"/>
          <w:szCs w:val="24"/>
        </w:rPr>
        <w:t xml:space="preserve">vector autoregression </w:t>
      </w:r>
      <w:r w:rsidRPr="00A70259">
        <w:rPr>
          <w:rFonts w:ascii="Calibri" w:hAnsi="Calibri" w:cs="Calibri"/>
          <w:sz w:val="24"/>
          <w:szCs w:val="24"/>
        </w:rPr>
        <w:t>forecasting model of the S&amp;P 500 Index (^GSPC) and the Nasdaq Composite Index (^IXIC). A daily time series from 7/3/2000 to 9/7/2023 representing 5789 unique observations is used to examine this relationship. The empirical results suggest that simple vector autoregressive models pairing these 2 stock indexes with the effective federal funds rate are not appropriate as forecasting tool</w:t>
      </w:r>
      <w:r w:rsidR="002A1C3E">
        <w:rPr>
          <w:rFonts w:ascii="Calibri" w:hAnsi="Calibri" w:cs="Calibri"/>
          <w:sz w:val="24"/>
          <w:szCs w:val="24"/>
        </w:rPr>
        <w:t>s, with the Nasdaq failing in Granger Causality testing and the S</w:t>
      </w:r>
      <w:r w:rsidR="0075390A">
        <w:rPr>
          <w:rFonts w:ascii="Calibri" w:hAnsi="Calibri" w:cs="Calibri"/>
          <w:sz w:val="24"/>
          <w:szCs w:val="24"/>
        </w:rPr>
        <w:t xml:space="preserve">&amp;P 500 </w:t>
      </w:r>
      <w:r w:rsidR="00A815D8">
        <w:rPr>
          <w:rFonts w:ascii="Calibri" w:hAnsi="Calibri" w:cs="Calibri"/>
          <w:sz w:val="24"/>
          <w:szCs w:val="24"/>
        </w:rPr>
        <w:t xml:space="preserve">forecast having imprecise and inaccurate estimates. </w:t>
      </w:r>
      <w:r w:rsidR="00774F42">
        <w:rPr>
          <w:rFonts w:ascii="Calibri" w:hAnsi="Calibri" w:cs="Calibri"/>
          <w:sz w:val="24"/>
          <w:szCs w:val="24"/>
        </w:rPr>
        <w:t xml:space="preserve">We identify a lack of </w:t>
      </w:r>
      <w:r w:rsidR="002C75AE">
        <w:rPr>
          <w:rFonts w:ascii="Calibri" w:hAnsi="Calibri" w:cs="Calibri"/>
          <w:sz w:val="24"/>
          <w:szCs w:val="24"/>
        </w:rPr>
        <w:t xml:space="preserve">daily fluctuations </w:t>
      </w:r>
      <w:r w:rsidR="00ED1955">
        <w:rPr>
          <w:rFonts w:ascii="Calibri" w:hAnsi="Calibri" w:cs="Calibri"/>
          <w:sz w:val="24"/>
          <w:szCs w:val="24"/>
        </w:rPr>
        <w:t xml:space="preserve">in the effective federal funds rate and the </w:t>
      </w:r>
      <w:r w:rsidR="002C75AE">
        <w:rPr>
          <w:rFonts w:ascii="Calibri" w:hAnsi="Calibri" w:cs="Calibri"/>
          <w:sz w:val="24"/>
          <w:szCs w:val="24"/>
        </w:rPr>
        <w:t>in</w:t>
      </w:r>
      <w:r w:rsidR="000E2091">
        <w:rPr>
          <w:rFonts w:ascii="Calibri" w:hAnsi="Calibri" w:cs="Calibri"/>
          <w:sz w:val="24"/>
          <w:szCs w:val="24"/>
        </w:rPr>
        <w:t>direct relationship</w:t>
      </w:r>
      <w:r w:rsidR="00ED1955">
        <w:rPr>
          <w:rFonts w:ascii="Calibri" w:hAnsi="Calibri" w:cs="Calibri"/>
          <w:sz w:val="24"/>
          <w:szCs w:val="24"/>
        </w:rPr>
        <w:t xml:space="preserve"> between the effective federal funds rate and equit</w:t>
      </w:r>
      <w:r w:rsidR="00FD5D8C">
        <w:rPr>
          <w:rFonts w:ascii="Calibri" w:hAnsi="Calibri" w:cs="Calibri"/>
          <w:sz w:val="24"/>
          <w:szCs w:val="24"/>
        </w:rPr>
        <w:t xml:space="preserve">ies </w:t>
      </w:r>
      <w:r w:rsidR="00ED1955">
        <w:rPr>
          <w:rFonts w:ascii="Calibri" w:hAnsi="Calibri" w:cs="Calibri"/>
          <w:sz w:val="24"/>
          <w:szCs w:val="24"/>
        </w:rPr>
        <w:t xml:space="preserve">as </w:t>
      </w:r>
      <w:r w:rsidR="00FD5D8C">
        <w:rPr>
          <w:rFonts w:ascii="Calibri" w:hAnsi="Calibri" w:cs="Calibri"/>
          <w:sz w:val="24"/>
          <w:szCs w:val="24"/>
        </w:rPr>
        <w:t xml:space="preserve">the primary issues within our model, and that </w:t>
      </w:r>
      <w:r w:rsidRPr="00A70259">
        <w:rPr>
          <w:rFonts w:ascii="Calibri" w:hAnsi="Calibri" w:cs="Calibri"/>
          <w:sz w:val="24"/>
          <w:szCs w:val="24"/>
        </w:rPr>
        <w:t>different data series such as bond yield spreads may be more appropriate</w:t>
      </w:r>
      <w:r w:rsidR="00FD5D8C">
        <w:rPr>
          <w:rFonts w:ascii="Calibri" w:hAnsi="Calibri" w:cs="Calibri"/>
          <w:sz w:val="24"/>
          <w:szCs w:val="24"/>
        </w:rPr>
        <w:t xml:space="preserve"> estimators of equity prices</w:t>
      </w:r>
      <w:r w:rsidRPr="00A70259">
        <w:rPr>
          <w:rFonts w:ascii="Calibri" w:hAnsi="Calibri" w:cs="Calibri"/>
          <w:sz w:val="24"/>
          <w:szCs w:val="24"/>
        </w:rPr>
        <w:t>.</w:t>
      </w:r>
    </w:p>
    <w:p w14:paraId="104536F6" w14:textId="77777777" w:rsidR="00556F04" w:rsidRPr="00A70259" w:rsidRDefault="00556F04">
      <w:pPr>
        <w:spacing w:line="480" w:lineRule="auto"/>
        <w:jc w:val="center"/>
        <w:rPr>
          <w:rFonts w:ascii="Calibri" w:eastAsia="Times New Roman" w:hAnsi="Calibri" w:cs="Calibri"/>
          <w:sz w:val="24"/>
          <w:szCs w:val="24"/>
        </w:rPr>
      </w:pPr>
    </w:p>
    <w:p w14:paraId="104536F7" w14:textId="77777777" w:rsidR="00556F04" w:rsidRPr="00A70259" w:rsidRDefault="00556F04">
      <w:pPr>
        <w:spacing w:line="480" w:lineRule="auto"/>
        <w:rPr>
          <w:rFonts w:ascii="Calibri" w:eastAsia="Times New Roman" w:hAnsi="Calibri" w:cs="Calibri"/>
          <w:sz w:val="24"/>
          <w:szCs w:val="24"/>
        </w:rPr>
      </w:pPr>
    </w:p>
    <w:p w14:paraId="104536F8" w14:textId="77777777" w:rsidR="00556F04" w:rsidRPr="00A70259" w:rsidRDefault="00556F04">
      <w:pPr>
        <w:spacing w:line="480" w:lineRule="auto"/>
        <w:rPr>
          <w:rFonts w:ascii="Calibri" w:eastAsia="Times New Roman" w:hAnsi="Calibri" w:cs="Calibri"/>
          <w:sz w:val="24"/>
          <w:szCs w:val="24"/>
        </w:rPr>
      </w:pPr>
    </w:p>
    <w:p w14:paraId="104536F9" w14:textId="77777777" w:rsidR="00556F04" w:rsidRPr="00A70259" w:rsidRDefault="00556F04">
      <w:pPr>
        <w:spacing w:line="480" w:lineRule="auto"/>
        <w:rPr>
          <w:rFonts w:ascii="Calibri" w:eastAsia="Times New Roman" w:hAnsi="Calibri" w:cs="Calibri"/>
          <w:sz w:val="24"/>
          <w:szCs w:val="24"/>
        </w:rPr>
      </w:pPr>
    </w:p>
    <w:p w14:paraId="104536FA" w14:textId="77777777" w:rsidR="00556F04" w:rsidRPr="00A70259" w:rsidRDefault="00556F04">
      <w:pPr>
        <w:spacing w:line="480" w:lineRule="auto"/>
        <w:rPr>
          <w:rFonts w:ascii="Calibri" w:eastAsia="Times New Roman" w:hAnsi="Calibri" w:cs="Calibri"/>
          <w:sz w:val="24"/>
          <w:szCs w:val="24"/>
        </w:rPr>
      </w:pPr>
    </w:p>
    <w:p w14:paraId="104536FB" w14:textId="77777777" w:rsidR="00556F04" w:rsidRPr="00A70259" w:rsidRDefault="00556F04">
      <w:pPr>
        <w:spacing w:line="480" w:lineRule="auto"/>
        <w:rPr>
          <w:rFonts w:ascii="Calibri" w:eastAsia="Times New Roman" w:hAnsi="Calibri" w:cs="Calibri"/>
          <w:sz w:val="24"/>
          <w:szCs w:val="24"/>
        </w:rPr>
      </w:pPr>
    </w:p>
    <w:p w14:paraId="104536FC" w14:textId="77777777" w:rsidR="00556F04" w:rsidRPr="00A70259" w:rsidRDefault="00556F04">
      <w:pPr>
        <w:spacing w:line="480" w:lineRule="auto"/>
        <w:rPr>
          <w:rFonts w:ascii="Calibri" w:eastAsia="Times New Roman" w:hAnsi="Calibri" w:cs="Calibri"/>
          <w:sz w:val="24"/>
          <w:szCs w:val="24"/>
        </w:rPr>
      </w:pPr>
    </w:p>
    <w:p w14:paraId="104536FF" w14:textId="77777777" w:rsidR="00556F04" w:rsidRPr="00A70259" w:rsidRDefault="00556F04">
      <w:pPr>
        <w:spacing w:line="480" w:lineRule="auto"/>
        <w:rPr>
          <w:rFonts w:ascii="Calibri" w:eastAsia="Times New Roman" w:hAnsi="Calibri" w:cs="Calibri"/>
          <w:sz w:val="24"/>
          <w:szCs w:val="24"/>
        </w:rPr>
      </w:pPr>
    </w:p>
    <w:p w14:paraId="10453700" w14:textId="77777777" w:rsidR="00556F04" w:rsidRPr="00A70259" w:rsidRDefault="00000000">
      <w:pPr>
        <w:pStyle w:val="Heading1"/>
        <w:rPr>
          <w:rFonts w:ascii="Calibri" w:hAnsi="Calibri" w:cs="Calibri"/>
        </w:rPr>
      </w:pPr>
      <w:bookmarkStart w:id="1" w:name="_bay8jzxl4c0n" w:colFirst="0" w:colLast="0"/>
      <w:bookmarkEnd w:id="1"/>
      <w:r w:rsidRPr="00A70259">
        <w:rPr>
          <w:rFonts w:ascii="Calibri" w:hAnsi="Calibri" w:cs="Calibri"/>
        </w:rPr>
        <w:lastRenderedPageBreak/>
        <w:t>Introduction</w:t>
      </w:r>
    </w:p>
    <w:p w14:paraId="10453701" w14:textId="58BE784C" w:rsidR="00556F04" w:rsidRPr="00A70259" w:rsidRDefault="00000000">
      <w:pPr>
        <w:spacing w:line="480" w:lineRule="auto"/>
        <w:ind w:firstLine="720"/>
        <w:rPr>
          <w:rFonts w:ascii="Calibri" w:hAnsi="Calibri" w:cs="Calibri"/>
          <w:sz w:val="24"/>
          <w:szCs w:val="24"/>
        </w:rPr>
      </w:pPr>
      <w:r w:rsidRPr="00A70259">
        <w:rPr>
          <w:rFonts w:ascii="Calibri" w:hAnsi="Calibri" w:cs="Calibri"/>
          <w:sz w:val="24"/>
          <w:szCs w:val="24"/>
        </w:rPr>
        <w:t xml:space="preserve">Following the societal lockdowns and economic disruptions of the COVID-19 pandemic, the Federal Reserve has been responsible for combating the uncharacteristically high inflation rates that resulted. Their primary tool for this task has been the ability to set the federal funds rate, which is the rate at which financial institutions can make overnight loans to each other in order to satisfy daily liquidity requirements. This interest rate is popularly regarded as a defining baseline for macroeconomic and financial market outcomes, to which the Federal Reserve has pursued a contractionary monetary policy strategy of increasing the federal funds rate in hopes of containing overheated components of the economy. Between the first </w:t>
      </w:r>
      <w:r w:rsidR="00B13C6D">
        <w:rPr>
          <w:rFonts w:ascii="Calibri" w:hAnsi="Calibri" w:cs="Calibri"/>
          <w:sz w:val="24"/>
          <w:szCs w:val="24"/>
        </w:rPr>
        <w:t xml:space="preserve">announced </w:t>
      </w:r>
      <w:r w:rsidRPr="00A70259">
        <w:rPr>
          <w:rFonts w:ascii="Calibri" w:hAnsi="Calibri" w:cs="Calibri"/>
          <w:sz w:val="24"/>
          <w:szCs w:val="24"/>
        </w:rPr>
        <w:t xml:space="preserve">rate </w:t>
      </w:r>
      <w:r w:rsidR="00300200">
        <w:rPr>
          <w:rFonts w:ascii="Calibri" w:hAnsi="Calibri" w:cs="Calibri"/>
          <w:sz w:val="24"/>
          <w:szCs w:val="24"/>
        </w:rPr>
        <w:t>hik</w:t>
      </w:r>
      <w:r w:rsidRPr="00A70259">
        <w:rPr>
          <w:rFonts w:ascii="Calibri" w:hAnsi="Calibri" w:cs="Calibri"/>
          <w:sz w:val="24"/>
          <w:szCs w:val="24"/>
        </w:rPr>
        <w:t>e on March 17, 2022, and the most recent rate increase on July 27, 2023, there have been 11 increases to the federal funds rate.</w:t>
      </w:r>
      <w:r w:rsidRPr="00A70259">
        <w:rPr>
          <w:rFonts w:ascii="Calibri" w:hAnsi="Calibri" w:cs="Calibri"/>
          <w:sz w:val="24"/>
          <w:szCs w:val="24"/>
          <w:vertAlign w:val="superscript"/>
        </w:rPr>
        <w:footnoteReference w:id="1"/>
      </w:r>
      <w:r w:rsidRPr="00A70259">
        <w:rPr>
          <w:rFonts w:ascii="Calibri" w:hAnsi="Calibri" w:cs="Calibri"/>
          <w:sz w:val="24"/>
          <w:szCs w:val="24"/>
        </w:rPr>
        <w:t xml:space="preserve"> This has brought the rate from 0.08% to 5.33% in little more than a single year. </w:t>
      </w:r>
    </w:p>
    <w:p w14:paraId="10453702" w14:textId="42E493C8" w:rsidR="00556F04" w:rsidRPr="00A70259" w:rsidRDefault="00000000">
      <w:pPr>
        <w:spacing w:line="480" w:lineRule="auto"/>
        <w:ind w:firstLine="720"/>
        <w:rPr>
          <w:rFonts w:ascii="Calibri" w:hAnsi="Calibri" w:cs="Calibri"/>
          <w:sz w:val="24"/>
          <w:szCs w:val="24"/>
        </w:rPr>
      </w:pPr>
      <w:r w:rsidRPr="00A70259">
        <w:rPr>
          <w:rFonts w:ascii="Calibri" w:hAnsi="Calibri" w:cs="Calibri"/>
          <w:sz w:val="24"/>
          <w:szCs w:val="24"/>
        </w:rPr>
        <w:t>In this same period, equity markets have experienced declines from their historic peaks in late 2021. Although the beginning of th</w:t>
      </w:r>
      <w:r w:rsidR="00F94EA8">
        <w:rPr>
          <w:rFonts w:ascii="Calibri" w:hAnsi="Calibri" w:cs="Calibri"/>
          <w:sz w:val="24"/>
          <w:szCs w:val="24"/>
        </w:rPr>
        <w:t>is</w:t>
      </w:r>
      <w:r w:rsidRPr="00A70259">
        <w:rPr>
          <w:rFonts w:ascii="Calibri" w:hAnsi="Calibri" w:cs="Calibri"/>
          <w:sz w:val="24"/>
          <w:szCs w:val="24"/>
        </w:rPr>
        <w:t xml:space="preserve"> stock </w:t>
      </w:r>
      <w:r w:rsidR="00FF56F2">
        <w:rPr>
          <w:rFonts w:ascii="Calibri" w:hAnsi="Calibri" w:cs="Calibri"/>
          <w:sz w:val="24"/>
          <w:szCs w:val="24"/>
        </w:rPr>
        <w:t>market</w:t>
      </w:r>
      <w:r w:rsidRPr="00A70259">
        <w:rPr>
          <w:rFonts w:ascii="Calibri" w:hAnsi="Calibri" w:cs="Calibri"/>
          <w:sz w:val="24"/>
          <w:szCs w:val="24"/>
        </w:rPr>
        <w:t xml:space="preserve"> downturn doesn’t align perfectly with the first interest rate hike, </w:t>
      </w:r>
      <w:r w:rsidRPr="00A70259">
        <w:rPr>
          <w:rFonts w:ascii="Calibri" w:hAnsi="Calibri" w:cs="Calibri"/>
          <w:color w:val="1F1F1F"/>
          <w:sz w:val="24"/>
          <w:szCs w:val="24"/>
        </w:rPr>
        <w:t xml:space="preserve">Adrian and Abbas (2022) shows that </w:t>
      </w:r>
      <w:r w:rsidRPr="00A70259">
        <w:rPr>
          <w:rFonts w:ascii="Calibri" w:hAnsi="Calibri" w:cs="Calibri"/>
          <w:sz w:val="24"/>
          <w:szCs w:val="24"/>
        </w:rPr>
        <w:t>private sector participants were anticipating the rate increases from at least the end of 2021 or the beginning of 2022, which could have preemptively affected forward-looking assets such as stocks. Figure 1 and Figure 2 illustrate this decline for the S&amp;P 500 Index (^GSPC) and Nasdaq Composite Index (^IXIC) respectively.</w:t>
      </w:r>
    </w:p>
    <w:p w14:paraId="10453703" w14:textId="77777777" w:rsidR="00556F04" w:rsidRDefault="00000000">
      <w:pPr>
        <w:spacing w:line="480" w:lineRule="auto"/>
        <w:jc w:val="center"/>
        <w:rPr>
          <w:sz w:val="24"/>
          <w:szCs w:val="24"/>
        </w:rPr>
      </w:pPr>
      <w:r>
        <w:rPr>
          <w:noProof/>
          <w:sz w:val="24"/>
          <w:szCs w:val="24"/>
        </w:rPr>
        <w:lastRenderedPageBreak/>
        <w:drawing>
          <wp:inline distT="114300" distB="114300" distL="114300" distR="114300" wp14:anchorId="1045377A" wp14:editId="1045377B">
            <wp:extent cx="5109226" cy="386238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109226" cy="3862388"/>
                    </a:xfrm>
                    <a:prstGeom prst="rect">
                      <a:avLst/>
                    </a:prstGeom>
                    <a:ln/>
                  </pic:spPr>
                </pic:pic>
              </a:graphicData>
            </a:graphic>
          </wp:inline>
        </w:drawing>
      </w:r>
    </w:p>
    <w:p w14:paraId="10453704" w14:textId="77777777" w:rsidR="00556F04" w:rsidRDefault="00000000">
      <w:pPr>
        <w:spacing w:line="480" w:lineRule="auto"/>
        <w:jc w:val="center"/>
        <w:rPr>
          <w:sz w:val="24"/>
          <w:szCs w:val="24"/>
        </w:rPr>
      </w:pPr>
      <w:r>
        <w:rPr>
          <w:noProof/>
          <w:sz w:val="24"/>
          <w:szCs w:val="24"/>
        </w:rPr>
        <w:drawing>
          <wp:inline distT="114300" distB="114300" distL="114300" distR="114300" wp14:anchorId="1045377C" wp14:editId="1045377D">
            <wp:extent cx="5270741" cy="4007272"/>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270741" cy="4007272"/>
                    </a:xfrm>
                    <a:prstGeom prst="rect">
                      <a:avLst/>
                    </a:prstGeom>
                    <a:ln/>
                  </pic:spPr>
                </pic:pic>
              </a:graphicData>
            </a:graphic>
          </wp:inline>
        </w:drawing>
      </w:r>
    </w:p>
    <w:p w14:paraId="10453705" w14:textId="77777777" w:rsidR="00556F04" w:rsidRDefault="00556F04">
      <w:pPr>
        <w:spacing w:line="480" w:lineRule="auto"/>
        <w:rPr>
          <w:sz w:val="24"/>
          <w:szCs w:val="24"/>
        </w:rPr>
      </w:pPr>
    </w:p>
    <w:p w14:paraId="10453706" w14:textId="77777777" w:rsidR="00556F04" w:rsidRPr="00A70259" w:rsidRDefault="00000000">
      <w:pPr>
        <w:spacing w:line="480" w:lineRule="auto"/>
        <w:ind w:firstLine="720"/>
        <w:rPr>
          <w:rFonts w:ascii="Calibri" w:hAnsi="Calibri" w:cs="Calibri"/>
          <w:sz w:val="24"/>
          <w:szCs w:val="24"/>
        </w:rPr>
      </w:pPr>
      <w:r w:rsidRPr="00A70259">
        <w:rPr>
          <w:rFonts w:ascii="Calibri" w:hAnsi="Calibri" w:cs="Calibri"/>
          <w:sz w:val="24"/>
          <w:szCs w:val="24"/>
        </w:rPr>
        <w:t xml:space="preserve">These time-series plots visually corroborate that there may be some correlation between interest rate increases and stock index declines, which is consistent with popular theories of financial markets. Nasdaq (2023) identifies 3 major impact vectors through which rising interest rates may impact equity prices: a wealth effect, a substitution effect, and a change in cash flow discounting. </w:t>
      </w:r>
    </w:p>
    <w:p w14:paraId="10453707" w14:textId="77777777" w:rsidR="00556F04" w:rsidRPr="00A70259" w:rsidRDefault="00000000">
      <w:pPr>
        <w:spacing w:line="480" w:lineRule="auto"/>
        <w:ind w:firstLine="720"/>
        <w:rPr>
          <w:rFonts w:ascii="Calibri" w:hAnsi="Calibri" w:cs="Calibri"/>
          <w:sz w:val="24"/>
          <w:szCs w:val="24"/>
        </w:rPr>
      </w:pPr>
      <w:r w:rsidRPr="00A70259">
        <w:rPr>
          <w:rFonts w:ascii="Calibri" w:hAnsi="Calibri" w:cs="Calibri"/>
          <w:sz w:val="24"/>
          <w:szCs w:val="24"/>
        </w:rPr>
        <w:t xml:space="preserve">The first effect, the wealth effect, stems from the federal funds rate’s status as a benchmark for all other interest rates in the economy. An increase in the federal funds rate would cause subsequent interest rates such as the prime rate also to increase, reducing companies' borrowing capacity as interest repayments on new debt become more expensive. This decreases firms’ profitability and capacity for pursuing value-adding projects, which hurts equity prices. </w:t>
      </w:r>
    </w:p>
    <w:p w14:paraId="10453708" w14:textId="2587715B" w:rsidR="00556F04" w:rsidRPr="00A70259" w:rsidRDefault="00000000">
      <w:pPr>
        <w:spacing w:line="480" w:lineRule="auto"/>
        <w:ind w:firstLine="720"/>
        <w:rPr>
          <w:rFonts w:ascii="Calibri" w:hAnsi="Calibri" w:cs="Calibri"/>
          <w:sz w:val="24"/>
          <w:szCs w:val="24"/>
        </w:rPr>
      </w:pPr>
      <w:r w:rsidRPr="00A70259">
        <w:rPr>
          <w:rFonts w:ascii="Calibri" w:hAnsi="Calibri" w:cs="Calibri"/>
          <w:sz w:val="24"/>
          <w:szCs w:val="24"/>
        </w:rPr>
        <w:t>The second effect, the substitution effect, occurs due to the increased attractiveness of safer, debt-based securities such as bonds, treasury bills, and certificates of deposit. When interest rates increase, new issues of these securities will have higher interest payments. This increases both the demand for these securities and the required rate of return necessary for equities to maintain an appropriate risk premium over these safer securities. In this way, overall equity prices could decline via diverted funds lowering demand</w:t>
      </w:r>
      <w:r w:rsidR="00C92903">
        <w:rPr>
          <w:rFonts w:ascii="Calibri" w:hAnsi="Calibri" w:cs="Calibri"/>
          <w:sz w:val="24"/>
          <w:szCs w:val="24"/>
        </w:rPr>
        <w:t>,</w:t>
      </w:r>
      <w:r w:rsidRPr="00A70259">
        <w:rPr>
          <w:rFonts w:ascii="Calibri" w:hAnsi="Calibri" w:cs="Calibri"/>
          <w:sz w:val="24"/>
          <w:szCs w:val="24"/>
        </w:rPr>
        <w:t xml:space="preserve"> and investors lowering the price they are willing to pay for risky assets. </w:t>
      </w:r>
    </w:p>
    <w:p w14:paraId="10453709" w14:textId="77777777" w:rsidR="00556F04" w:rsidRPr="00A70259" w:rsidRDefault="00000000">
      <w:pPr>
        <w:spacing w:line="480" w:lineRule="auto"/>
        <w:ind w:firstLine="720"/>
        <w:rPr>
          <w:rFonts w:ascii="Calibri" w:hAnsi="Calibri" w:cs="Calibri"/>
          <w:sz w:val="24"/>
          <w:szCs w:val="24"/>
        </w:rPr>
      </w:pPr>
      <w:r w:rsidRPr="00A70259">
        <w:rPr>
          <w:rFonts w:ascii="Calibri" w:hAnsi="Calibri" w:cs="Calibri"/>
          <w:sz w:val="24"/>
          <w:szCs w:val="24"/>
        </w:rPr>
        <w:t xml:space="preserve">Lastly, interest rate increases change firms’ discount rates. In determining stock valuations, the expected future cash flows of a company are incorporated through a discounted cash flow methodology. When the discount rate increases, future cash flows are discounted </w:t>
      </w:r>
      <w:r w:rsidRPr="00A70259">
        <w:rPr>
          <w:rFonts w:ascii="Calibri" w:hAnsi="Calibri" w:cs="Calibri"/>
          <w:sz w:val="24"/>
          <w:szCs w:val="24"/>
        </w:rPr>
        <w:lastRenderedPageBreak/>
        <w:t xml:space="preserve">more heavily, which decreases firms’ present value estimates. This is mostly easily apparent in growth stocks, as much of their valuations are attributed to future earnings that lead these stocks to be susceptible to changes in discounting. </w:t>
      </w:r>
    </w:p>
    <w:p w14:paraId="1045370A" w14:textId="4CC5A2E1" w:rsidR="00556F04" w:rsidRPr="00A70259" w:rsidRDefault="00000000">
      <w:pPr>
        <w:spacing w:line="480" w:lineRule="auto"/>
        <w:ind w:firstLine="720"/>
        <w:rPr>
          <w:rFonts w:ascii="Calibri" w:hAnsi="Calibri" w:cs="Calibri"/>
          <w:sz w:val="24"/>
          <w:szCs w:val="24"/>
        </w:rPr>
      </w:pPr>
      <w:r w:rsidRPr="00A70259">
        <w:rPr>
          <w:rFonts w:ascii="Calibri" w:hAnsi="Calibri" w:cs="Calibri"/>
          <w:sz w:val="24"/>
          <w:szCs w:val="24"/>
        </w:rPr>
        <w:t>That said, there is evidently a strong theoretical link between interest rates and equity prices. However, the reverse relationship likely exists as well. For the Federal Reserve, rising equity prices may be an indicator of an overheating economy and subsequent inflation, to which it would need to respond by raising interest rates (</w:t>
      </w:r>
      <w:proofErr w:type="spellStart"/>
      <w:r w:rsidRPr="00A70259">
        <w:rPr>
          <w:rFonts w:ascii="Calibri" w:hAnsi="Calibri" w:cs="Calibri"/>
          <w:sz w:val="24"/>
          <w:szCs w:val="24"/>
        </w:rPr>
        <w:t>Rigobon</w:t>
      </w:r>
      <w:proofErr w:type="spellEnd"/>
      <w:r w:rsidRPr="00A70259">
        <w:rPr>
          <w:rFonts w:ascii="Calibri" w:hAnsi="Calibri" w:cs="Calibri"/>
          <w:sz w:val="24"/>
          <w:szCs w:val="24"/>
        </w:rPr>
        <w:t xml:space="preserve"> and Sack, 2003). If this is the case, then there arises an endogeneity problem when attempting to estimate the impact of interest rates on equity prices. Traditional OLS estimation would become biased under these circumstances, as there would be unobservable determinants of equity prices that are also correlated with interest rates. Therefore, acknowledging the presence of endogeneity between equity prices and interest rates, this paper seeks to explore the viability of utilizing the co</w:t>
      </w:r>
      <w:r w:rsidR="004D5557" w:rsidRPr="00A70259">
        <w:rPr>
          <w:rFonts w:ascii="Calibri" w:hAnsi="Calibri" w:cs="Calibri"/>
          <w:sz w:val="24"/>
          <w:szCs w:val="24"/>
        </w:rPr>
        <w:t>-</w:t>
      </w:r>
      <w:r w:rsidRPr="00A70259">
        <w:rPr>
          <w:rFonts w:ascii="Calibri" w:hAnsi="Calibri" w:cs="Calibri"/>
          <w:sz w:val="24"/>
          <w:szCs w:val="24"/>
        </w:rPr>
        <w:t>movements of these variables as a source of identification in vector autoregressive forecasting models. That is, can the linear relationship of these variables help construct an accurate forecasting model of equity prices. The general conclusion is that given the exact data and modeling used, these co-movements do not lead to accurate equity price forecasting.</w:t>
      </w:r>
    </w:p>
    <w:p w14:paraId="1045370B" w14:textId="77777777" w:rsidR="00556F04" w:rsidRPr="00A70259" w:rsidRDefault="00000000">
      <w:pPr>
        <w:pStyle w:val="Heading1"/>
        <w:spacing w:line="480" w:lineRule="auto"/>
        <w:rPr>
          <w:rFonts w:ascii="Calibri" w:hAnsi="Calibri" w:cs="Calibri"/>
        </w:rPr>
      </w:pPr>
      <w:bookmarkStart w:id="2" w:name="_m1d0u2x426sv" w:colFirst="0" w:colLast="0"/>
      <w:bookmarkEnd w:id="2"/>
      <w:r w:rsidRPr="00A70259">
        <w:rPr>
          <w:rFonts w:ascii="Calibri" w:hAnsi="Calibri" w:cs="Calibri"/>
        </w:rPr>
        <w:t>Literature Review</w:t>
      </w:r>
    </w:p>
    <w:p w14:paraId="1045370C" w14:textId="77777777" w:rsidR="00556F04" w:rsidRPr="00A70259" w:rsidRDefault="00000000">
      <w:pPr>
        <w:spacing w:line="480" w:lineRule="auto"/>
        <w:rPr>
          <w:rFonts w:ascii="Calibri" w:hAnsi="Calibri" w:cs="Calibri"/>
        </w:rPr>
      </w:pPr>
      <w:r w:rsidRPr="00A70259">
        <w:rPr>
          <w:rFonts w:ascii="Calibri" w:eastAsia="Times New Roman" w:hAnsi="Calibri" w:cs="Calibri"/>
          <w:sz w:val="24"/>
          <w:szCs w:val="24"/>
        </w:rPr>
        <w:tab/>
      </w:r>
      <w:r w:rsidRPr="00A70259">
        <w:rPr>
          <w:rFonts w:ascii="Calibri" w:hAnsi="Calibri" w:cs="Calibri"/>
          <w:sz w:val="24"/>
          <w:szCs w:val="24"/>
        </w:rPr>
        <w:t xml:space="preserve">In the existing literature, an assortment of differing models have been utilized to estimate the effect of interest rates on equity prices. These research methods include various vector autoregression models like ours, along with more novel approaches such as heteroscedasticity-response models. The following analysis of this literature will first address </w:t>
      </w:r>
      <w:r w:rsidRPr="00A70259">
        <w:rPr>
          <w:rFonts w:ascii="Calibri" w:hAnsi="Calibri" w:cs="Calibri"/>
          <w:sz w:val="24"/>
          <w:szCs w:val="24"/>
        </w:rPr>
        <w:lastRenderedPageBreak/>
        <w:t>the issue of endogeneity between stocks and interest rates and then explore the differing estimated results.</w:t>
      </w:r>
    </w:p>
    <w:p w14:paraId="1045370D" w14:textId="0DDDEB1F" w:rsidR="00556F04" w:rsidRPr="00A70259" w:rsidRDefault="00000000">
      <w:pPr>
        <w:spacing w:line="480" w:lineRule="auto"/>
        <w:ind w:firstLine="720"/>
        <w:rPr>
          <w:rFonts w:ascii="Calibri" w:hAnsi="Calibri" w:cs="Calibri"/>
          <w:sz w:val="24"/>
          <w:szCs w:val="24"/>
        </w:rPr>
      </w:pPr>
      <w:r w:rsidRPr="00A70259">
        <w:rPr>
          <w:rFonts w:ascii="Calibri" w:hAnsi="Calibri" w:cs="Calibri"/>
          <w:sz w:val="24"/>
          <w:szCs w:val="24"/>
        </w:rPr>
        <w:t xml:space="preserve">Providing a basis for our discussion of endogeneity between interest rates and equities, </w:t>
      </w:r>
      <w:proofErr w:type="spellStart"/>
      <w:r w:rsidRPr="00A70259">
        <w:rPr>
          <w:rFonts w:ascii="Calibri" w:hAnsi="Calibri" w:cs="Calibri"/>
          <w:sz w:val="24"/>
          <w:szCs w:val="24"/>
        </w:rPr>
        <w:t>Rigobon</w:t>
      </w:r>
      <w:proofErr w:type="spellEnd"/>
      <w:r w:rsidRPr="00A70259">
        <w:rPr>
          <w:rFonts w:ascii="Calibri" w:hAnsi="Calibri" w:cs="Calibri"/>
          <w:sz w:val="24"/>
          <w:szCs w:val="24"/>
        </w:rPr>
        <w:t xml:space="preserve"> and Sack (2003) tests whether the Federal Reserve’s monetary policy decisions respond to equity prices. They propose that the Federal Reserve, which is nominally only interested in inflation and output, views rising equity prices as an indicator of an overheating real economy. Potential reasons for this are the wealth effect of increasing portfolio values </w:t>
      </w:r>
      <w:r w:rsidR="001F007D">
        <w:rPr>
          <w:rFonts w:ascii="Calibri" w:hAnsi="Calibri" w:cs="Calibri"/>
          <w:sz w:val="24"/>
          <w:szCs w:val="24"/>
        </w:rPr>
        <w:t xml:space="preserve">subsequently </w:t>
      </w:r>
      <w:r w:rsidRPr="00A70259">
        <w:rPr>
          <w:rFonts w:ascii="Calibri" w:hAnsi="Calibri" w:cs="Calibri"/>
          <w:sz w:val="24"/>
          <w:szCs w:val="24"/>
        </w:rPr>
        <w:t xml:space="preserve">increasing aggregate demand, and higher stock prices increasing the ability of businesses to raise money via equity offerings. To test this, they use a heteroskedasticity response model that computes the response of short-term interest rates to changes in equity prices by shifts in the variance/ covariance matrix. With this method, they find a statistically significant response, where given a 5 percent rise in the S&amp;P 500, the expected federal funds rate at the next FOMC meeting increased by about 14 basis points, and the probability of a </w:t>
      </w:r>
      <w:proofErr w:type="gramStart"/>
      <w:r w:rsidRPr="00A70259">
        <w:rPr>
          <w:rFonts w:ascii="Calibri" w:hAnsi="Calibri" w:cs="Calibri"/>
          <w:sz w:val="24"/>
          <w:szCs w:val="24"/>
        </w:rPr>
        <w:t>25 basis</w:t>
      </w:r>
      <w:proofErr w:type="gramEnd"/>
      <w:r w:rsidRPr="00A70259">
        <w:rPr>
          <w:rFonts w:ascii="Calibri" w:hAnsi="Calibri" w:cs="Calibri"/>
          <w:sz w:val="24"/>
          <w:szCs w:val="24"/>
        </w:rPr>
        <w:t xml:space="preserve"> point increase rose by about 50%. This provides strong evidence of endogeneity.</w:t>
      </w:r>
    </w:p>
    <w:p w14:paraId="1045370E" w14:textId="77777777" w:rsidR="00556F04" w:rsidRPr="00A70259" w:rsidRDefault="00000000">
      <w:pPr>
        <w:spacing w:line="480" w:lineRule="auto"/>
        <w:ind w:firstLine="720"/>
        <w:rPr>
          <w:rFonts w:ascii="Calibri" w:hAnsi="Calibri" w:cs="Calibri"/>
          <w:sz w:val="24"/>
          <w:szCs w:val="24"/>
        </w:rPr>
      </w:pPr>
      <w:r w:rsidRPr="00A70259">
        <w:rPr>
          <w:rFonts w:ascii="Calibri" w:hAnsi="Calibri" w:cs="Calibri"/>
          <w:sz w:val="24"/>
          <w:szCs w:val="24"/>
        </w:rPr>
        <w:t xml:space="preserve">Having identified this endogeneity, the subsequent literature that we analyze all implicitly acknowledges its existence through their chosen specifications. </w:t>
      </w:r>
      <w:proofErr w:type="spellStart"/>
      <w:r w:rsidRPr="00A70259">
        <w:rPr>
          <w:rFonts w:ascii="Calibri" w:hAnsi="Calibri" w:cs="Calibri"/>
          <w:sz w:val="24"/>
          <w:szCs w:val="24"/>
        </w:rPr>
        <w:t>Rigobon</w:t>
      </w:r>
      <w:proofErr w:type="spellEnd"/>
      <w:r w:rsidRPr="00A70259">
        <w:rPr>
          <w:rFonts w:ascii="Calibri" w:hAnsi="Calibri" w:cs="Calibri"/>
          <w:sz w:val="24"/>
          <w:szCs w:val="24"/>
        </w:rPr>
        <w:t xml:space="preserve"> and Sack (2004) continues on their previous research by estimating the opposite side of the relationship between stocks and interest rates using their heteroskedasticity-response model. Specifically, they use the variance/ covariance changes that occur on days of FOMC meetings and Federal Reserve testimonies to Congress. Their key finding was that the effect of interest rate policy decisions on equity prices was negative and statistically significant, with a </w:t>
      </w:r>
      <w:proofErr w:type="gramStart"/>
      <w:r w:rsidRPr="00A70259">
        <w:rPr>
          <w:rFonts w:ascii="Calibri" w:hAnsi="Calibri" w:cs="Calibri"/>
          <w:sz w:val="24"/>
          <w:szCs w:val="24"/>
        </w:rPr>
        <w:t>25 basis</w:t>
      </w:r>
      <w:proofErr w:type="gramEnd"/>
      <w:r w:rsidRPr="00A70259">
        <w:rPr>
          <w:rFonts w:ascii="Calibri" w:hAnsi="Calibri" w:cs="Calibri"/>
          <w:sz w:val="24"/>
          <w:szCs w:val="24"/>
        </w:rPr>
        <w:t xml:space="preserve"> point increase in the three-month interest rate resulting in a 1.7% drop in the S&amp;P 500, and an even </w:t>
      </w:r>
      <w:r w:rsidRPr="00A70259">
        <w:rPr>
          <w:rFonts w:ascii="Calibri" w:hAnsi="Calibri" w:cs="Calibri"/>
          <w:sz w:val="24"/>
          <w:szCs w:val="24"/>
        </w:rPr>
        <w:lastRenderedPageBreak/>
        <w:t xml:space="preserve">larger drop in the Nasdaq of 2.4%. Additional findings were that these effects were experienced only on monetary policy action dates and that the effects were not heavily time-distributed as adding large amounts of lags to their models had little impact. </w:t>
      </w:r>
    </w:p>
    <w:p w14:paraId="1045370F" w14:textId="77777777" w:rsidR="00556F04" w:rsidRPr="00A70259" w:rsidRDefault="00000000">
      <w:pPr>
        <w:spacing w:line="480" w:lineRule="auto"/>
        <w:ind w:firstLine="720"/>
        <w:rPr>
          <w:rFonts w:ascii="Calibri" w:hAnsi="Calibri" w:cs="Calibri"/>
          <w:sz w:val="24"/>
          <w:szCs w:val="24"/>
        </w:rPr>
      </w:pPr>
      <w:r w:rsidRPr="00A70259">
        <w:rPr>
          <w:rFonts w:ascii="Calibri" w:hAnsi="Calibri" w:cs="Calibri"/>
          <w:sz w:val="24"/>
          <w:szCs w:val="24"/>
        </w:rPr>
        <w:t>Paul (2019) and Assenmacher-Wesche &amp; Gerlach (2009) both corroborate this negative relationship between stocks and interest rates with variations of the VAR model. In his study, Paul (2019) constructs a vector autoregression with exogenous shocks (VARX) by using monetary policy surprises as a proxy for actual structural monetary policy events. He finds that although there is a negative relationship between stocks and interest rates, this relationship varies across time.  Assenmacher-Wesche &amp; Gerlach (2009) alternatively uses both single-country VAR and panel VAR (VARP) specifications using inputs from 17 OECD countries. Through this analysis, they find that the negative impact of interest rates on equity prices is contemporaneous, but is transient such that stocks quickly return to their original levels.</w:t>
      </w:r>
    </w:p>
    <w:p w14:paraId="10453710" w14:textId="63FC7C1B" w:rsidR="00556F04" w:rsidRPr="00A70259" w:rsidRDefault="00000000">
      <w:pPr>
        <w:pStyle w:val="Heading1"/>
        <w:spacing w:line="480" w:lineRule="auto"/>
        <w:rPr>
          <w:rFonts w:ascii="Calibri" w:hAnsi="Calibri" w:cs="Calibri"/>
        </w:rPr>
      </w:pPr>
      <w:bookmarkStart w:id="3" w:name="_lv3oce9yc3pq" w:colFirst="0" w:colLast="0"/>
      <w:bookmarkEnd w:id="3"/>
      <w:r w:rsidRPr="00A70259">
        <w:rPr>
          <w:rFonts w:ascii="Calibri" w:hAnsi="Calibri" w:cs="Calibri"/>
        </w:rPr>
        <w:t>D</w:t>
      </w:r>
      <w:r w:rsidR="00BD6832" w:rsidRPr="00A70259">
        <w:rPr>
          <w:rFonts w:ascii="Calibri" w:hAnsi="Calibri" w:cs="Calibri"/>
        </w:rPr>
        <w:t>ata</w:t>
      </w:r>
    </w:p>
    <w:p w14:paraId="10453719" w14:textId="3D45C8EC" w:rsidR="00556F04" w:rsidRDefault="00000000">
      <w:pPr>
        <w:spacing w:line="480" w:lineRule="auto"/>
        <w:rPr>
          <w:rFonts w:ascii="Calibri" w:hAnsi="Calibri" w:cs="Calibri"/>
          <w:sz w:val="24"/>
          <w:szCs w:val="24"/>
        </w:rPr>
      </w:pPr>
      <w:r w:rsidRPr="00A70259">
        <w:rPr>
          <w:rFonts w:ascii="Calibri" w:hAnsi="Calibri" w:cs="Calibri"/>
        </w:rPr>
        <w:tab/>
      </w:r>
      <w:r w:rsidRPr="00A70259">
        <w:rPr>
          <w:rFonts w:ascii="Calibri" w:hAnsi="Calibri" w:cs="Calibri"/>
          <w:sz w:val="24"/>
          <w:szCs w:val="24"/>
        </w:rPr>
        <w:t>To capture the relationship between interest rates and equities within a forecasting framework, our empirical model combines 3 variables, the effective federal funds rate, S&amp;P 500 (^GSPC) adjusted closing prices, and Nasdaq Composite (^IXIC) adjusted closing prices, into a balanced time series from 7/3/2000 to 9/7/2023. These observations occur at a daily frequency, with 5789 individual observations recorded in this way. Table 1 provides descriptive statistics of the chosen variables</w:t>
      </w:r>
      <w:r w:rsidR="00DA6064" w:rsidRPr="00A70259">
        <w:rPr>
          <w:rFonts w:ascii="Calibri" w:hAnsi="Calibri" w:cs="Calibri"/>
          <w:sz w:val="24"/>
          <w:szCs w:val="24"/>
        </w:rPr>
        <w:t>.</w:t>
      </w:r>
    </w:p>
    <w:p w14:paraId="1A844F79" w14:textId="77777777" w:rsidR="00A70259" w:rsidRPr="00A70259" w:rsidRDefault="00A70259">
      <w:pPr>
        <w:spacing w:line="480" w:lineRule="auto"/>
        <w:rPr>
          <w:rFonts w:ascii="Calibri" w:hAnsi="Calibri" w:cs="Calibri"/>
          <w:sz w:val="24"/>
          <w:szCs w:val="24"/>
        </w:rPr>
      </w:pPr>
    </w:p>
    <w:p w14:paraId="1045371A" w14:textId="77777777" w:rsidR="00556F04" w:rsidRPr="00DA6064" w:rsidRDefault="00000000">
      <w:pPr>
        <w:spacing w:before="240"/>
        <w:rPr>
          <w:rFonts w:ascii="Garamond" w:eastAsia="Times New Roman" w:hAnsi="Garamond" w:cs="Times New Roman"/>
          <w:b/>
          <w:sz w:val="28"/>
          <w:szCs w:val="28"/>
        </w:rPr>
      </w:pPr>
      <w:bookmarkStart w:id="4" w:name="_Hlk153729769"/>
      <w:r w:rsidRPr="00DA6064">
        <w:rPr>
          <w:rFonts w:ascii="Garamond" w:eastAsia="Times New Roman" w:hAnsi="Garamond" w:cs="Times New Roman"/>
          <w:b/>
          <w:sz w:val="28"/>
          <w:szCs w:val="28"/>
        </w:rPr>
        <w:lastRenderedPageBreak/>
        <w:t>Table 1: Descriptive Statistics - Original Data</w:t>
      </w:r>
    </w:p>
    <w:tbl>
      <w:tblPr>
        <w:tblStyle w:val="a"/>
        <w:tblW w:w="9480" w:type="dxa"/>
        <w:tblBorders>
          <w:top w:val="nil"/>
          <w:left w:val="nil"/>
          <w:bottom w:val="nil"/>
          <w:right w:val="nil"/>
          <w:insideH w:val="nil"/>
          <w:insideV w:val="nil"/>
        </w:tblBorders>
        <w:tblLayout w:type="fixed"/>
        <w:tblLook w:val="0600" w:firstRow="0" w:lastRow="0" w:firstColumn="0" w:lastColumn="0" w:noHBand="1" w:noVBand="1"/>
      </w:tblPr>
      <w:tblGrid>
        <w:gridCol w:w="2670"/>
        <w:gridCol w:w="847"/>
        <w:gridCol w:w="1486"/>
        <w:gridCol w:w="1486"/>
        <w:gridCol w:w="1486"/>
        <w:gridCol w:w="1505"/>
      </w:tblGrid>
      <w:tr w:rsidR="00556F04" w:rsidRPr="00DA6064" w14:paraId="10453721" w14:textId="77777777" w:rsidTr="00DA6064">
        <w:trPr>
          <w:trHeight w:val="546"/>
        </w:trPr>
        <w:tc>
          <w:tcPr>
            <w:tcW w:w="2670" w:type="dxa"/>
            <w:tcBorders>
              <w:top w:val="single" w:sz="6" w:space="0" w:color="000000"/>
              <w:left w:val="nil"/>
              <w:bottom w:val="single" w:sz="12" w:space="0" w:color="000000"/>
              <w:right w:val="nil"/>
            </w:tcBorders>
            <w:tcMar>
              <w:top w:w="0" w:type="dxa"/>
              <w:left w:w="100" w:type="dxa"/>
              <w:bottom w:w="0" w:type="dxa"/>
              <w:right w:w="100" w:type="dxa"/>
            </w:tcMar>
          </w:tcPr>
          <w:p w14:paraId="1045371B" w14:textId="77777777" w:rsidR="00556F04" w:rsidRPr="00DA6064" w:rsidRDefault="00000000">
            <w:pPr>
              <w:spacing w:before="240"/>
              <w:rPr>
                <w:rFonts w:ascii="Garamond" w:eastAsia="Times New Roman" w:hAnsi="Garamond" w:cs="Times New Roman"/>
                <w:sz w:val="24"/>
                <w:szCs w:val="24"/>
              </w:rPr>
            </w:pPr>
            <w:r w:rsidRPr="00DA6064">
              <w:rPr>
                <w:rFonts w:ascii="Garamond" w:eastAsia="Times New Roman" w:hAnsi="Garamond" w:cs="Times New Roman"/>
                <w:sz w:val="24"/>
                <w:szCs w:val="24"/>
              </w:rPr>
              <w:t>Variable</w:t>
            </w:r>
          </w:p>
        </w:tc>
        <w:tc>
          <w:tcPr>
            <w:tcW w:w="847" w:type="dxa"/>
            <w:tcBorders>
              <w:top w:val="single" w:sz="6" w:space="0" w:color="000000"/>
              <w:left w:val="nil"/>
              <w:bottom w:val="single" w:sz="12" w:space="0" w:color="000000"/>
              <w:right w:val="nil"/>
            </w:tcBorders>
            <w:tcMar>
              <w:top w:w="0" w:type="dxa"/>
              <w:left w:w="100" w:type="dxa"/>
              <w:bottom w:w="0" w:type="dxa"/>
              <w:right w:w="100" w:type="dxa"/>
            </w:tcMar>
          </w:tcPr>
          <w:p w14:paraId="1045371C" w14:textId="77777777" w:rsidR="00556F04" w:rsidRPr="00DA6064" w:rsidRDefault="00000000">
            <w:pPr>
              <w:spacing w:before="240"/>
              <w:jc w:val="right"/>
              <w:rPr>
                <w:rFonts w:ascii="Garamond" w:eastAsia="Times New Roman" w:hAnsi="Garamond" w:cs="Times New Roman"/>
                <w:sz w:val="24"/>
                <w:szCs w:val="24"/>
              </w:rPr>
            </w:pPr>
            <w:r w:rsidRPr="00DA6064">
              <w:rPr>
                <w:rFonts w:ascii="Garamond" w:eastAsia="Times New Roman" w:hAnsi="Garamond" w:cs="Times New Roman"/>
                <w:sz w:val="24"/>
                <w:szCs w:val="24"/>
              </w:rPr>
              <w:t xml:space="preserve"> </w:t>
            </w:r>
            <w:proofErr w:type="spellStart"/>
            <w:r w:rsidRPr="00DA6064">
              <w:rPr>
                <w:rFonts w:ascii="Garamond" w:eastAsia="Times New Roman" w:hAnsi="Garamond" w:cs="Times New Roman"/>
                <w:sz w:val="24"/>
                <w:szCs w:val="24"/>
              </w:rPr>
              <w:t>Obs</w:t>
            </w:r>
            <w:proofErr w:type="spellEnd"/>
          </w:p>
        </w:tc>
        <w:tc>
          <w:tcPr>
            <w:tcW w:w="1486" w:type="dxa"/>
            <w:tcBorders>
              <w:top w:val="single" w:sz="6" w:space="0" w:color="000000"/>
              <w:left w:val="nil"/>
              <w:bottom w:val="single" w:sz="12" w:space="0" w:color="000000"/>
              <w:right w:val="nil"/>
            </w:tcBorders>
            <w:tcMar>
              <w:top w:w="0" w:type="dxa"/>
              <w:left w:w="100" w:type="dxa"/>
              <w:bottom w:w="0" w:type="dxa"/>
              <w:right w:w="100" w:type="dxa"/>
            </w:tcMar>
          </w:tcPr>
          <w:p w14:paraId="1045371D" w14:textId="77777777" w:rsidR="00556F04" w:rsidRPr="00DA6064" w:rsidRDefault="00000000">
            <w:pPr>
              <w:spacing w:before="240"/>
              <w:jc w:val="right"/>
              <w:rPr>
                <w:rFonts w:ascii="Garamond" w:eastAsia="Times New Roman" w:hAnsi="Garamond" w:cs="Times New Roman"/>
                <w:sz w:val="24"/>
                <w:szCs w:val="24"/>
              </w:rPr>
            </w:pPr>
            <w:r w:rsidRPr="00DA6064">
              <w:rPr>
                <w:rFonts w:ascii="Garamond" w:eastAsia="Times New Roman" w:hAnsi="Garamond" w:cs="Times New Roman"/>
                <w:sz w:val="24"/>
                <w:szCs w:val="24"/>
              </w:rPr>
              <w:t xml:space="preserve"> Mean</w:t>
            </w:r>
          </w:p>
        </w:tc>
        <w:tc>
          <w:tcPr>
            <w:tcW w:w="1486" w:type="dxa"/>
            <w:tcBorders>
              <w:top w:val="single" w:sz="6" w:space="0" w:color="000000"/>
              <w:left w:val="nil"/>
              <w:bottom w:val="single" w:sz="12" w:space="0" w:color="000000"/>
              <w:right w:val="nil"/>
            </w:tcBorders>
            <w:tcMar>
              <w:top w:w="0" w:type="dxa"/>
              <w:left w:w="100" w:type="dxa"/>
              <w:bottom w:w="0" w:type="dxa"/>
              <w:right w:w="100" w:type="dxa"/>
            </w:tcMar>
          </w:tcPr>
          <w:p w14:paraId="1045371E" w14:textId="77777777" w:rsidR="00556F04" w:rsidRPr="00DA6064" w:rsidRDefault="00000000">
            <w:pPr>
              <w:spacing w:before="240"/>
              <w:jc w:val="right"/>
              <w:rPr>
                <w:rFonts w:ascii="Garamond" w:eastAsia="Times New Roman" w:hAnsi="Garamond" w:cs="Times New Roman"/>
                <w:sz w:val="24"/>
                <w:szCs w:val="24"/>
              </w:rPr>
            </w:pPr>
            <w:r w:rsidRPr="00DA6064">
              <w:rPr>
                <w:rFonts w:ascii="Garamond" w:eastAsia="Times New Roman" w:hAnsi="Garamond" w:cs="Times New Roman"/>
                <w:sz w:val="24"/>
                <w:szCs w:val="24"/>
              </w:rPr>
              <w:t xml:space="preserve"> Std. Dev.</w:t>
            </w:r>
          </w:p>
        </w:tc>
        <w:tc>
          <w:tcPr>
            <w:tcW w:w="1486" w:type="dxa"/>
            <w:tcBorders>
              <w:top w:val="single" w:sz="6" w:space="0" w:color="000000"/>
              <w:left w:val="nil"/>
              <w:bottom w:val="single" w:sz="12" w:space="0" w:color="000000"/>
              <w:right w:val="nil"/>
            </w:tcBorders>
            <w:tcMar>
              <w:top w:w="0" w:type="dxa"/>
              <w:left w:w="100" w:type="dxa"/>
              <w:bottom w:w="0" w:type="dxa"/>
              <w:right w:w="100" w:type="dxa"/>
            </w:tcMar>
          </w:tcPr>
          <w:p w14:paraId="1045371F" w14:textId="77777777" w:rsidR="00556F04" w:rsidRPr="00DA6064" w:rsidRDefault="00000000">
            <w:pPr>
              <w:spacing w:before="240"/>
              <w:jc w:val="right"/>
              <w:rPr>
                <w:rFonts w:ascii="Garamond" w:eastAsia="Times New Roman" w:hAnsi="Garamond" w:cs="Times New Roman"/>
                <w:sz w:val="24"/>
                <w:szCs w:val="24"/>
              </w:rPr>
            </w:pPr>
            <w:r w:rsidRPr="00DA6064">
              <w:rPr>
                <w:rFonts w:ascii="Garamond" w:eastAsia="Times New Roman" w:hAnsi="Garamond" w:cs="Times New Roman"/>
                <w:sz w:val="24"/>
                <w:szCs w:val="24"/>
              </w:rPr>
              <w:t xml:space="preserve"> Min</w:t>
            </w:r>
          </w:p>
        </w:tc>
        <w:tc>
          <w:tcPr>
            <w:tcW w:w="1505" w:type="dxa"/>
            <w:tcBorders>
              <w:top w:val="single" w:sz="6" w:space="0" w:color="000000"/>
              <w:left w:val="nil"/>
              <w:bottom w:val="single" w:sz="12" w:space="0" w:color="000000"/>
              <w:right w:val="nil"/>
            </w:tcBorders>
            <w:tcMar>
              <w:top w:w="0" w:type="dxa"/>
              <w:left w:w="100" w:type="dxa"/>
              <w:bottom w:w="0" w:type="dxa"/>
              <w:right w:w="100" w:type="dxa"/>
            </w:tcMar>
          </w:tcPr>
          <w:p w14:paraId="10453720" w14:textId="77777777" w:rsidR="00556F04" w:rsidRPr="00DA6064" w:rsidRDefault="00000000">
            <w:pPr>
              <w:spacing w:before="240"/>
              <w:jc w:val="right"/>
              <w:rPr>
                <w:rFonts w:ascii="Garamond" w:eastAsia="Times New Roman" w:hAnsi="Garamond" w:cs="Times New Roman"/>
                <w:sz w:val="24"/>
                <w:szCs w:val="24"/>
              </w:rPr>
            </w:pPr>
            <w:r w:rsidRPr="00DA6064">
              <w:rPr>
                <w:rFonts w:ascii="Garamond" w:eastAsia="Times New Roman" w:hAnsi="Garamond" w:cs="Times New Roman"/>
                <w:sz w:val="24"/>
                <w:szCs w:val="24"/>
              </w:rPr>
              <w:t xml:space="preserve"> Max</w:t>
            </w:r>
          </w:p>
        </w:tc>
      </w:tr>
      <w:tr w:rsidR="00556F04" w:rsidRPr="00DA6064" w14:paraId="10453728" w14:textId="77777777" w:rsidTr="00DA6064">
        <w:trPr>
          <w:trHeight w:val="560"/>
        </w:trPr>
        <w:tc>
          <w:tcPr>
            <w:tcW w:w="2670" w:type="dxa"/>
            <w:tcBorders>
              <w:top w:val="nil"/>
              <w:left w:val="nil"/>
              <w:bottom w:val="nil"/>
              <w:right w:val="nil"/>
            </w:tcBorders>
            <w:tcMar>
              <w:top w:w="0" w:type="dxa"/>
              <w:left w:w="100" w:type="dxa"/>
              <w:bottom w:w="0" w:type="dxa"/>
              <w:right w:w="100" w:type="dxa"/>
            </w:tcMar>
          </w:tcPr>
          <w:p w14:paraId="10453722" w14:textId="77777777" w:rsidR="00556F04" w:rsidRPr="00DA6064" w:rsidRDefault="00000000">
            <w:pPr>
              <w:spacing w:before="240"/>
              <w:rPr>
                <w:rFonts w:ascii="Garamond" w:eastAsia="Times New Roman" w:hAnsi="Garamond" w:cs="Times New Roman"/>
                <w:sz w:val="24"/>
                <w:szCs w:val="24"/>
              </w:rPr>
            </w:pPr>
            <w:r w:rsidRPr="00DA6064">
              <w:rPr>
                <w:rFonts w:ascii="Garamond" w:eastAsia="Times New Roman" w:hAnsi="Garamond" w:cs="Times New Roman"/>
                <w:sz w:val="24"/>
                <w:szCs w:val="24"/>
              </w:rPr>
              <w:t>Effective Federal   Funds Rate</w:t>
            </w:r>
          </w:p>
        </w:tc>
        <w:tc>
          <w:tcPr>
            <w:tcW w:w="847" w:type="dxa"/>
            <w:tcBorders>
              <w:top w:val="nil"/>
              <w:left w:val="nil"/>
              <w:bottom w:val="nil"/>
              <w:right w:val="nil"/>
            </w:tcBorders>
            <w:tcMar>
              <w:top w:w="0" w:type="dxa"/>
              <w:left w:w="100" w:type="dxa"/>
              <w:bottom w:w="0" w:type="dxa"/>
              <w:right w:w="100" w:type="dxa"/>
            </w:tcMar>
          </w:tcPr>
          <w:p w14:paraId="10453723" w14:textId="77777777" w:rsidR="00556F04" w:rsidRPr="00DA6064" w:rsidRDefault="00000000">
            <w:pPr>
              <w:spacing w:before="240"/>
              <w:jc w:val="right"/>
              <w:rPr>
                <w:rFonts w:ascii="Garamond" w:eastAsia="Times New Roman" w:hAnsi="Garamond" w:cs="Times New Roman"/>
                <w:sz w:val="24"/>
                <w:szCs w:val="24"/>
              </w:rPr>
            </w:pPr>
            <w:r w:rsidRPr="00DA6064">
              <w:rPr>
                <w:rFonts w:ascii="Garamond" w:eastAsia="Times New Roman" w:hAnsi="Garamond" w:cs="Times New Roman"/>
                <w:sz w:val="24"/>
                <w:szCs w:val="24"/>
              </w:rPr>
              <w:t>5789</w:t>
            </w:r>
          </w:p>
        </w:tc>
        <w:tc>
          <w:tcPr>
            <w:tcW w:w="1486" w:type="dxa"/>
            <w:tcBorders>
              <w:top w:val="nil"/>
              <w:left w:val="nil"/>
              <w:bottom w:val="nil"/>
              <w:right w:val="nil"/>
            </w:tcBorders>
            <w:tcMar>
              <w:top w:w="0" w:type="dxa"/>
              <w:left w:w="100" w:type="dxa"/>
              <w:bottom w:w="0" w:type="dxa"/>
              <w:right w:w="100" w:type="dxa"/>
            </w:tcMar>
          </w:tcPr>
          <w:p w14:paraId="10453724" w14:textId="77777777" w:rsidR="00556F04" w:rsidRPr="00DA6064" w:rsidRDefault="00000000">
            <w:pPr>
              <w:spacing w:before="240"/>
              <w:jc w:val="right"/>
              <w:rPr>
                <w:rFonts w:ascii="Garamond" w:eastAsia="Times New Roman" w:hAnsi="Garamond" w:cs="Times New Roman"/>
                <w:sz w:val="24"/>
                <w:szCs w:val="24"/>
              </w:rPr>
            </w:pPr>
            <w:r w:rsidRPr="00DA6064">
              <w:rPr>
                <w:rFonts w:ascii="Garamond" w:eastAsia="Times New Roman" w:hAnsi="Garamond" w:cs="Times New Roman"/>
                <w:sz w:val="24"/>
                <w:szCs w:val="24"/>
              </w:rPr>
              <w:t>1.65</w:t>
            </w:r>
          </w:p>
        </w:tc>
        <w:tc>
          <w:tcPr>
            <w:tcW w:w="1486" w:type="dxa"/>
            <w:tcBorders>
              <w:top w:val="nil"/>
              <w:left w:val="nil"/>
              <w:bottom w:val="nil"/>
              <w:right w:val="nil"/>
            </w:tcBorders>
            <w:tcMar>
              <w:top w:w="0" w:type="dxa"/>
              <w:left w:w="100" w:type="dxa"/>
              <w:bottom w:w="0" w:type="dxa"/>
              <w:right w:w="100" w:type="dxa"/>
            </w:tcMar>
          </w:tcPr>
          <w:p w14:paraId="10453725" w14:textId="77777777" w:rsidR="00556F04" w:rsidRPr="00DA6064" w:rsidRDefault="00000000">
            <w:pPr>
              <w:spacing w:before="240"/>
              <w:jc w:val="right"/>
              <w:rPr>
                <w:rFonts w:ascii="Garamond" w:eastAsia="Times New Roman" w:hAnsi="Garamond" w:cs="Times New Roman"/>
                <w:sz w:val="24"/>
                <w:szCs w:val="24"/>
              </w:rPr>
            </w:pPr>
            <w:r w:rsidRPr="00DA6064">
              <w:rPr>
                <w:rFonts w:ascii="Garamond" w:eastAsia="Times New Roman" w:hAnsi="Garamond" w:cs="Times New Roman"/>
                <w:sz w:val="24"/>
                <w:szCs w:val="24"/>
              </w:rPr>
              <w:t>1.84</w:t>
            </w:r>
          </w:p>
        </w:tc>
        <w:tc>
          <w:tcPr>
            <w:tcW w:w="1486" w:type="dxa"/>
            <w:tcBorders>
              <w:top w:val="nil"/>
              <w:left w:val="nil"/>
              <w:bottom w:val="nil"/>
              <w:right w:val="nil"/>
            </w:tcBorders>
            <w:tcMar>
              <w:top w:w="0" w:type="dxa"/>
              <w:left w:w="100" w:type="dxa"/>
              <w:bottom w:w="0" w:type="dxa"/>
              <w:right w:w="100" w:type="dxa"/>
            </w:tcMar>
          </w:tcPr>
          <w:p w14:paraId="10453726" w14:textId="77777777" w:rsidR="00556F04" w:rsidRPr="00DA6064" w:rsidRDefault="00000000">
            <w:pPr>
              <w:spacing w:before="240"/>
              <w:jc w:val="right"/>
              <w:rPr>
                <w:rFonts w:ascii="Garamond" w:eastAsia="Times New Roman" w:hAnsi="Garamond" w:cs="Times New Roman"/>
                <w:sz w:val="24"/>
                <w:szCs w:val="24"/>
              </w:rPr>
            </w:pPr>
            <w:r w:rsidRPr="00DA6064">
              <w:rPr>
                <w:rFonts w:ascii="Garamond" w:eastAsia="Times New Roman" w:hAnsi="Garamond" w:cs="Times New Roman"/>
                <w:sz w:val="24"/>
                <w:szCs w:val="24"/>
              </w:rPr>
              <w:t>0.04</w:t>
            </w:r>
          </w:p>
        </w:tc>
        <w:tc>
          <w:tcPr>
            <w:tcW w:w="1505" w:type="dxa"/>
            <w:tcBorders>
              <w:top w:val="nil"/>
              <w:left w:val="nil"/>
              <w:bottom w:val="nil"/>
              <w:right w:val="nil"/>
            </w:tcBorders>
            <w:tcMar>
              <w:top w:w="0" w:type="dxa"/>
              <w:left w:w="100" w:type="dxa"/>
              <w:bottom w:w="0" w:type="dxa"/>
              <w:right w:w="100" w:type="dxa"/>
            </w:tcMar>
          </w:tcPr>
          <w:p w14:paraId="10453727" w14:textId="77777777" w:rsidR="00556F04" w:rsidRPr="00DA6064" w:rsidRDefault="00000000">
            <w:pPr>
              <w:spacing w:before="240"/>
              <w:jc w:val="right"/>
              <w:rPr>
                <w:rFonts w:ascii="Garamond" w:eastAsia="Times New Roman" w:hAnsi="Garamond" w:cs="Times New Roman"/>
                <w:sz w:val="24"/>
                <w:szCs w:val="24"/>
              </w:rPr>
            </w:pPr>
            <w:r w:rsidRPr="00DA6064">
              <w:rPr>
                <w:rFonts w:ascii="Garamond" w:eastAsia="Times New Roman" w:hAnsi="Garamond" w:cs="Times New Roman"/>
                <w:sz w:val="24"/>
                <w:szCs w:val="24"/>
              </w:rPr>
              <w:t>7.03</w:t>
            </w:r>
          </w:p>
        </w:tc>
      </w:tr>
      <w:tr w:rsidR="00556F04" w:rsidRPr="00DA6064" w14:paraId="1045372F" w14:textId="77777777" w:rsidTr="00DA6064">
        <w:trPr>
          <w:trHeight w:val="546"/>
        </w:trPr>
        <w:tc>
          <w:tcPr>
            <w:tcW w:w="2670" w:type="dxa"/>
            <w:tcBorders>
              <w:top w:val="nil"/>
              <w:left w:val="nil"/>
              <w:bottom w:val="nil"/>
              <w:right w:val="nil"/>
            </w:tcBorders>
            <w:tcMar>
              <w:top w:w="0" w:type="dxa"/>
              <w:left w:w="100" w:type="dxa"/>
              <w:bottom w:w="0" w:type="dxa"/>
              <w:right w:w="100" w:type="dxa"/>
            </w:tcMar>
          </w:tcPr>
          <w:p w14:paraId="10453729" w14:textId="77777777" w:rsidR="00556F04" w:rsidRPr="00DA6064" w:rsidRDefault="00000000">
            <w:pPr>
              <w:spacing w:before="240"/>
              <w:rPr>
                <w:rFonts w:ascii="Garamond" w:eastAsia="Times New Roman" w:hAnsi="Garamond" w:cs="Times New Roman"/>
                <w:sz w:val="24"/>
                <w:szCs w:val="24"/>
              </w:rPr>
            </w:pPr>
            <w:r w:rsidRPr="00DA6064">
              <w:rPr>
                <w:rFonts w:ascii="Garamond" w:eastAsia="Times New Roman" w:hAnsi="Garamond" w:cs="Times New Roman"/>
                <w:sz w:val="24"/>
                <w:szCs w:val="24"/>
              </w:rPr>
              <w:t>S&amp;P 500 (^GSPC)           Adjusted Close</w:t>
            </w:r>
          </w:p>
        </w:tc>
        <w:tc>
          <w:tcPr>
            <w:tcW w:w="847" w:type="dxa"/>
            <w:tcBorders>
              <w:top w:val="nil"/>
              <w:left w:val="nil"/>
              <w:bottom w:val="nil"/>
              <w:right w:val="nil"/>
            </w:tcBorders>
            <w:tcMar>
              <w:top w:w="0" w:type="dxa"/>
              <w:left w:w="100" w:type="dxa"/>
              <w:bottom w:w="0" w:type="dxa"/>
              <w:right w:w="100" w:type="dxa"/>
            </w:tcMar>
          </w:tcPr>
          <w:p w14:paraId="1045372A" w14:textId="77777777" w:rsidR="00556F04" w:rsidRPr="00DA6064" w:rsidRDefault="00000000">
            <w:pPr>
              <w:spacing w:before="240"/>
              <w:jc w:val="right"/>
              <w:rPr>
                <w:rFonts w:ascii="Garamond" w:eastAsia="Times New Roman" w:hAnsi="Garamond" w:cs="Times New Roman"/>
                <w:sz w:val="24"/>
                <w:szCs w:val="24"/>
              </w:rPr>
            </w:pPr>
            <w:r w:rsidRPr="00DA6064">
              <w:rPr>
                <w:rFonts w:ascii="Garamond" w:eastAsia="Times New Roman" w:hAnsi="Garamond" w:cs="Times New Roman"/>
                <w:sz w:val="24"/>
                <w:szCs w:val="24"/>
              </w:rPr>
              <w:t>5789</w:t>
            </w:r>
          </w:p>
        </w:tc>
        <w:tc>
          <w:tcPr>
            <w:tcW w:w="1486" w:type="dxa"/>
            <w:tcBorders>
              <w:top w:val="nil"/>
              <w:left w:val="nil"/>
              <w:bottom w:val="nil"/>
              <w:right w:val="nil"/>
            </w:tcBorders>
            <w:tcMar>
              <w:top w:w="0" w:type="dxa"/>
              <w:left w:w="100" w:type="dxa"/>
              <w:bottom w:w="0" w:type="dxa"/>
              <w:right w:w="100" w:type="dxa"/>
            </w:tcMar>
          </w:tcPr>
          <w:p w14:paraId="1045372B" w14:textId="77777777" w:rsidR="00556F04" w:rsidRPr="00DA6064" w:rsidRDefault="00000000">
            <w:pPr>
              <w:spacing w:before="240"/>
              <w:jc w:val="right"/>
              <w:rPr>
                <w:rFonts w:ascii="Garamond" w:eastAsia="Times New Roman" w:hAnsi="Garamond" w:cs="Times New Roman"/>
                <w:sz w:val="24"/>
                <w:szCs w:val="24"/>
              </w:rPr>
            </w:pPr>
            <w:r w:rsidRPr="00DA6064">
              <w:rPr>
                <w:rFonts w:ascii="Garamond" w:eastAsia="Times New Roman" w:hAnsi="Garamond" w:cs="Times New Roman"/>
                <w:sz w:val="24"/>
                <w:szCs w:val="24"/>
              </w:rPr>
              <w:t>1952.06</w:t>
            </w:r>
          </w:p>
        </w:tc>
        <w:tc>
          <w:tcPr>
            <w:tcW w:w="1486" w:type="dxa"/>
            <w:tcBorders>
              <w:top w:val="nil"/>
              <w:left w:val="nil"/>
              <w:bottom w:val="nil"/>
              <w:right w:val="nil"/>
            </w:tcBorders>
            <w:tcMar>
              <w:top w:w="0" w:type="dxa"/>
              <w:left w:w="100" w:type="dxa"/>
              <w:bottom w:w="0" w:type="dxa"/>
              <w:right w:w="100" w:type="dxa"/>
            </w:tcMar>
          </w:tcPr>
          <w:p w14:paraId="1045372C" w14:textId="77777777" w:rsidR="00556F04" w:rsidRPr="00DA6064" w:rsidRDefault="00000000">
            <w:pPr>
              <w:spacing w:before="240"/>
              <w:jc w:val="right"/>
              <w:rPr>
                <w:rFonts w:ascii="Garamond" w:eastAsia="Times New Roman" w:hAnsi="Garamond" w:cs="Times New Roman"/>
                <w:sz w:val="24"/>
                <w:szCs w:val="24"/>
              </w:rPr>
            </w:pPr>
            <w:r w:rsidRPr="00DA6064">
              <w:rPr>
                <w:rFonts w:ascii="Garamond" w:eastAsia="Times New Roman" w:hAnsi="Garamond" w:cs="Times New Roman"/>
                <w:sz w:val="24"/>
                <w:szCs w:val="24"/>
              </w:rPr>
              <w:t>1037.29</w:t>
            </w:r>
          </w:p>
        </w:tc>
        <w:tc>
          <w:tcPr>
            <w:tcW w:w="1486" w:type="dxa"/>
            <w:tcBorders>
              <w:top w:val="nil"/>
              <w:left w:val="nil"/>
              <w:bottom w:val="nil"/>
              <w:right w:val="nil"/>
            </w:tcBorders>
            <w:tcMar>
              <w:top w:w="0" w:type="dxa"/>
              <w:left w:w="100" w:type="dxa"/>
              <w:bottom w:w="0" w:type="dxa"/>
              <w:right w:w="100" w:type="dxa"/>
            </w:tcMar>
          </w:tcPr>
          <w:p w14:paraId="1045372D" w14:textId="77777777" w:rsidR="00556F04" w:rsidRPr="00DA6064" w:rsidRDefault="00000000">
            <w:pPr>
              <w:spacing w:before="240"/>
              <w:jc w:val="right"/>
              <w:rPr>
                <w:rFonts w:ascii="Garamond" w:eastAsia="Times New Roman" w:hAnsi="Garamond" w:cs="Times New Roman"/>
                <w:sz w:val="24"/>
                <w:szCs w:val="24"/>
              </w:rPr>
            </w:pPr>
            <w:r w:rsidRPr="00DA6064">
              <w:rPr>
                <w:rFonts w:ascii="Garamond" w:eastAsia="Times New Roman" w:hAnsi="Garamond" w:cs="Times New Roman"/>
                <w:sz w:val="24"/>
                <w:szCs w:val="24"/>
              </w:rPr>
              <w:t>676.53</w:t>
            </w:r>
          </w:p>
        </w:tc>
        <w:tc>
          <w:tcPr>
            <w:tcW w:w="1505" w:type="dxa"/>
            <w:tcBorders>
              <w:top w:val="nil"/>
              <w:left w:val="nil"/>
              <w:bottom w:val="nil"/>
              <w:right w:val="nil"/>
            </w:tcBorders>
            <w:tcMar>
              <w:top w:w="0" w:type="dxa"/>
              <w:left w:w="100" w:type="dxa"/>
              <w:bottom w:w="0" w:type="dxa"/>
              <w:right w:w="100" w:type="dxa"/>
            </w:tcMar>
          </w:tcPr>
          <w:p w14:paraId="1045372E" w14:textId="77777777" w:rsidR="00556F04" w:rsidRPr="00DA6064" w:rsidRDefault="00000000">
            <w:pPr>
              <w:spacing w:before="240"/>
              <w:jc w:val="right"/>
              <w:rPr>
                <w:rFonts w:ascii="Garamond" w:eastAsia="Times New Roman" w:hAnsi="Garamond" w:cs="Times New Roman"/>
                <w:sz w:val="24"/>
                <w:szCs w:val="24"/>
              </w:rPr>
            </w:pPr>
            <w:r w:rsidRPr="00DA6064">
              <w:rPr>
                <w:rFonts w:ascii="Garamond" w:eastAsia="Times New Roman" w:hAnsi="Garamond" w:cs="Times New Roman"/>
                <w:sz w:val="24"/>
                <w:szCs w:val="24"/>
              </w:rPr>
              <w:t>4796.56</w:t>
            </w:r>
          </w:p>
        </w:tc>
      </w:tr>
      <w:tr w:rsidR="00556F04" w:rsidRPr="00DA6064" w14:paraId="10453736" w14:textId="77777777" w:rsidTr="00DA6064">
        <w:trPr>
          <w:trHeight w:val="720"/>
        </w:trPr>
        <w:tc>
          <w:tcPr>
            <w:tcW w:w="2670" w:type="dxa"/>
            <w:tcBorders>
              <w:top w:val="nil"/>
              <w:left w:val="nil"/>
              <w:bottom w:val="nil"/>
              <w:right w:val="nil"/>
            </w:tcBorders>
            <w:tcMar>
              <w:top w:w="0" w:type="dxa"/>
              <w:left w:w="100" w:type="dxa"/>
              <w:bottom w:w="0" w:type="dxa"/>
              <w:right w:w="100" w:type="dxa"/>
            </w:tcMar>
          </w:tcPr>
          <w:p w14:paraId="10453730" w14:textId="77777777" w:rsidR="00556F04" w:rsidRPr="00DA6064" w:rsidRDefault="00000000">
            <w:pPr>
              <w:spacing w:before="240"/>
              <w:rPr>
                <w:rFonts w:ascii="Garamond" w:eastAsia="Times New Roman" w:hAnsi="Garamond" w:cs="Times New Roman"/>
                <w:sz w:val="24"/>
                <w:szCs w:val="24"/>
              </w:rPr>
            </w:pPr>
            <w:r w:rsidRPr="00DA6064">
              <w:rPr>
                <w:rFonts w:ascii="Garamond" w:eastAsia="Times New Roman" w:hAnsi="Garamond" w:cs="Times New Roman"/>
                <w:sz w:val="24"/>
                <w:szCs w:val="24"/>
              </w:rPr>
              <w:t>Nasdaq (^IXIC)            Adjusted Close</w:t>
            </w:r>
          </w:p>
        </w:tc>
        <w:tc>
          <w:tcPr>
            <w:tcW w:w="847" w:type="dxa"/>
            <w:tcBorders>
              <w:top w:val="nil"/>
              <w:left w:val="nil"/>
              <w:bottom w:val="nil"/>
              <w:right w:val="nil"/>
            </w:tcBorders>
            <w:tcMar>
              <w:top w:w="0" w:type="dxa"/>
              <w:left w:w="100" w:type="dxa"/>
              <w:bottom w:w="0" w:type="dxa"/>
              <w:right w:w="100" w:type="dxa"/>
            </w:tcMar>
          </w:tcPr>
          <w:p w14:paraId="10453731" w14:textId="77777777" w:rsidR="00556F04" w:rsidRPr="00DA6064" w:rsidRDefault="00000000">
            <w:pPr>
              <w:spacing w:before="240"/>
              <w:jc w:val="right"/>
              <w:rPr>
                <w:rFonts w:ascii="Garamond" w:eastAsia="Times New Roman" w:hAnsi="Garamond" w:cs="Times New Roman"/>
                <w:sz w:val="24"/>
                <w:szCs w:val="24"/>
              </w:rPr>
            </w:pPr>
            <w:r w:rsidRPr="00DA6064">
              <w:rPr>
                <w:rFonts w:ascii="Garamond" w:eastAsia="Times New Roman" w:hAnsi="Garamond" w:cs="Times New Roman"/>
                <w:sz w:val="24"/>
                <w:szCs w:val="24"/>
              </w:rPr>
              <w:t>5789</w:t>
            </w:r>
          </w:p>
        </w:tc>
        <w:tc>
          <w:tcPr>
            <w:tcW w:w="1486" w:type="dxa"/>
            <w:tcBorders>
              <w:top w:val="nil"/>
              <w:left w:val="nil"/>
              <w:bottom w:val="nil"/>
              <w:right w:val="nil"/>
            </w:tcBorders>
            <w:tcMar>
              <w:top w:w="0" w:type="dxa"/>
              <w:left w:w="100" w:type="dxa"/>
              <w:bottom w:w="0" w:type="dxa"/>
              <w:right w:w="100" w:type="dxa"/>
            </w:tcMar>
          </w:tcPr>
          <w:p w14:paraId="10453732" w14:textId="77777777" w:rsidR="00556F04" w:rsidRPr="00DA6064" w:rsidRDefault="00000000">
            <w:pPr>
              <w:spacing w:before="240"/>
              <w:jc w:val="right"/>
              <w:rPr>
                <w:rFonts w:ascii="Garamond" w:eastAsia="Times New Roman" w:hAnsi="Garamond" w:cs="Times New Roman"/>
                <w:sz w:val="24"/>
                <w:szCs w:val="24"/>
              </w:rPr>
            </w:pPr>
            <w:r w:rsidRPr="00DA6064">
              <w:rPr>
                <w:rFonts w:ascii="Garamond" w:eastAsia="Times New Roman" w:hAnsi="Garamond" w:cs="Times New Roman"/>
                <w:sz w:val="24"/>
                <w:szCs w:val="24"/>
              </w:rPr>
              <w:t>4864.13</w:t>
            </w:r>
          </w:p>
        </w:tc>
        <w:tc>
          <w:tcPr>
            <w:tcW w:w="1486" w:type="dxa"/>
            <w:tcBorders>
              <w:top w:val="nil"/>
              <w:left w:val="nil"/>
              <w:bottom w:val="nil"/>
              <w:right w:val="nil"/>
            </w:tcBorders>
            <w:tcMar>
              <w:top w:w="0" w:type="dxa"/>
              <w:left w:w="100" w:type="dxa"/>
              <w:bottom w:w="0" w:type="dxa"/>
              <w:right w:w="100" w:type="dxa"/>
            </w:tcMar>
          </w:tcPr>
          <w:p w14:paraId="10453733" w14:textId="77777777" w:rsidR="00556F04" w:rsidRPr="00DA6064" w:rsidRDefault="00000000">
            <w:pPr>
              <w:spacing w:before="240"/>
              <w:jc w:val="right"/>
              <w:rPr>
                <w:rFonts w:ascii="Garamond" w:eastAsia="Times New Roman" w:hAnsi="Garamond" w:cs="Times New Roman"/>
                <w:sz w:val="24"/>
                <w:szCs w:val="24"/>
              </w:rPr>
            </w:pPr>
            <w:r w:rsidRPr="00DA6064">
              <w:rPr>
                <w:rFonts w:ascii="Garamond" w:eastAsia="Times New Roman" w:hAnsi="Garamond" w:cs="Times New Roman"/>
                <w:sz w:val="24"/>
                <w:szCs w:val="24"/>
              </w:rPr>
              <w:t>3773.08</w:t>
            </w:r>
          </w:p>
        </w:tc>
        <w:tc>
          <w:tcPr>
            <w:tcW w:w="1486" w:type="dxa"/>
            <w:tcBorders>
              <w:top w:val="nil"/>
              <w:left w:val="nil"/>
              <w:bottom w:val="nil"/>
              <w:right w:val="nil"/>
            </w:tcBorders>
            <w:tcMar>
              <w:top w:w="0" w:type="dxa"/>
              <w:left w:w="100" w:type="dxa"/>
              <w:bottom w:w="0" w:type="dxa"/>
              <w:right w:w="100" w:type="dxa"/>
            </w:tcMar>
          </w:tcPr>
          <w:p w14:paraId="10453734" w14:textId="77777777" w:rsidR="00556F04" w:rsidRPr="00DA6064" w:rsidRDefault="00000000">
            <w:pPr>
              <w:spacing w:before="240"/>
              <w:jc w:val="right"/>
              <w:rPr>
                <w:rFonts w:ascii="Garamond" w:eastAsia="Times New Roman" w:hAnsi="Garamond" w:cs="Times New Roman"/>
                <w:sz w:val="24"/>
                <w:szCs w:val="24"/>
              </w:rPr>
            </w:pPr>
            <w:r w:rsidRPr="00DA6064">
              <w:rPr>
                <w:rFonts w:ascii="Garamond" w:eastAsia="Times New Roman" w:hAnsi="Garamond" w:cs="Times New Roman"/>
                <w:sz w:val="24"/>
                <w:szCs w:val="24"/>
              </w:rPr>
              <w:t>1114.11</w:t>
            </w:r>
          </w:p>
        </w:tc>
        <w:tc>
          <w:tcPr>
            <w:tcW w:w="1505" w:type="dxa"/>
            <w:tcBorders>
              <w:top w:val="nil"/>
              <w:left w:val="nil"/>
              <w:bottom w:val="nil"/>
              <w:right w:val="nil"/>
            </w:tcBorders>
            <w:tcMar>
              <w:top w:w="0" w:type="dxa"/>
              <w:left w:w="100" w:type="dxa"/>
              <w:bottom w:w="0" w:type="dxa"/>
              <w:right w:w="100" w:type="dxa"/>
            </w:tcMar>
          </w:tcPr>
          <w:p w14:paraId="10453735" w14:textId="77777777" w:rsidR="00556F04" w:rsidRPr="00DA6064" w:rsidRDefault="00000000">
            <w:pPr>
              <w:spacing w:before="240"/>
              <w:jc w:val="right"/>
              <w:rPr>
                <w:rFonts w:ascii="Garamond" w:eastAsia="Times New Roman" w:hAnsi="Garamond" w:cs="Times New Roman"/>
                <w:sz w:val="24"/>
                <w:szCs w:val="24"/>
              </w:rPr>
            </w:pPr>
            <w:r w:rsidRPr="00DA6064">
              <w:rPr>
                <w:rFonts w:ascii="Garamond" w:eastAsia="Times New Roman" w:hAnsi="Garamond" w:cs="Times New Roman"/>
                <w:sz w:val="24"/>
                <w:szCs w:val="24"/>
              </w:rPr>
              <w:t>16057.44</w:t>
            </w:r>
          </w:p>
        </w:tc>
      </w:tr>
      <w:tr w:rsidR="00556F04" w:rsidRPr="00DA6064" w14:paraId="1045373C" w14:textId="77777777" w:rsidTr="00DA6064">
        <w:trPr>
          <w:trHeight w:val="1488"/>
        </w:trPr>
        <w:tc>
          <w:tcPr>
            <w:tcW w:w="9480" w:type="dxa"/>
            <w:gridSpan w:val="6"/>
            <w:tcBorders>
              <w:top w:val="single" w:sz="6" w:space="0" w:color="000000"/>
              <w:left w:val="nil"/>
              <w:bottom w:val="single" w:sz="6" w:space="0" w:color="000000"/>
              <w:right w:val="nil"/>
            </w:tcBorders>
            <w:tcMar>
              <w:top w:w="0" w:type="dxa"/>
              <w:left w:w="100" w:type="dxa"/>
              <w:bottom w:w="0" w:type="dxa"/>
              <w:right w:w="100" w:type="dxa"/>
            </w:tcMar>
          </w:tcPr>
          <w:p w14:paraId="10453737" w14:textId="77777777" w:rsidR="00556F04" w:rsidRPr="00DA6064" w:rsidRDefault="00000000" w:rsidP="00DA6064">
            <w:pPr>
              <w:spacing w:line="240" w:lineRule="auto"/>
              <w:rPr>
                <w:rFonts w:ascii="Garamond" w:eastAsia="Times New Roman" w:hAnsi="Garamond" w:cs="Times New Roman"/>
              </w:rPr>
            </w:pPr>
            <w:r w:rsidRPr="00DA6064">
              <w:rPr>
                <w:rFonts w:ascii="Garamond" w:eastAsia="Times New Roman" w:hAnsi="Garamond" w:cs="Times New Roman"/>
              </w:rPr>
              <w:t>Sources by variable:</w:t>
            </w:r>
          </w:p>
          <w:p w14:paraId="10453738" w14:textId="77777777" w:rsidR="00556F04" w:rsidRPr="00DA6064" w:rsidRDefault="00000000" w:rsidP="00DA6064">
            <w:pPr>
              <w:spacing w:line="240" w:lineRule="auto"/>
              <w:rPr>
                <w:rFonts w:ascii="Garamond" w:eastAsia="Times New Roman" w:hAnsi="Garamond" w:cs="Times New Roman"/>
              </w:rPr>
            </w:pPr>
            <w:r w:rsidRPr="00DA6064">
              <w:rPr>
                <w:rFonts w:ascii="Garamond" w:eastAsia="Times New Roman" w:hAnsi="Garamond" w:cs="Times New Roman"/>
              </w:rPr>
              <w:t xml:space="preserve">[1] Effective Federal Funds Rate (EFFR): Federal Reserve Bank of New York </w:t>
            </w:r>
            <w:hyperlink r:id="rId8">
              <w:r w:rsidRPr="00DA6064">
                <w:rPr>
                  <w:rFonts w:ascii="Garamond" w:eastAsia="Times New Roman" w:hAnsi="Garamond" w:cs="Times New Roman"/>
                  <w:color w:val="1155CC"/>
                  <w:u w:val="single"/>
                </w:rPr>
                <w:t>https://www.newyorkfed.org/markets/reference-rates/effr</w:t>
              </w:r>
            </w:hyperlink>
            <w:r w:rsidRPr="00DA6064">
              <w:rPr>
                <w:rFonts w:ascii="Garamond" w:eastAsia="Times New Roman" w:hAnsi="Garamond" w:cs="Times New Roman"/>
              </w:rPr>
              <w:t xml:space="preserve"> </w:t>
            </w:r>
          </w:p>
          <w:p w14:paraId="10453739" w14:textId="77777777" w:rsidR="00556F04" w:rsidRPr="00DA6064" w:rsidRDefault="00000000" w:rsidP="00DA6064">
            <w:pPr>
              <w:spacing w:line="240" w:lineRule="auto"/>
              <w:rPr>
                <w:rFonts w:ascii="Garamond" w:eastAsia="Times New Roman" w:hAnsi="Garamond" w:cs="Times New Roman"/>
                <w:color w:val="1155CC"/>
                <w:u w:val="single"/>
              </w:rPr>
            </w:pPr>
            <w:r w:rsidRPr="00DA6064">
              <w:rPr>
                <w:rFonts w:ascii="Garamond" w:eastAsia="Times New Roman" w:hAnsi="Garamond" w:cs="Times New Roman"/>
              </w:rPr>
              <w:t xml:space="preserve">[2] S&amp;P 500 Adjusted Close: Yahoo Finance </w:t>
            </w:r>
            <w:hyperlink r:id="rId9">
              <w:r w:rsidRPr="00DA6064">
                <w:rPr>
                  <w:rFonts w:ascii="Garamond" w:eastAsia="Times New Roman" w:hAnsi="Garamond" w:cs="Times New Roman"/>
                  <w:color w:val="1155CC"/>
                  <w:u w:val="single"/>
                </w:rPr>
                <w:t>https://finance.yahoo.com/quote/%5EGSPC/history?p=%5EGSPC</w:t>
              </w:r>
            </w:hyperlink>
            <w:r w:rsidRPr="00DA6064">
              <w:rPr>
                <w:rFonts w:ascii="Garamond" w:eastAsia="Times New Roman" w:hAnsi="Garamond" w:cs="Times New Roman"/>
              </w:rPr>
              <w:t xml:space="preserve"> </w:t>
            </w:r>
          </w:p>
          <w:p w14:paraId="7568E150" w14:textId="77777777" w:rsidR="00DA6064" w:rsidRPr="00DA6064" w:rsidRDefault="00000000" w:rsidP="00DA6064">
            <w:pPr>
              <w:spacing w:line="240" w:lineRule="auto"/>
              <w:rPr>
                <w:rFonts w:ascii="Garamond" w:eastAsia="Times New Roman" w:hAnsi="Garamond" w:cs="Times New Roman"/>
              </w:rPr>
            </w:pPr>
            <w:r w:rsidRPr="00DA6064">
              <w:rPr>
                <w:rFonts w:ascii="Garamond" w:eastAsia="Times New Roman" w:hAnsi="Garamond" w:cs="Times New Roman"/>
              </w:rPr>
              <w:t xml:space="preserve">[3] Nasdaq Composite Adjusted Close: Yahoo Finance </w:t>
            </w:r>
            <w:hyperlink r:id="rId10">
              <w:r w:rsidRPr="00DA6064">
                <w:rPr>
                  <w:rFonts w:ascii="Garamond" w:eastAsia="Times New Roman" w:hAnsi="Garamond" w:cs="Times New Roman"/>
                  <w:color w:val="1155CC"/>
                  <w:u w:val="single"/>
                </w:rPr>
                <w:t>https://finance.yahoo.com/quote/%5EIXIC?p=^IXIC&amp;.tsrc=fin-srch</w:t>
              </w:r>
            </w:hyperlink>
            <w:r w:rsidRPr="00DA6064">
              <w:rPr>
                <w:rFonts w:ascii="Garamond" w:eastAsia="Times New Roman" w:hAnsi="Garamond" w:cs="Times New Roman"/>
              </w:rPr>
              <w:t xml:space="preserve"> </w:t>
            </w:r>
          </w:p>
          <w:p w14:paraId="1045373B" w14:textId="2FA741B6" w:rsidR="00DA6064" w:rsidRPr="00DA6064" w:rsidRDefault="00DA6064" w:rsidP="00DA6064">
            <w:pPr>
              <w:spacing w:line="240" w:lineRule="auto"/>
              <w:rPr>
                <w:rFonts w:ascii="Garamond" w:eastAsia="Times New Roman" w:hAnsi="Garamond" w:cs="Times New Roman"/>
                <w:sz w:val="20"/>
                <w:szCs w:val="20"/>
              </w:rPr>
            </w:pPr>
          </w:p>
        </w:tc>
      </w:tr>
      <w:bookmarkEnd w:id="4"/>
    </w:tbl>
    <w:p w14:paraId="1045373D" w14:textId="77777777" w:rsidR="00556F04" w:rsidRDefault="00556F04">
      <w:pPr>
        <w:spacing w:line="480" w:lineRule="auto"/>
        <w:rPr>
          <w:rFonts w:ascii="Times New Roman" w:eastAsia="Times New Roman" w:hAnsi="Times New Roman" w:cs="Times New Roman"/>
          <w:sz w:val="24"/>
          <w:szCs w:val="24"/>
        </w:rPr>
      </w:pPr>
    </w:p>
    <w:p w14:paraId="018F05BB" w14:textId="77777777" w:rsidR="00DA6064" w:rsidRDefault="00DA6064">
      <w:pPr>
        <w:spacing w:line="480" w:lineRule="auto"/>
        <w:rPr>
          <w:rFonts w:ascii="Times New Roman" w:eastAsia="Times New Roman" w:hAnsi="Times New Roman" w:cs="Times New Roman"/>
          <w:sz w:val="24"/>
          <w:szCs w:val="24"/>
        </w:rPr>
      </w:pPr>
    </w:p>
    <w:p w14:paraId="1045373E" w14:textId="77777777" w:rsidR="00556F04" w:rsidRPr="00A70259" w:rsidRDefault="00000000" w:rsidP="00DA6064">
      <w:pPr>
        <w:spacing w:line="480" w:lineRule="auto"/>
        <w:ind w:firstLine="720"/>
        <w:rPr>
          <w:rFonts w:ascii="Calibri" w:eastAsia="Times New Roman" w:hAnsi="Calibri" w:cs="Calibri"/>
          <w:sz w:val="24"/>
          <w:szCs w:val="24"/>
        </w:rPr>
      </w:pPr>
      <w:r w:rsidRPr="00A70259">
        <w:rPr>
          <w:rFonts w:ascii="Calibri" w:hAnsi="Calibri" w:cs="Calibri"/>
          <w:sz w:val="24"/>
          <w:szCs w:val="24"/>
        </w:rPr>
        <w:t xml:space="preserve">Although high-frequency data has the potential to produce excessive noise and be difficult to forecast, the choice to use data recorded at a daily frequency is motivated by several key advantages. The first is that we are able to capture the effects of monetary policy decisions on interest rates as they are announced. As identified by the previous literature, two important components of the impact of interest rates on equity prices are that the effects are contemporaneous and that they are most noticeable on monetary policy announcement dates. Furthermore, the use of daily data allows us to maintain a large sample size despite limited data. The effective federal funds rate has only been recorded since the year 2000, so a monthly or quarterly dataset would not be able to benefit from large-sample properties.   </w:t>
      </w:r>
    </w:p>
    <w:p w14:paraId="1045373F" w14:textId="77777777" w:rsidR="00556F04" w:rsidRPr="00A70259" w:rsidRDefault="00000000">
      <w:pPr>
        <w:pStyle w:val="Heading1"/>
        <w:spacing w:line="480" w:lineRule="auto"/>
        <w:rPr>
          <w:rFonts w:asciiTheme="majorHAnsi" w:hAnsiTheme="majorHAnsi" w:cstheme="majorHAnsi"/>
        </w:rPr>
      </w:pPr>
      <w:bookmarkStart w:id="5" w:name="_73rqq6vjkom9" w:colFirst="0" w:colLast="0"/>
      <w:bookmarkEnd w:id="5"/>
      <w:r w:rsidRPr="00A70259">
        <w:rPr>
          <w:rFonts w:asciiTheme="majorHAnsi" w:hAnsiTheme="majorHAnsi" w:cstheme="majorHAnsi"/>
        </w:rPr>
        <w:lastRenderedPageBreak/>
        <w:t xml:space="preserve">Empirical Methodology </w:t>
      </w:r>
    </w:p>
    <w:p w14:paraId="10453740" w14:textId="3949516D" w:rsidR="00556F04" w:rsidRPr="00A70259" w:rsidRDefault="00000000">
      <w:pPr>
        <w:spacing w:line="480" w:lineRule="auto"/>
        <w:ind w:firstLine="720"/>
        <w:rPr>
          <w:rFonts w:ascii="Calibri" w:hAnsi="Calibri" w:cs="Calibri"/>
          <w:sz w:val="24"/>
          <w:szCs w:val="24"/>
        </w:rPr>
      </w:pPr>
      <w:r w:rsidRPr="00A70259">
        <w:rPr>
          <w:rFonts w:ascii="Calibri" w:hAnsi="Calibri" w:cs="Calibri"/>
          <w:sz w:val="24"/>
          <w:szCs w:val="24"/>
        </w:rPr>
        <w:t>To conduct our forecasting analysis, we begin by proposing 2 separate specifications for forecasting the S&amp;P 500 Index and Nasdaq Composite Index with the help of interest rate co</w:t>
      </w:r>
      <w:r w:rsidR="004D5557" w:rsidRPr="00A70259">
        <w:rPr>
          <w:rFonts w:ascii="Calibri" w:hAnsi="Calibri" w:cs="Calibri"/>
          <w:sz w:val="24"/>
          <w:szCs w:val="24"/>
        </w:rPr>
        <w:t>-</w:t>
      </w:r>
      <w:r w:rsidRPr="00A70259">
        <w:rPr>
          <w:rFonts w:ascii="Calibri" w:hAnsi="Calibri" w:cs="Calibri"/>
          <w:sz w:val="24"/>
          <w:szCs w:val="24"/>
        </w:rPr>
        <w:t>movements. Our chosen model is a VAR(P) for these 2 systems of equations, but qualification checks are used to determine the validity of this choice.</w:t>
      </w:r>
    </w:p>
    <w:p w14:paraId="10453741" w14:textId="4695761F" w:rsidR="00556F04" w:rsidRPr="00A70259" w:rsidRDefault="00000000">
      <w:pPr>
        <w:spacing w:line="480" w:lineRule="auto"/>
        <w:ind w:firstLine="720"/>
        <w:rPr>
          <w:rFonts w:ascii="Calibri" w:hAnsi="Calibri" w:cs="Calibri"/>
          <w:sz w:val="24"/>
          <w:szCs w:val="24"/>
        </w:rPr>
      </w:pPr>
      <w:r w:rsidRPr="00A70259">
        <w:rPr>
          <w:rFonts w:ascii="Calibri" w:hAnsi="Calibri" w:cs="Calibri"/>
          <w:sz w:val="24"/>
          <w:szCs w:val="24"/>
        </w:rPr>
        <w:t>From here, we implement a Box-Jenkins structure that involves 4 key steps: Stationarity, Granger Causality, Model Selection, and then Forecasting. The first three steps ensure that the data is properly prepared for analysis and that we are utilizing the proper model. The forecasting step involves a backward forecasting methodology where we create a training/ testing split with our data. The first 100 periods are separated as a testing set, while the remaining observations are retained within a training set. This allows us to evaluate the performance of our forecasting model on hypothetical out-of-sample data. The motivation for utilizing the oldest 100 observations rather than the newest 100 is the general uncertainty that our relationships of interest are the same for the post-C</w:t>
      </w:r>
      <w:r w:rsidR="00DD5D25">
        <w:rPr>
          <w:rFonts w:ascii="Calibri" w:hAnsi="Calibri" w:cs="Calibri"/>
          <w:sz w:val="24"/>
          <w:szCs w:val="24"/>
        </w:rPr>
        <w:t>OVID</w:t>
      </w:r>
      <w:r w:rsidRPr="00A70259">
        <w:rPr>
          <w:rFonts w:ascii="Calibri" w:hAnsi="Calibri" w:cs="Calibri"/>
          <w:sz w:val="24"/>
          <w:szCs w:val="24"/>
        </w:rPr>
        <w:t xml:space="preserve"> and pre-C</w:t>
      </w:r>
      <w:r w:rsidR="00DD5D25">
        <w:rPr>
          <w:rFonts w:ascii="Calibri" w:hAnsi="Calibri" w:cs="Calibri"/>
          <w:sz w:val="24"/>
          <w:szCs w:val="24"/>
        </w:rPr>
        <w:t>OVID</w:t>
      </w:r>
      <w:r w:rsidRPr="00A70259">
        <w:rPr>
          <w:rFonts w:ascii="Calibri" w:hAnsi="Calibri" w:cs="Calibri"/>
          <w:sz w:val="24"/>
          <w:szCs w:val="24"/>
        </w:rPr>
        <w:t xml:space="preserve"> eras due to the </w:t>
      </w:r>
      <w:r w:rsidR="00D40DB5">
        <w:rPr>
          <w:rFonts w:ascii="Calibri" w:hAnsi="Calibri" w:cs="Calibri"/>
          <w:sz w:val="24"/>
          <w:szCs w:val="24"/>
        </w:rPr>
        <w:t xml:space="preserve">time-varying effects </w:t>
      </w:r>
      <w:r w:rsidRPr="00A70259">
        <w:rPr>
          <w:rFonts w:ascii="Calibri" w:hAnsi="Calibri" w:cs="Calibri"/>
          <w:sz w:val="24"/>
          <w:szCs w:val="24"/>
        </w:rPr>
        <w:t>f</w:t>
      </w:r>
      <w:r w:rsidR="00D40DB5">
        <w:rPr>
          <w:rFonts w:ascii="Calibri" w:hAnsi="Calibri" w:cs="Calibri"/>
          <w:sz w:val="24"/>
          <w:szCs w:val="24"/>
        </w:rPr>
        <w:t xml:space="preserve">ound </w:t>
      </w:r>
      <w:r w:rsidRPr="00A70259">
        <w:rPr>
          <w:rFonts w:ascii="Calibri" w:hAnsi="Calibri" w:cs="Calibri"/>
          <w:sz w:val="24"/>
          <w:szCs w:val="24"/>
        </w:rPr>
        <w:t xml:space="preserve">in Paul (2019). Further study may implement regime-switching capabilities to address this issue, but within the scope of this study, the beginning is more visually similar to the majority of the dataset so is preferred. Furthermore, </w:t>
      </w:r>
      <w:r w:rsidR="002D286F">
        <w:rPr>
          <w:rFonts w:ascii="Calibri" w:hAnsi="Calibri" w:cs="Calibri"/>
          <w:sz w:val="24"/>
          <w:szCs w:val="24"/>
        </w:rPr>
        <w:t xml:space="preserve">we remain conservative </w:t>
      </w:r>
      <w:r w:rsidR="007F5BC5">
        <w:rPr>
          <w:rFonts w:ascii="Calibri" w:hAnsi="Calibri" w:cs="Calibri"/>
          <w:sz w:val="24"/>
          <w:szCs w:val="24"/>
        </w:rPr>
        <w:t>in our expectation</w:t>
      </w:r>
      <w:r w:rsidR="00181BC0">
        <w:rPr>
          <w:rFonts w:ascii="Calibri" w:hAnsi="Calibri" w:cs="Calibri"/>
          <w:sz w:val="24"/>
          <w:szCs w:val="24"/>
        </w:rPr>
        <w:t>s</w:t>
      </w:r>
      <w:r w:rsidR="007F5BC5">
        <w:rPr>
          <w:rFonts w:ascii="Calibri" w:hAnsi="Calibri" w:cs="Calibri"/>
          <w:sz w:val="24"/>
          <w:szCs w:val="24"/>
        </w:rPr>
        <w:t xml:space="preserve"> for our</w:t>
      </w:r>
      <w:r w:rsidRPr="00A70259">
        <w:rPr>
          <w:rFonts w:ascii="Calibri" w:hAnsi="Calibri" w:cs="Calibri"/>
          <w:sz w:val="24"/>
          <w:szCs w:val="24"/>
        </w:rPr>
        <w:t xml:space="preserve"> model to be able to fully capture the large degree of noise experienced in daily-frequency estimation, so we chose to use a minimally-sized testing set to avoid the issue of imprecision and large forecasting errors in far-off projections. </w:t>
      </w:r>
      <w:r w:rsidR="000526CF">
        <w:rPr>
          <w:rFonts w:ascii="Calibri" w:hAnsi="Calibri" w:cs="Calibri"/>
          <w:sz w:val="24"/>
          <w:szCs w:val="24"/>
        </w:rPr>
        <w:t>If the results allow, further study may increase the forecasting time frame.</w:t>
      </w:r>
    </w:p>
    <w:p w14:paraId="10453742" w14:textId="77777777" w:rsidR="00556F04" w:rsidRPr="00A70259" w:rsidRDefault="00000000" w:rsidP="00DA6064">
      <w:pPr>
        <w:pStyle w:val="Heading2"/>
        <w:spacing w:line="480" w:lineRule="auto"/>
        <w:rPr>
          <w:rFonts w:asciiTheme="majorHAnsi" w:hAnsiTheme="majorHAnsi" w:cstheme="majorHAnsi"/>
        </w:rPr>
      </w:pPr>
      <w:bookmarkStart w:id="6" w:name="_y1u4magrst9r" w:colFirst="0" w:colLast="0"/>
      <w:bookmarkEnd w:id="6"/>
      <w:r w:rsidRPr="00A70259">
        <w:rPr>
          <w:rFonts w:asciiTheme="majorHAnsi" w:hAnsiTheme="majorHAnsi" w:cstheme="majorHAnsi"/>
        </w:rPr>
        <w:lastRenderedPageBreak/>
        <w:t>Stationarity</w:t>
      </w:r>
    </w:p>
    <w:p w14:paraId="10453743" w14:textId="03D2F353" w:rsidR="00556F04" w:rsidRPr="00A70259" w:rsidRDefault="00000000">
      <w:pPr>
        <w:spacing w:line="480" w:lineRule="auto"/>
        <w:rPr>
          <w:rFonts w:ascii="Calibri" w:hAnsi="Calibri" w:cs="Calibri"/>
          <w:sz w:val="24"/>
          <w:szCs w:val="24"/>
        </w:rPr>
      </w:pPr>
      <w:r w:rsidRPr="00A70259">
        <w:rPr>
          <w:rFonts w:ascii="Calibri" w:hAnsi="Calibri" w:cs="Calibri"/>
        </w:rPr>
        <w:tab/>
      </w:r>
      <w:r w:rsidRPr="00A70259">
        <w:rPr>
          <w:rFonts w:ascii="Calibri" w:hAnsi="Calibri" w:cs="Calibri"/>
          <w:sz w:val="24"/>
          <w:szCs w:val="24"/>
        </w:rPr>
        <w:t xml:space="preserve">At this stage of our analysis, we perform stationarity checks on our 3 variables of interest. We begin with a trend and correlation analysis of each variable consisting of visually inspecting the time-series plots, ACF, and PACF functions for signs of nonstationarities. The </w:t>
      </w:r>
      <w:r w:rsidR="00027D23">
        <w:rPr>
          <w:rFonts w:ascii="Calibri" w:hAnsi="Calibri" w:cs="Calibri"/>
          <w:sz w:val="24"/>
          <w:szCs w:val="24"/>
        </w:rPr>
        <w:t>effective federal funds rate</w:t>
      </w:r>
      <w:r w:rsidRPr="00A70259">
        <w:rPr>
          <w:rFonts w:ascii="Calibri" w:hAnsi="Calibri" w:cs="Calibri"/>
          <w:sz w:val="24"/>
          <w:szCs w:val="24"/>
        </w:rPr>
        <w:t xml:space="preserve"> plot doesn’t show an obvious trend, but it has an ACF function that does not tail off. The S&amp;P 500 and Nasdaq plots do show obvious time trends, and also have persistent ACF functions. These characteristics are clear signs of </w:t>
      </w:r>
      <w:r w:rsidR="004D5557" w:rsidRPr="00A70259">
        <w:rPr>
          <w:rFonts w:ascii="Calibri" w:hAnsi="Calibri" w:cs="Calibri"/>
          <w:sz w:val="24"/>
          <w:szCs w:val="24"/>
        </w:rPr>
        <w:t>nonstationarities</w:t>
      </w:r>
      <w:r w:rsidRPr="00A70259">
        <w:rPr>
          <w:rFonts w:ascii="Calibri" w:hAnsi="Calibri" w:cs="Calibri"/>
          <w:sz w:val="24"/>
          <w:szCs w:val="24"/>
        </w:rPr>
        <w:t xml:space="preserve"> and suggest that differencing will be necessary. </w:t>
      </w:r>
    </w:p>
    <w:p w14:paraId="10453744" w14:textId="7A8225AE" w:rsidR="00556F04" w:rsidRPr="00A70259" w:rsidRDefault="00000000">
      <w:pPr>
        <w:spacing w:line="480" w:lineRule="auto"/>
        <w:rPr>
          <w:rFonts w:ascii="Calibri" w:hAnsi="Calibri" w:cs="Calibri"/>
          <w:sz w:val="24"/>
          <w:szCs w:val="24"/>
        </w:rPr>
      </w:pPr>
      <w:r w:rsidRPr="00A70259">
        <w:rPr>
          <w:rFonts w:ascii="Calibri" w:hAnsi="Calibri" w:cs="Calibri"/>
          <w:sz w:val="24"/>
          <w:szCs w:val="24"/>
        </w:rPr>
        <w:tab/>
        <w:t xml:space="preserve">After visually identifying nonstationaries in each of these time series, we proceeded to formally conduct Dickey-Fuller tests for unit roots to determine the appropriate degree of differencing. The tests on the level series corroborated the previous visual analysis, as all three of the time series were found to be nonstationary in their level form. Subsequent testing found that first differencing would be sufficient to achieve stationarity, with all three of the first-differenced time series passing the Dickey-Fuller specifications. Additional tests of the differenced series in their vector autoregression forms were conducted, in which stationarity was confirmed through a modulus of less than 1 for both sets of VAR models. From these results, we find that the effective federal funds rate, S&amp;P 500 prices, and Nasdaq </w:t>
      </w:r>
      <w:r w:rsidR="000C4E70">
        <w:rPr>
          <w:rFonts w:ascii="Calibri" w:hAnsi="Calibri" w:cs="Calibri"/>
          <w:sz w:val="24"/>
          <w:szCs w:val="24"/>
        </w:rPr>
        <w:t>p</w:t>
      </w:r>
      <w:r w:rsidRPr="00A70259">
        <w:rPr>
          <w:rFonts w:ascii="Calibri" w:hAnsi="Calibri" w:cs="Calibri"/>
          <w:sz w:val="24"/>
          <w:szCs w:val="24"/>
        </w:rPr>
        <w:t>rices are integrated of order 1, and we proceed with the rest of our analysis using the first differences of these variables. It is important to note that after first differencing, each variable now has 1 fewer observation than its original level form.</w:t>
      </w:r>
    </w:p>
    <w:p w14:paraId="10453745" w14:textId="77777777" w:rsidR="00556F04" w:rsidRPr="00A70259" w:rsidRDefault="00000000" w:rsidP="00DA6064">
      <w:pPr>
        <w:pStyle w:val="Heading2"/>
        <w:spacing w:line="480" w:lineRule="auto"/>
        <w:rPr>
          <w:rFonts w:asciiTheme="majorHAnsi" w:hAnsiTheme="majorHAnsi" w:cstheme="majorHAnsi"/>
        </w:rPr>
      </w:pPr>
      <w:bookmarkStart w:id="7" w:name="_ie8g1d764mke" w:colFirst="0" w:colLast="0"/>
      <w:bookmarkEnd w:id="7"/>
      <w:r w:rsidRPr="00A70259">
        <w:rPr>
          <w:rFonts w:asciiTheme="majorHAnsi" w:hAnsiTheme="majorHAnsi" w:cstheme="majorHAnsi"/>
        </w:rPr>
        <w:lastRenderedPageBreak/>
        <w:t>Granger Causality</w:t>
      </w:r>
    </w:p>
    <w:p w14:paraId="79E2B3CC" w14:textId="4C21720E" w:rsidR="00746FAE" w:rsidRPr="00A70259" w:rsidRDefault="00000000">
      <w:pPr>
        <w:spacing w:line="480" w:lineRule="auto"/>
        <w:rPr>
          <w:rFonts w:ascii="Calibri" w:hAnsi="Calibri" w:cs="Calibri"/>
          <w:sz w:val="24"/>
          <w:szCs w:val="24"/>
        </w:rPr>
      </w:pPr>
      <w:r w:rsidRPr="00A70259">
        <w:rPr>
          <w:rFonts w:ascii="Calibri" w:hAnsi="Calibri" w:cs="Calibri"/>
          <w:sz w:val="24"/>
          <w:szCs w:val="24"/>
        </w:rPr>
        <w:tab/>
        <w:t xml:space="preserve">In this third step, we conducted Granger Causality tests on the new first-differenced variables to empirically identify whether the effective federal funds rate is truly an appropriate addition to equity price forecasting models. We arrange the two separate vector autoregressions and test both </w:t>
      </w:r>
      <w:r w:rsidR="00F378B6">
        <w:rPr>
          <w:rFonts w:ascii="Calibri" w:hAnsi="Calibri" w:cs="Calibri"/>
          <w:sz w:val="24"/>
          <w:szCs w:val="24"/>
        </w:rPr>
        <w:t>systems</w:t>
      </w:r>
      <w:r w:rsidRPr="00A70259">
        <w:rPr>
          <w:rFonts w:ascii="Calibri" w:hAnsi="Calibri" w:cs="Calibri"/>
          <w:sz w:val="24"/>
          <w:szCs w:val="24"/>
        </w:rPr>
        <w:t xml:space="preserve"> with </w:t>
      </w:r>
      <w:r w:rsidR="00066FF7">
        <w:rPr>
          <w:rFonts w:ascii="Calibri" w:hAnsi="Calibri" w:cs="Calibri"/>
          <w:sz w:val="24"/>
          <w:szCs w:val="24"/>
        </w:rPr>
        <w:t xml:space="preserve">5, </w:t>
      </w:r>
      <w:r w:rsidRPr="00A70259">
        <w:rPr>
          <w:rFonts w:ascii="Calibri" w:hAnsi="Calibri" w:cs="Calibri"/>
          <w:sz w:val="24"/>
          <w:szCs w:val="24"/>
        </w:rPr>
        <w:t xml:space="preserve">10, 15, and 20 lags. Table </w:t>
      </w:r>
      <w:r w:rsidR="00DA6064" w:rsidRPr="00A70259">
        <w:rPr>
          <w:rFonts w:ascii="Calibri" w:hAnsi="Calibri" w:cs="Calibri"/>
          <w:sz w:val="24"/>
          <w:szCs w:val="24"/>
        </w:rPr>
        <w:t>2</w:t>
      </w:r>
      <w:r w:rsidRPr="00A70259">
        <w:rPr>
          <w:rFonts w:ascii="Calibri" w:hAnsi="Calibri" w:cs="Calibri"/>
          <w:sz w:val="24"/>
          <w:szCs w:val="24"/>
        </w:rPr>
        <w:t xml:space="preserve"> shows the results for the Granger Causality Wald Tests.</w:t>
      </w:r>
    </w:p>
    <w:tbl>
      <w:tblPr>
        <w:tblW w:w="5075" w:type="pct"/>
        <w:tblLook w:val="0000" w:firstRow="0" w:lastRow="0" w:firstColumn="0" w:lastColumn="0" w:noHBand="0" w:noVBand="0"/>
      </w:tblPr>
      <w:tblGrid>
        <w:gridCol w:w="9541"/>
      </w:tblGrid>
      <w:tr w:rsidR="0036573A" w:rsidRPr="0036573A" w14:paraId="5F1CF301" w14:textId="77777777" w:rsidTr="000574B1">
        <w:trPr>
          <w:trHeight w:val="445"/>
        </w:trPr>
        <w:tc>
          <w:tcPr>
            <w:tcW w:w="5000" w:type="pct"/>
            <w:tcBorders>
              <w:top w:val="nil"/>
              <w:left w:val="nil"/>
              <w:bottom w:val="single" w:sz="4" w:space="0" w:color="auto"/>
              <w:right w:val="nil"/>
            </w:tcBorders>
          </w:tcPr>
          <w:p w14:paraId="478A953A" w14:textId="65AAC6D1" w:rsidR="0036573A" w:rsidRPr="0036573A" w:rsidRDefault="0036573A" w:rsidP="0036573A">
            <w:pPr>
              <w:widowControl w:val="0"/>
              <w:autoSpaceDE w:val="0"/>
              <w:autoSpaceDN w:val="0"/>
              <w:adjustRightInd w:val="0"/>
              <w:spacing w:line="240" w:lineRule="auto"/>
              <w:rPr>
                <w:rFonts w:ascii="Garamond" w:eastAsia="Times New Roman" w:hAnsi="Garamond" w:cs="Calibri"/>
                <w:b/>
                <w:bCs/>
                <w:sz w:val="28"/>
                <w:szCs w:val="28"/>
                <w:lang w:val="en-US"/>
              </w:rPr>
            </w:pPr>
            <w:bookmarkStart w:id="8" w:name="_Hlk70934271"/>
          </w:p>
          <w:p w14:paraId="2A8B9D60" w14:textId="6BE3A77F" w:rsidR="0036573A" w:rsidRPr="0036573A" w:rsidRDefault="00746FAE" w:rsidP="0036573A">
            <w:pPr>
              <w:widowControl w:val="0"/>
              <w:autoSpaceDE w:val="0"/>
              <w:autoSpaceDN w:val="0"/>
              <w:adjustRightInd w:val="0"/>
              <w:spacing w:line="240" w:lineRule="auto"/>
              <w:rPr>
                <w:rFonts w:ascii="Garamond" w:eastAsia="Times New Roman" w:hAnsi="Garamond" w:cs="Calibri"/>
                <w:sz w:val="28"/>
                <w:szCs w:val="28"/>
                <w:lang w:val="en-US"/>
              </w:rPr>
            </w:pPr>
            <w:r w:rsidRPr="00746FAE">
              <w:rPr>
                <w:rFonts w:ascii="Garamond" w:eastAsia="Times New Roman" w:hAnsi="Garamond" w:cs="Calibri"/>
                <w:b/>
                <w:sz w:val="28"/>
                <w:szCs w:val="28"/>
                <w:lang w:val="en-US"/>
              </w:rPr>
              <w:t>Table 2:</w:t>
            </w:r>
            <w:r>
              <w:rPr>
                <w:rFonts w:ascii="Garamond" w:eastAsia="Times New Roman" w:hAnsi="Garamond" w:cs="Calibri"/>
                <w:bCs/>
                <w:sz w:val="28"/>
                <w:szCs w:val="28"/>
                <w:lang w:val="en-US"/>
              </w:rPr>
              <w:t xml:space="preserve"> </w:t>
            </w:r>
            <w:r w:rsidR="001D2D34" w:rsidRPr="00746FAE">
              <w:rPr>
                <w:rFonts w:ascii="Garamond" w:eastAsia="Times New Roman" w:hAnsi="Garamond" w:cs="Calibri"/>
                <w:b/>
                <w:sz w:val="28"/>
                <w:szCs w:val="28"/>
                <w:lang w:val="en-US"/>
              </w:rPr>
              <w:t>Granger Causality Tests</w:t>
            </w:r>
          </w:p>
          <w:tbl>
            <w:tblPr>
              <w:tblW w:w="9323" w:type="dxa"/>
              <w:tblInd w:w="2" w:type="dxa"/>
              <w:tblLook w:val="0000" w:firstRow="0" w:lastRow="0" w:firstColumn="0" w:lastColumn="0" w:noHBand="0" w:noVBand="0"/>
            </w:tblPr>
            <w:tblGrid>
              <w:gridCol w:w="2705"/>
              <w:gridCol w:w="1602"/>
              <w:gridCol w:w="1665"/>
              <w:gridCol w:w="1665"/>
              <w:gridCol w:w="1686"/>
            </w:tblGrid>
            <w:tr w:rsidR="0036573A" w:rsidRPr="0036573A" w14:paraId="0577840A" w14:textId="77777777" w:rsidTr="00746FAE">
              <w:trPr>
                <w:trHeight w:val="317"/>
              </w:trPr>
              <w:tc>
                <w:tcPr>
                  <w:tcW w:w="1451" w:type="pct"/>
                  <w:tcBorders>
                    <w:top w:val="single" w:sz="4" w:space="0" w:color="auto"/>
                    <w:left w:val="nil"/>
                    <w:bottom w:val="nil"/>
                    <w:right w:val="nil"/>
                  </w:tcBorders>
                </w:tcPr>
                <w:p w14:paraId="49213468" w14:textId="77777777" w:rsidR="0036573A" w:rsidRPr="0036573A" w:rsidRDefault="0036573A" w:rsidP="0036573A">
                  <w:pPr>
                    <w:widowControl w:val="0"/>
                    <w:autoSpaceDE w:val="0"/>
                    <w:autoSpaceDN w:val="0"/>
                    <w:adjustRightInd w:val="0"/>
                    <w:spacing w:line="240" w:lineRule="auto"/>
                    <w:rPr>
                      <w:rFonts w:ascii="Garamond" w:eastAsia="Times New Roman" w:hAnsi="Garamond" w:cs="Calibri"/>
                      <w:b/>
                      <w:bCs/>
                      <w:sz w:val="24"/>
                      <w:szCs w:val="24"/>
                      <w:lang w:val="en-US"/>
                    </w:rPr>
                  </w:pPr>
                  <w:r w:rsidRPr="0036573A">
                    <w:rPr>
                      <w:rFonts w:ascii="Garamond" w:eastAsia="Times New Roman" w:hAnsi="Garamond" w:cs="Calibri"/>
                      <w:b/>
                      <w:bCs/>
                      <w:sz w:val="24"/>
                      <w:szCs w:val="24"/>
                      <w:lang w:val="en-US"/>
                    </w:rPr>
                    <w:t xml:space="preserve">Specifications   </w:t>
                  </w:r>
                </w:p>
              </w:tc>
              <w:tc>
                <w:tcPr>
                  <w:tcW w:w="859" w:type="pct"/>
                  <w:tcBorders>
                    <w:top w:val="single" w:sz="4" w:space="0" w:color="auto"/>
                    <w:left w:val="nil"/>
                    <w:bottom w:val="nil"/>
                    <w:right w:val="nil"/>
                  </w:tcBorders>
                </w:tcPr>
                <w:p w14:paraId="19E44D07" w14:textId="77777777" w:rsidR="0036573A" w:rsidRPr="0036573A" w:rsidRDefault="0036573A" w:rsidP="0036573A">
                  <w:pPr>
                    <w:widowControl w:val="0"/>
                    <w:autoSpaceDE w:val="0"/>
                    <w:autoSpaceDN w:val="0"/>
                    <w:adjustRightInd w:val="0"/>
                    <w:spacing w:line="240" w:lineRule="auto"/>
                    <w:jc w:val="center"/>
                    <w:rPr>
                      <w:rFonts w:ascii="Garamond" w:eastAsia="Times New Roman" w:hAnsi="Garamond" w:cs="Calibri"/>
                      <w:sz w:val="20"/>
                      <w:szCs w:val="20"/>
                      <w:lang w:val="en-US"/>
                    </w:rPr>
                  </w:pPr>
                  <w:r w:rsidRPr="0036573A">
                    <w:rPr>
                      <w:rFonts w:ascii="Garamond" w:eastAsia="Times New Roman" w:hAnsi="Garamond" w:cs="Calibri"/>
                      <w:sz w:val="20"/>
                      <w:szCs w:val="20"/>
                      <w:lang w:val="en-US"/>
                    </w:rPr>
                    <w:t xml:space="preserve">  (1)</w:t>
                  </w:r>
                </w:p>
              </w:tc>
              <w:tc>
                <w:tcPr>
                  <w:tcW w:w="893" w:type="pct"/>
                  <w:tcBorders>
                    <w:top w:val="single" w:sz="4" w:space="0" w:color="auto"/>
                    <w:left w:val="nil"/>
                    <w:bottom w:val="nil"/>
                    <w:right w:val="nil"/>
                  </w:tcBorders>
                </w:tcPr>
                <w:p w14:paraId="666BD7D0" w14:textId="77777777" w:rsidR="0036573A" w:rsidRPr="0036573A" w:rsidRDefault="0036573A" w:rsidP="0036573A">
                  <w:pPr>
                    <w:widowControl w:val="0"/>
                    <w:autoSpaceDE w:val="0"/>
                    <w:autoSpaceDN w:val="0"/>
                    <w:adjustRightInd w:val="0"/>
                    <w:spacing w:line="240" w:lineRule="auto"/>
                    <w:jc w:val="center"/>
                    <w:rPr>
                      <w:rFonts w:ascii="Garamond" w:eastAsia="Times New Roman" w:hAnsi="Garamond" w:cs="Calibri"/>
                      <w:sz w:val="20"/>
                      <w:szCs w:val="20"/>
                      <w:lang w:val="en-US"/>
                    </w:rPr>
                  </w:pPr>
                  <w:r w:rsidRPr="0036573A">
                    <w:rPr>
                      <w:rFonts w:ascii="Garamond" w:eastAsia="Times New Roman" w:hAnsi="Garamond" w:cs="Calibri"/>
                      <w:sz w:val="20"/>
                      <w:szCs w:val="20"/>
                      <w:lang w:val="en-US"/>
                    </w:rPr>
                    <w:t xml:space="preserve">  (2)</w:t>
                  </w:r>
                </w:p>
              </w:tc>
              <w:tc>
                <w:tcPr>
                  <w:tcW w:w="893" w:type="pct"/>
                  <w:tcBorders>
                    <w:top w:val="single" w:sz="4" w:space="0" w:color="auto"/>
                    <w:left w:val="nil"/>
                    <w:bottom w:val="nil"/>
                    <w:right w:val="nil"/>
                  </w:tcBorders>
                </w:tcPr>
                <w:p w14:paraId="52433156" w14:textId="77777777" w:rsidR="0036573A" w:rsidRPr="0036573A" w:rsidRDefault="0036573A" w:rsidP="0036573A">
                  <w:pPr>
                    <w:widowControl w:val="0"/>
                    <w:autoSpaceDE w:val="0"/>
                    <w:autoSpaceDN w:val="0"/>
                    <w:adjustRightInd w:val="0"/>
                    <w:spacing w:line="240" w:lineRule="auto"/>
                    <w:jc w:val="center"/>
                    <w:rPr>
                      <w:rFonts w:ascii="Garamond" w:eastAsia="Times New Roman" w:hAnsi="Garamond" w:cs="Calibri"/>
                      <w:sz w:val="20"/>
                      <w:szCs w:val="20"/>
                      <w:lang w:val="en-US"/>
                    </w:rPr>
                  </w:pPr>
                  <w:r w:rsidRPr="0036573A">
                    <w:rPr>
                      <w:rFonts w:ascii="Garamond" w:eastAsia="Times New Roman" w:hAnsi="Garamond" w:cs="Calibri"/>
                      <w:sz w:val="20"/>
                      <w:szCs w:val="20"/>
                      <w:lang w:val="en-US"/>
                    </w:rPr>
                    <w:t xml:space="preserve">  (3)</w:t>
                  </w:r>
                </w:p>
              </w:tc>
              <w:tc>
                <w:tcPr>
                  <w:tcW w:w="902" w:type="pct"/>
                  <w:tcBorders>
                    <w:top w:val="single" w:sz="4" w:space="0" w:color="auto"/>
                    <w:left w:val="nil"/>
                    <w:bottom w:val="nil"/>
                    <w:right w:val="nil"/>
                  </w:tcBorders>
                </w:tcPr>
                <w:p w14:paraId="76C883DC" w14:textId="77777777" w:rsidR="0036573A" w:rsidRPr="0036573A" w:rsidRDefault="0036573A" w:rsidP="0036573A">
                  <w:pPr>
                    <w:widowControl w:val="0"/>
                    <w:autoSpaceDE w:val="0"/>
                    <w:autoSpaceDN w:val="0"/>
                    <w:adjustRightInd w:val="0"/>
                    <w:spacing w:line="240" w:lineRule="auto"/>
                    <w:jc w:val="center"/>
                    <w:rPr>
                      <w:rFonts w:ascii="Garamond" w:eastAsia="Times New Roman" w:hAnsi="Garamond" w:cs="Calibri"/>
                      <w:sz w:val="20"/>
                      <w:szCs w:val="20"/>
                      <w:lang w:val="en-US"/>
                    </w:rPr>
                  </w:pPr>
                  <w:r w:rsidRPr="0036573A">
                    <w:rPr>
                      <w:rFonts w:ascii="Garamond" w:eastAsia="Times New Roman" w:hAnsi="Garamond" w:cs="Calibri"/>
                      <w:sz w:val="20"/>
                      <w:szCs w:val="20"/>
                      <w:lang w:val="en-US"/>
                    </w:rPr>
                    <w:t xml:space="preserve">  (4)</w:t>
                  </w:r>
                </w:p>
              </w:tc>
            </w:tr>
            <w:tr w:rsidR="0036573A" w:rsidRPr="0036573A" w14:paraId="54D12E6B" w14:textId="77777777" w:rsidTr="00746FAE">
              <w:trPr>
                <w:trHeight w:val="362"/>
              </w:trPr>
              <w:tc>
                <w:tcPr>
                  <w:tcW w:w="1451" w:type="pct"/>
                  <w:tcBorders>
                    <w:top w:val="nil"/>
                    <w:left w:val="nil"/>
                    <w:bottom w:val="single" w:sz="10" w:space="0" w:color="auto"/>
                    <w:right w:val="nil"/>
                  </w:tcBorders>
                </w:tcPr>
                <w:p w14:paraId="55112383" w14:textId="656B81C3" w:rsidR="0036573A" w:rsidRPr="0036573A" w:rsidRDefault="00746FAE" w:rsidP="001D2D34">
                  <w:pPr>
                    <w:widowControl w:val="0"/>
                    <w:autoSpaceDE w:val="0"/>
                    <w:autoSpaceDN w:val="0"/>
                    <w:adjustRightInd w:val="0"/>
                    <w:spacing w:line="240" w:lineRule="auto"/>
                    <w:rPr>
                      <w:rFonts w:ascii="Garamond" w:eastAsia="Times New Roman" w:hAnsi="Garamond" w:cs="Calibri"/>
                      <w:sz w:val="20"/>
                      <w:szCs w:val="20"/>
                      <w:lang w:val="en-US"/>
                    </w:rPr>
                  </w:pPr>
                  <w:r>
                    <w:rPr>
                      <w:rFonts w:ascii="Garamond" w:eastAsia="Times New Roman" w:hAnsi="Garamond" w:cs="Calibri"/>
                      <w:sz w:val="20"/>
                      <w:szCs w:val="20"/>
                      <w:lang w:val="en-US"/>
                    </w:rPr>
                    <w:t xml:space="preserve">       </w:t>
                  </w:r>
                  <w:r w:rsidR="001D2D34">
                    <w:rPr>
                      <w:rFonts w:ascii="Garamond" w:eastAsia="Times New Roman" w:hAnsi="Garamond" w:cs="Calibri"/>
                      <w:sz w:val="20"/>
                      <w:szCs w:val="20"/>
                      <w:lang w:val="en-US"/>
                    </w:rPr>
                    <w:t>VAR(p)</w:t>
                  </w:r>
                  <w:r w:rsidR="0036573A" w:rsidRPr="0036573A">
                    <w:rPr>
                      <w:rFonts w:ascii="Garamond" w:eastAsia="Times New Roman" w:hAnsi="Garamond" w:cs="Calibri"/>
                      <w:sz w:val="20"/>
                      <w:szCs w:val="20"/>
                      <w:lang w:val="en-US"/>
                    </w:rPr>
                    <w:t xml:space="preserve">   </w:t>
                  </w:r>
                </w:p>
              </w:tc>
              <w:tc>
                <w:tcPr>
                  <w:tcW w:w="859" w:type="pct"/>
                  <w:tcBorders>
                    <w:top w:val="nil"/>
                    <w:left w:val="nil"/>
                    <w:bottom w:val="single" w:sz="10" w:space="0" w:color="auto"/>
                    <w:right w:val="nil"/>
                  </w:tcBorders>
                </w:tcPr>
                <w:p w14:paraId="0D8C350E" w14:textId="7B79CDD3" w:rsidR="0036573A" w:rsidRPr="0036573A" w:rsidRDefault="0036573A" w:rsidP="0036573A">
                  <w:pPr>
                    <w:widowControl w:val="0"/>
                    <w:autoSpaceDE w:val="0"/>
                    <w:autoSpaceDN w:val="0"/>
                    <w:adjustRightInd w:val="0"/>
                    <w:spacing w:line="240" w:lineRule="auto"/>
                    <w:jc w:val="center"/>
                    <w:rPr>
                      <w:rFonts w:ascii="Garamond" w:eastAsia="Times New Roman" w:hAnsi="Garamond" w:cs="Calibri"/>
                      <w:sz w:val="20"/>
                      <w:szCs w:val="20"/>
                      <w:lang w:val="en-US"/>
                    </w:rPr>
                  </w:pPr>
                  <w:r w:rsidRPr="0036573A">
                    <w:rPr>
                      <w:rFonts w:ascii="Garamond" w:eastAsia="Times New Roman" w:hAnsi="Garamond" w:cs="Calibri"/>
                      <w:sz w:val="20"/>
                      <w:szCs w:val="20"/>
                      <w:lang w:val="en-US"/>
                    </w:rPr>
                    <w:t xml:space="preserve">   </w:t>
                  </w:r>
                  <w:r w:rsidR="001D2D34">
                    <w:rPr>
                      <w:rFonts w:ascii="Garamond" w:eastAsia="Times New Roman" w:hAnsi="Garamond" w:cs="Calibri"/>
                      <w:sz w:val="20"/>
                      <w:szCs w:val="20"/>
                      <w:lang w:val="en-US"/>
                    </w:rPr>
                    <w:t>p=5</w:t>
                  </w:r>
                </w:p>
              </w:tc>
              <w:tc>
                <w:tcPr>
                  <w:tcW w:w="893" w:type="pct"/>
                  <w:tcBorders>
                    <w:top w:val="nil"/>
                    <w:left w:val="nil"/>
                    <w:bottom w:val="single" w:sz="10" w:space="0" w:color="auto"/>
                    <w:right w:val="nil"/>
                  </w:tcBorders>
                </w:tcPr>
                <w:p w14:paraId="56DC131B" w14:textId="6D560CEB" w:rsidR="0036573A" w:rsidRPr="0036573A" w:rsidRDefault="0036573A" w:rsidP="0036573A">
                  <w:pPr>
                    <w:widowControl w:val="0"/>
                    <w:autoSpaceDE w:val="0"/>
                    <w:autoSpaceDN w:val="0"/>
                    <w:adjustRightInd w:val="0"/>
                    <w:spacing w:line="240" w:lineRule="auto"/>
                    <w:jc w:val="center"/>
                    <w:rPr>
                      <w:rFonts w:ascii="Garamond" w:eastAsia="Times New Roman" w:hAnsi="Garamond" w:cs="Calibri"/>
                      <w:sz w:val="20"/>
                      <w:szCs w:val="20"/>
                      <w:lang w:val="en-US"/>
                    </w:rPr>
                  </w:pPr>
                  <w:r w:rsidRPr="0036573A">
                    <w:rPr>
                      <w:rFonts w:ascii="Garamond" w:eastAsia="Times New Roman" w:hAnsi="Garamond" w:cs="Calibri"/>
                      <w:sz w:val="20"/>
                      <w:szCs w:val="20"/>
                      <w:lang w:val="en-US"/>
                    </w:rPr>
                    <w:t xml:space="preserve"> </w:t>
                  </w:r>
                  <w:r w:rsidR="001D2D34">
                    <w:rPr>
                      <w:rFonts w:ascii="Garamond" w:eastAsia="Times New Roman" w:hAnsi="Garamond" w:cs="Calibri"/>
                      <w:sz w:val="20"/>
                      <w:szCs w:val="20"/>
                      <w:lang w:val="en-US"/>
                    </w:rPr>
                    <w:t>p=10</w:t>
                  </w:r>
                </w:p>
              </w:tc>
              <w:tc>
                <w:tcPr>
                  <w:tcW w:w="893" w:type="pct"/>
                  <w:tcBorders>
                    <w:top w:val="nil"/>
                    <w:left w:val="nil"/>
                    <w:bottom w:val="single" w:sz="10" w:space="0" w:color="auto"/>
                    <w:right w:val="nil"/>
                  </w:tcBorders>
                </w:tcPr>
                <w:p w14:paraId="53D5D56A" w14:textId="765EEA2E" w:rsidR="0036573A" w:rsidRPr="0036573A" w:rsidRDefault="0036573A" w:rsidP="0036573A">
                  <w:pPr>
                    <w:widowControl w:val="0"/>
                    <w:autoSpaceDE w:val="0"/>
                    <w:autoSpaceDN w:val="0"/>
                    <w:adjustRightInd w:val="0"/>
                    <w:spacing w:line="240" w:lineRule="auto"/>
                    <w:jc w:val="center"/>
                    <w:rPr>
                      <w:rFonts w:ascii="Garamond" w:eastAsia="Times New Roman" w:hAnsi="Garamond" w:cs="Calibri"/>
                      <w:sz w:val="20"/>
                      <w:szCs w:val="20"/>
                      <w:lang w:val="en-US"/>
                    </w:rPr>
                  </w:pPr>
                  <w:r w:rsidRPr="0036573A">
                    <w:rPr>
                      <w:rFonts w:ascii="Garamond" w:eastAsia="Times New Roman" w:hAnsi="Garamond" w:cs="Calibri"/>
                      <w:sz w:val="20"/>
                      <w:szCs w:val="20"/>
                      <w:lang w:val="en-US"/>
                    </w:rPr>
                    <w:t xml:space="preserve">  </w:t>
                  </w:r>
                  <w:r w:rsidR="001D2D34">
                    <w:rPr>
                      <w:rFonts w:ascii="Garamond" w:eastAsia="Times New Roman" w:hAnsi="Garamond" w:cs="Calibri"/>
                      <w:sz w:val="20"/>
                      <w:szCs w:val="20"/>
                      <w:lang w:val="en-US"/>
                    </w:rPr>
                    <w:t>p=15</w:t>
                  </w:r>
                </w:p>
              </w:tc>
              <w:tc>
                <w:tcPr>
                  <w:tcW w:w="902" w:type="pct"/>
                  <w:tcBorders>
                    <w:top w:val="nil"/>
                    <w:left w:val="nil"/>
                    <w:bottom w:val="single" w:sz="10" w:space="0" w:color="auto"/>
                    <w:right w:val="nil"/>
                  </w:tcBorders>
                </w:tcPr>
                <w:p w14:paraId="4D691ED8" w14:textId="7C5EA9C9" w:rsidR="0036573A" w:rsidRPr="0036573A" w:rsidRDefault="0036573A" w:rsidP="0036573A">
                  <w:pPr>
                    <w:widowControl w:val="0"/>
                    <w:autoSpaceDE w:val="0"/>
                    <w:autoSpaceDN w:val="0"/>
                    <w:adjustRightInd w:val="0"/>
                    <w:spacing w:line="240" w:lineRule="auto"/>
                    <w:jc w:val="center"/>
                    <w:rPr>
                      <w:rFonts w:ascii="Garamond" w:eastAsia="Times New Roman" w:hAnsi="Garamond" w:cs="Calibri"/>
                      <w:sz w:val="20"/>
                      <w:szCs w:val="20"/>
                      <w:lang w:val="en-US"/>
                    </w:rPr>
                  </w:pPr>
                  <w:r w:rsidRPr="0036573A">
                    <w:rPr>
                      <w:rFonts w:ascii="Garamond" w:eastAsia="Times New Roman" w:hAnsi="Garamond" w:cs="Calibri"/>
                      <w:sz w:val="20"/>
                      <w:szCs w:val="20"/>
                      <w:lang w:val="en-US"/>
                    </w:rPr>
                    <w:t xml:space="preserve">   </w:t>
                  </w:r>
                  <w:r w:rsidR="001D2D34">
                    <w:rPr>
                      <w:rFonts w:ascii="Garamond" w:eastAsia="Times New Roman" w:hAnsi="Garamond" w:cs="Calibri"/>
                      <w:sz w:val="20"/>
                      <w:szCs w:val="20"/>
                      <w:lang w:val="en-US"/>
                    </w:rPr>
                    <w:t>p=20</w:t>
                  </w:r>
                  <w:r w:rsidRPr="0036573A">
                    <w:rPr>
                      <w:rFonts w:ascii="Garamond" w:eastAsia="Times New Roman" w:hAnsi="Garamond" w:cs="Calibri"/>
                      <w:sz w:val="20"/>
                      <w:szCs w:val="20"/>
                      <w:lang w:val="en-US"/>
                    </w:rPr>
                    <w:t xml:space="preserve">   </w:t>
                  </w:r>
                </w:p>
              </w:tc>
            </w:tr>
            <w:tr w:rsidR="0036573A" w:rsidRPr="0036573A" w14:paraId="1265978A" w14:textId="77777777" w:rsidTr="00746FAE">
              <w:trPr>
                <w:trHeight w:val="359"/>
              </w:trPr>
              <w:tc>
                <w:tcPr>
                  <w:tcW w:w="1451" w:type="pct"/>
                  <w:tcBorders>
                    <w:top w:val="nil"/>
                    <w:left w:val="nil"/>
                    <w:bottom w:val="nil"/>
                    <w:right w:val="nil"/>
                  </w:tcBorders>
                </w:tcPr>
                <w:p w14:paraId="77EE9290" w14:textId="47708C7C" w:rsidR="0036573A" w:rsidRPr="0036573A" w:rsidRDefault="001D2D34" w:rsidP="0036573A">
                  <w:pPr>
                    <w:widowControl w:val="0"/>
                    <w:autoSpaceDE w:val="0"/>
                    <w:autoSpaceDN w:val="0"/>
                    <w:adjustRightInd w:val="0"/>
                    <w:rPr>
                      <w:rFonts w:ascii="Garamond" w:eastAsia="Times New Roman" w:hAnsi="Garamond" w:cs="Calibri"/>
                      <w:b/>
                      <w:bCs/>
                      <w:sz w:val="24"/>
                      <w:szCs w:val="24"/>
                      <w:lang w:val="en-US"/>
                    </w:rPr>
                  </w:pPr>
                  <w:r w:rsidRPr="00746FAE">
                    <w:rPr>
                      <w:rFonts w:ascii="Garamond" w:eastAsia="Times New Roman" w:hAnsi="Garamond" w:cs="Calibri"/>
                      <w:b/>
                      <w:bCs/>
                      <w:sz w:val="24"/>
                      <w:szCs w:val="24"/>
                      <w:lang w:val="en-US"/>
                    </w:rPr>
                    <w:t>S&amp;P 500</w:t>
                  </w:r>
                  <w:r w:rsidR="0036573A" w:rsidRPr="0036573A">
                    <w:rPr>
                      <w:rFonts w:ascii="Garamond" w:eastAsia="Times New Roman" w:hAnsi="Garamond" w:cs="Calibri"/>
                      <w:b/>
                      <w:bCs/>
                      <w:sz w:val="24"/>
                      <w:szCs w:val="24"/>
                      <w:lang w:val="en-US"/>
                    </w:rPr>
                    <w:t xml:space="preserve">        </w:t>
                  </w:r>
                </w:p>
                <w:p w14:paraId="16799A66" w14:textId="70B6239E" w:rsidR="0036573A" w:rsidRPr="0036573A" w:rsidRDefault="0036573A" w:rsidP="0036573A">
                  <w:pPr>
                    <w:widowControl w:val="0"/>
                    <w:autoSpaceDE w:val="0"/>
                    <w:autoSpaceDN w:val="0"/>
                    <w:adjustRightInd w:val="0"/>
                    <w:rPr>
                      <w:rFonts w:ascii="Garamond" w:eastAsia="Times New Roman" w:hAnsi="Garamond" w:cs="Calibri"/>
                      <w:sz w:val="20"/>
                      <w:szCs w:val="20"/>
                      <w:lang w:val="en-US"/>
                    </w:rPr>
                  </w:pPr>
                  <w:r w:rsidRPr="0036573A">
                    <w:rPr>
                      <w:rFonts w:ascii="Garamond" w:eastAsia="Times New Roman" w:hAnsi="Garamond" w:cs="Calibri"/>
                      <w:sz w:val="20"/>
                      <w:szCs w:val="20"/>
                      <w:lang w:val="en-US"/>
                    </w:rPr>
                    <w:t xml:space="preserve">                             </w:t>
                  </w:r>
                  <w:r w:rsidR="001D2D34">
                    <w:rPr>
                      <w:rFonts w:ascii="Garamond" w:eastAsia="Times New Roman" w:hAnsi="Garamond" w:cs="Calibri"/>
                      <w:sz w:val="20"/>
                      <w:szCs w:val="20"/>
                      <w:lang w:val="en-US"/>
                    </w:rPr>
                    <w:t>Chi-Square</w:t>
                  </w:r>
                </w:p>
              </w:tc>
              <w:tc>
                <w:tcPr>
                  <w:tcW w:w="859" w:type="pct"/>
                  <w:tcBorders>
                    <w:top w:val="nil"/>
                    <w:left w:val="nil"/>
                    <w:bottom w:val="nil"/>
                    <w:right w:val="nil"/>
                  </w:tcBorders>
                </w:tcPr>
                <w:p w14:paraId="5224E6BD" w14:textId="77777777" w:rsidR="0036573A" w:rsidRPr="0036573A" w:rsidRDefault="0036573A" w:rsidP="0036573A">
                  <w:pPr>
                    <w:widowControl w:val="0"/>
                    <w:autoSpaceDE w:val="0"/>
                    <w:autoSpaceDN w:val="0"/>
                    <w:adjustRightInd w:val="0"/>
                    <w:jc w:val="center"/>
                    <w:rPr>
                      <w:rFonts w:ascii="Garamond" w:eastAsia="Times New Roman" w:hAnsi="Garamond" w:cs="Calibri"/>
                      <w:sz w:val="20"/>
                      <w:szCs w:val="20"/>
                      <w:lang w:val="en-US"/>
                    </w:rPr>
                  </w:pPr>
                </w:p>
                <w:p w14:paraId="6CB4B687" w14:textId="22CA83C2" w:rsidR="0036573A" w:rsidRPr="0036573A" w:rsidRDefault="001D2D34" w:rsidP="0036573A">
                  <w:pPr>
                    <w:widowControl w:val="0"/>
                    <w:autoSpaceDE w:val="0"/>
                    <w:autoSpaceDN w:val="0"/>
                    <w:adjustRightInd w:val="0"/>
                    <w:jc w:val="center"/>
                    <w:rPr>
                      <w:rFonts w:ascii="Garamond" w:eastAsia="Times New Roman" w:hAnsi="Garamond" w:cs="Calibri"/>
                      <w:sz w:val="20"/>
                      <w:szCs w:val="20"/>
                      <w:lang w:val="en-US"/>
                    </w:rPr>
                  </w:pPr>
                  <w:r>
                    <w:rPr>
                      <w:rFonts w:ascii="Garamond" w:eastAsia="Times New Roman" w:hAnsi="Garamond" w:cs="Calibri"/>
                      <w:sz w:val="20"/>
                      <w:szCs w:val="20"/>
                      <w:lang w:val="en-US"/>
                    </w:rPr>
                    <w:t>10.71</w:t>
                  </w:r>
                </w:p>
              </w:tc>
              <w:tc>
                <w:tcPr>
                  <w:tcW w:w="893" w:type="pct"/>
                  <w:tcBorders>
                    <w:top w:val="nil"/>
                    <w:left w:val="nil"/>
                    <w:bottom w:val="nil"/>
                    <w:right w:val="nil"/>
                  </w:tcBorders>
                </w:tcPr>
                <w:p w14:paraId="6BCB3906" w14:textId="77777777" w:rsidR="0036573A" w:rsidRPr="0036573A" w:rsidRDefault="0036573A" w:rsidP="0036573A">
                  <w:pPr>
                    <w:widowControl w:val="0"/>
                    <w:autoSpaceDE w:val="0"/>
                    <w:autoSpaceDN w:val="0"/>
                    <w:adjustRightInd w:val="0"/>
                    <w:jc w:val="center"/>
                    <w:rPr>
                      <w:rFonts w:ascii="Garamond" w:eastAsia="Times New Roman" w:hAnsi="Garamond" w:cs="Calibri"/>
                      <w:sz w:val="20"/>
                      <w:szCs w:val="20"/>
                      <w:lang w:val="en-US"/>
                    </w:rPr>
                  </w:pPr>
                </w:p>
                <w:p w14:paraId="6E578F3E" w14:textId="7F3AEB90" w:rsidR="0036573A" w:rsidRPr="0036573A" w:rsidRDefault="00746FAE" w:rsidP="0036573A">
                  <w:pPr>
                    <w:widowControl w:val="0"/>
                    <w:autoSpaceDE w:val="0"/>
                    <w:autoSpaceDN w:val="0"/>
                    <w:adjustRightInd w:val="0"/>
                    <w:jc w:val="center"/>
                    <w:rPr>
                      <w:rFonts w:ascii="Garamond" w:eastAsia="Times New Roman" w:hAnsi="Garamond" w:cs="Calibri"/>
                      <w:sz w:val="20"/>
                      <w:szCs w:val="20"/>
                      <w:lang w:val="en-US"/>
                    </w:rPr>
                  </w:pPr>
                  <w:r>
                    <w:rPr>
                      <w:rFonts w:ascii="Garamond" w:eastAsia="Times New Roman" w:hAnsi="Garamond" w:cs="Calibri"/>
                      <w:sz w:val="20"/>
                      <w:szCs w:val="20"/>
                      <w:lang w:val="en-US"/>
                    </w:rPr>
                    <w:t>21.75</w:t>
                  </w:r>
                </w:p>
              </w:tc>
              <w:tc>
                <w:tcPr>
                  <w:tcW w:w="893" w:type="pct"/>
                  <w:tcBorders>
                    <w:top w:val="nil"/>
                    <w:left w:val="nil"/>
                    <w:bottom w:val="nil"/>
                    <w:right w:val="nil"/>
                  </w:tcBorders>
                </w:tcPr>
                <w:p w14:paraId="301F254D" w14:textId="77777777" w:rsidR="0036573A" w:rsidRPr="0036573A" w:rsidRDefault="0036573A" w:rsidP="0036573A">
                  <w:pPr>
                    <w:widowControl w:val="0"/>
                    <w:autoSpaceDE w:val="0"/>
                    <w:autoSpaceDN w:val="0"/>
                    <w:adjustRightInd w:val="0"/>
                    <w:jc w:val="center"/>
                    <w:rPr>
                      <w:rFonts w:ascii="Garamond" w:eastAsia="Times New Roman" w:hAnsi="Garamond" w:cs="Calibri"/>
                      <w:sz w:val="20"/>
                      <w:szCs w:val="20"/>
                      <w:lang w:val="en-US"/>
                    </w:rPr>
                  </w:pPr>
                </w:p>
                <w:p w14:paraId="35E6C47A" w14:textId="756EF6B2" w:rsidR="0036573A" w:rsidRPr="0036573A" w:rsidRDefault="00746FAE" w:rsidP="0036573A">
                  <w:pPr>
                    <w:widowControl w:val="0"/>
                    <w:autoSpaceDE w:val="0"/>
                    <w:autoSpaceDN w:val="0"/>
                    <w:adjustRightInd w:val="0"/>
                    <w:jc w:val="center"/>
                    <w:rPr>
                      <w:rFonts w:ascii="Garamond" w:eastAsia="Times New Roman" w:hAnsi="Garamond" w:cs="Calibri"/>
                      <w:sz w:val="20"/>
                      <w:szCs w:val="20"/>
                      <w:lang w:val="en-US"/>
                    </w:rPr>
                  </w:pPr>
                  <w:r>
                    <w:rPr>
                      <w:rFonts w:ascii="Garamond" w:eastAsia="Times New Roman" w:hAnsi="Garamond" w:cs="Calibri"/>
                      <w:sz w:val="20"/>
                      <w:szCs w:val="20"/>
                      <w:lang w:val="en-US"/>
                    </w:rPr>
                    <w:t>30.89</w:t>
                  </w:r>
                </w:p>
              </w:tc>
              <w:tc>
                <w:tcPr>
                  <w:tcW w:w="902" w:type="pct"/>
                  <w:tcBorders>
                    <w:top w:val="nil"/>
                    <w:left w:val="nil"/>
                    <w:bottom w:val="nil"/>
                    <w:right w:val="nil"/>
                  </w:tcBorders>
                </w:tcPr>
                <w:p w14:paraId="710C5D6D" w14:textId="77777777" w:rsidR="0036573A" w:rsidRPr="0036573A" w:rsidRDefault="0036573A" w:rsidP="0036573A">
                  <w:pPr>
                    <w:widowControl w:val="0"/>
                    <w:autoSpaceDE w:val="0"/>
                    <w:autoSpaceDN w:val="0"/>
                    <w:adjustRightInd w:val="0"/>
                    <w:jc w:val="center"/>
                    <w:rPr>
                      <w:rFonts w:ascii="Garamond" w:eastAsia="Times New Roman" w:hAnsi="Garamond" w:cs="Calibri"/>
                      <w:sz w:val="20"/>
                      <w:szCs w:val="20"/>
                      <w:lang w:val="en-US"/>
                    </w:rPr>
                  </w:pPr>
                </w:p>
                <w:p w14:paraId="02690807" w14:textId="54474B86" w:rsidR="0036573A" w:rsidRPr="0036573A" w:rsidRDefault="00746FAE" w:rsidP="0036573A">
                  <w:pPr>
                    <w:widowControl w:val="0"/>
                    <w:autoSpaceDE w:val="0"/>
                    <w:autoSpaceDN w:val="0"/>
                    <w:adjustRightInd w:val="0"/>
                    <w:jc w:val="center"/>
                    <w:rPr>
                      <w:rFonts w:ascii="Garamond" w:eastAsia="Times New Roman" w:hAnsi="Garamond" w:cs="Calibri"/>
                      <w:sz w:val="20"/>
                      <w:szCs w:val="20"/>
                      <w:lang w:val="en-US"/>
                    </w:rPr>
                  </w:pPr>
                  <w:r>
                    <w:rPr>
                      <w:rFonts w:ascii="Garamond" w:eastAsia="Times New Roman" w:hAnsi="Garamond" w:cs="Calibri"/>
                      <w:sz w:val="20"/>
                      <w:szCs w:val="20"/>
                      <w:lang w:val="en-US"/>
                    </w:rPr>
                    <w:t>35.55</w:t>
                  </w:r>
                </w:p>
              </w:tc>
            </w:tr>
            <w:tr w:rsidR="0036573A" w:rsidRPr="0036573A" w14:paraId="5CCE5F18" w14:textId="77777777" w:rsidTr="00746FAE">
              <w:trPr>
                <w:trHeight w:val="413"/>
              </w:trPr>
              <w:tc>
                <w:tcPr>
                  <w:tcW w:w="1451" w:type="pct"/>
                  <w:tcBorders>
                    <w:top w:val="nil"/>
                    <w:left w:val="nil"/>
                    <w:bottom w:val="nil"/>
                    <w:right w:val="nil"/>
                  </w:tcBorders>
                </w:tcPr>
                <w:p w14:paraId="04E940DC" w14:textId="21CF6159" w:rsidR="0036573A" w:rsidRPr="0036573A" w:rsidRDefault="0036573A" w:rsidP="0036573A">
                  <w:pPr>
                    <w:widowControl w:val="0"/>
                    <w:autoSpaceDE w:val="0"/>
                    <w:autoSpaceDN w:val="0"/>
                    <w:adjustRightInd w:val="0"/>
                    <w:rPr>
                      <w:rFonts w:ascii="Garamond" w:eastAsia="Times New Roman" w:hAnsi="Garamond" w:cs="Calibri"/>
                      <w:sz w:val="20"/>
                      <w:szCs w:val="20"/>
                      <w:lang w:val="en-US"/>
                    </w:rPr>
                  </w:pPr>
                  <w:r w:rsidRPr="0036573A">
                    <w:rPr>
                      <w:rFonts w:ascii="Garamond" w:eastAsia="Times New Roman" w:hAnsi="Garamond" w:cs="Calibri"/>
                      <w:sz w:val="20"/>
                      <w:szCs w:val="20"/>
                      <w:lang w:val="en-US"/>
                    </w:rPr>
                    <w:t xml:space="preserve">                             </w:t>
                  </w:r>
                  <w:r w:rsidR="001D2D34">
                    <w:rPr>
                      <w:rFonts w:ascii="Garamond" w:eastAsia="Times New Roman" w:hAnsi="Garamond" w:cs="Calibri"/>
                      <w:sz w:val="20"/>
                      <w:szCs w:val="20"/>
                      <w:lang w:val="en-US"/>
                    </w:rPr>
                    <w:t>Pr &gt; ChiSq</w:t>
                  </w:r>
                  <w:r w:rsidRPr="0036573A">
                    <w:rPr>
                      <w:rFonts w:ascii="Garamond" w:eastAsia="Times New Roman" w:hAnsi="Garamond" w:cs="Calibri"/>
                      <w:sz w:val="20"/>
                      <w:szCs w:val="20"/>
                      <w:lang w:val="en-US"/>
                    </w:rPr>
                    <w:t xml:space="preserve">             </w:t>
                  </w:r>
                </w:p>
              </w:tc>
              <w:tc>
                <w:tcPr>
                  <w:tcW w:w="859" w:type="pct"/>
                  <w:tcBorders>
                    <w:top w:val="nil"/>
                    <w:left w:val="nil"/>
                    <w:bottom w:val="nil"/>
                    <w:right w:val="nil"/>
                  </w:tcBorders>
                </w:tcPr>
                <w:p w14:paraId="0369F764" w14:textId="412B89F0" w:rsidR="0036573A" w:rsidRPr="0036573A" w:rsidRDefault="00746FAE" w:rsidP="0036573A">
                  <w:pPr>
                    <w:widowControl w:val="0"/>
                    <w:autoSpaceDE w:val="0"/>
                    <w:autoSpaceDN w:val="0"/>
                    <w:adjustRightInd w:val="0"/>
                    <w:jc w:val="center"/>
                    <w:rPr>
                      <w:rFonts w:ascii="Garamond" w:eastAsia="Times New Roman" w:hAnsi="Garamond" w:cs="Calibri"/>
                      <w:sz w:val="20"/>
                      <w:szCs w:val="20"/>
                      <w:lang w:val="en-US"/>
                    </w:rPr>
                  </w:pPr>
                  <w:r>
                    <w:rPr>
                      <w:rFonts w:ascii="Garamond" w:eastAsia="Times New Roman" w:hAnsi="Garamond" w:cs="Calibri"/>
                      <w:sz w:val="20"/>
                      <w:szCs w:val="20"/>
                      <w:lang w:val="en-US"/>
                    </w:rPr>
                    <w:t xml:space="preserve">  </w:t>
                  </w:r>
                  <w:r w:rsidR="001D2D34">
                    <w:rPr>
                      <w:rFonts w:ascii="Garamond" w:eastAsia="Times New Roman" w:hAnsi="Garamond" w:cs="Calibri"/>
                      <w:sz w:val="20"/>
                      <w:szCs w:val="20"/>
                      <w:lang w:val="en-US"/>
                    </w:rPr>
                    <w:t>0.0575</w:t>
                  </w:r>
                  <w:r>
                    <w:rPr>
                      <w:rFonts w:ascii="Garamond" w:eastAsia="Times New Roman" w:hAnsi="Garamond" w:cs="Calibri"/>
                      <w:sz w:val="20"/>
                      <w:szCs w:val="20"/>
                      <w:lang w:val="en-US"/>
                    </w:rPr>
                    <w:t>*</w:t>
                  </w:r>
                </w:p>
                <w:p w14:paraId="1344650A" w14:textId="16814F66" w:rsidR="0036573A" w:rsidRPr="0036573A" w:rsidRDefault="0036573A" w:rsidP="0036573A">
                  <w:pPr>
                    <w:widowControl w:val="0"/>
                    <w:autoSpaceDE w:val="0"/>
                    <w:autoSpaceDN w:val="0"/>
                    <w:adjustRightInd w:val="0"/>
                    <w:rPr>
                      <w:rFonts w:ascii="Garamond" w:eastAsia="Times New Roman" w:hAnsi="Garamond" w:cs="Calibri"/>
                      <w:sz w:val="20"/>
                      <w:szCs w:val="20"/>
                      <w:lang w:val="en-US"/>
                    </w:rPr>
                  </w:pPr>
                  <w:r w:rsidRPr="0036573A">
                    <w:rPr>
                      <w:rFonts w:ascii="Garamond" w:eastAsia="Times New Roman" w:hAnsi="Garamond" w:cs="Calibri"/>
                      <w:sz w:val="20"/>
                      <w:szCs w:val="20"/>
                      <w:lang w:val="en-US"/>
                    </w:rPr>
                    <w:t xml:space="preserve"> </w:t>
                  </w:r>
                </w:p>
              </w:tc>
              <w:tc>
                <w:tcPr>
                  <w:tcW w:w="893" w:type="pct"/>
                  <w:tcBorders>
                    <w:top w:val="nil"/>
                    <w:left w:val="nil"/>
                    <w:bottom w:val="nil"/>
                    <w:right w:val="nil"/>
                  </w:tcBorders>
                </w:tcPr>
                <w:p w14:paraId="41E4DC77" w14:textId="3F6B9001" w:rsidR="0036573A" w:rsidRPr="0036573A" w:rsidRDefault="00746FAE" w:rsidP="0036573A">
                  <w:pPr>
                    <w:widowControl w:val="0"/>
                    <w:autoSpaceDE w:val="0"/>
                    <w:autoSpaceDN w:val="0"/>
                    <w:adjustRightInd w:val="0"/>
                    <w:jc w:val="center"/>
                    <w:rPr>
                      <w:rFonts w:ascii="Garamond" w:eastAsia="Times New Roman" w:hAnsi="Garamond" w:cs="Calibri"/>
                      <w:sz w:val="20"/>
                      <w:szCs w:val="20"/>
                      <w:lang w:val="en-US"/>
                    </w:rPr>
                  </w:pPr>
                  <w:r>
                    <w:rPr>
                      <w:rFonts w:ascii="Garamond" w:eastAsia="Times New Roman" w:hAnsi="Garamond" w:cs="Calibri"/>
                      <w:sz w:val="20"/>
                      <w:szCs w:val="20"/>
                      <w:lang w:val="en-US"/>
                    </w:rPr>
                    <w:t xml:space="preserve">  0.0164**</w:t>
                  </w:r>
                </w:p>
                <w:p w14:paraId="03EAA50A" w14:textId="79CFBE37" w:rsidR="0036573A" w:rsidRPr="0036573A" w:rsidRDefault="0036573A" w:rsidP="0036573A">
                  <w:pPr>
                    <w:widowControl w:val="0"/>
                    <w:autoSpaceDE w:val="0"/>
                    <w:autoSpaceDN w:val="0"/>
                    <w:adjustRightInd w:val="0"/>
                    <w:jc w:val="center"/>
                    <w:rPr>
                      <w:rFonts w:ascii="Garamond" w:eastAsia="Times New Roman" w:hAnsi="Garamond" w:cs="Calibri"/>
                      <w:sz w:val="20"/>
                      <w:szCs w:val="20"/>
                      <w:lang w:val="en-US"/>
                    </w:rPr>
                  </w:pPr>
                </w:p>
              </w:tc>
              <w:tc>
                <w:tcPr>
                  <w:tcW w:w="893" w:type="pct"/>
                  <w:tcBorders>
                    <w:top w:val="nil"/>
                    <w:left w:val="nil"/>
                    <w:bottom w:val="nil"/>
                    <w:right w:val="nil"/>
                  </w:tcBorders>
                </w:tcPr>
                <w:p w14:paraId="5BCA2202" w14:textId="7E41B2B6" w:rsidR="0036573A" w:rsidRPr="0036573A" w:rsidRDefault="00746FAE" w:rsidP="0036573A">
                  <w:pPr>
                    <w:widowControl w:val="0"/>
                    <w:autoSpaceDE w:val="0"/>
                    <w:autoSpaceDN w:val="0"/>
                    <w:adjustRightInd w:val="0"/>
                    <w:jc w:val="center"/>
                    <w:rPr>
                      <w:rFonts w:ascii="Garamond" w:eastAsia="Times New Roman" w:hAnsi="Garamond" w:cs="Calibri"/>
                      <w:sz w:val="20"/>
                      <w:szCs w:val="20"/>
                      <w:lang w:val="en-US"/>
                    </w:rPr>
                  </w:pPr>
                  <w:r>
                    <w:rPr>
                      <w:rFonts w:ascii="Garamond" w:eastAsia="Times New Roman" w:hAnsi="Garamond" w:cs="Calibri"/>
                      <w:sz w:val="20"/>
                      <w:szCs w:val="20"/>
                      <w:lang w:val="en-US"/>
                    </w:rPr>
                    <w:t xml:space="preserve">  0.0091***</w:t>
                  </w:r>
                </w:p>
                <w:p w14:paraId="74879B76" w14:textId="31C12CBB" w:rsidR="0036573A" w:rsidRPr="0036573A" w:rsidRDefault="0036573A" w:rsidP="0036573A">
                  <w:pPr>
                    <w:widowControl w:val="0"/>
                    <w:autoSpaceDE w:val="0"/>
                    <w:autoSpaceDN w:val="0"/>
                    <w:adjustRightInd w:val="0"/>
                    <w:jc w:val="center"/>
                    <w:rPr>
                      <w:rFonts w:ascii="Garamond" w:eastAsia="Times New Roman" w:hAnsi="Garamond" w:cs="Calibri"/>
                      <w:sz w:val="20"/>
                      <w:szCs w:val="20"/>
                      <w:lang w:val="en-US"/>
                    </w:rPr>
                  </w:pPr>
                </w:p>
              </w:tc>
              <w:tc>
                <w:tcPr>
                  <w:tcW w:w="902" w:type="pct"/>
                  <w:tcBorders>
                    <w:top w:val="nil"/>
                    <w:left w:val="nil"/>
                    <w:bottom w:val="nil"/>
                    <w:right w:val="nil"/>
                  </w:tcBorders>
                </w:tcPr>
                <w:p w14:paraId="1163FDEC" w14:textId="614300F3" w:rsidR="0036573A" w:rsidRPr="0036573A" w:rsidRDefault="00746FAE" w:rsidP="0036573A">
                  <w:pPr>
                    <w:widowControl w:val="0"/>
                    <w:autoSpaceDE w:val="0"/>
                    <w:autoSpaceDN w:val="0"/>
                    <w:adjustRightInd w:val="0"/>
                    <w:jc w:val="center"/>
                    <w:rPr>
                      <w:rFonts w:ascii="Garamond" w:eastAsia="Times New Roman" w:hAnsi="Garamond" w:cs="Calibri"/>
                      <w:sz w:val="20"/>
                      <w:szCs w:val="20"/>
                      <w:lang w:val="en-US"/>
                    </w:rPr>
                  </w:pPr>
                  <w:r>
                    <w:rPr>
                      <w:rFonts w:ascii="Garamond" w:eastAsia="Times New Roman" w:hAnsi="Garamond" w:cs="Calibri"/>
                      <w:sz w:val="20"/>
                      <w:szCs w:val="20"/>
                      <w:lang w:val="en-US"/>
                    </w:rPr>
                    <w:t xml:space="preserve">  0.0174**</w:t>
                  </w:r>
                </w:p>
                <w:p w14:paraId="44110A8B" w14:textId="5ADDD960" w:rsidR="0036573A" w:rsidRPr="0036573A" w:rsidRDefault="0036573A" w:rsidP="0036573A">
                  <w:pPr>
                    <w:widowControl w:val="0"/>
                    <w:autoSpaceDE w:val="0"/>
                    <w:autoSpaceDN w:val="0"/>
                    <w:adjustRightInd w:val="0"/>
                    <w:jc w:val="center"/>
                    <w:rPr>
                      <w:rFonts w:ascii="Garamond" w:eastAsia="Times New Roman" w:hAnsi="Garamond" w:cs="Calibri"/>
                      <w:sz w:val="20"/>
                      <w:szCs w:val="20"/>
                      <w:lang w:val="en-US"/>
                    </w:rPr>
                  </w:pPr>
                </w:p>
              </w:tc>
            </w:tr>
            <w:tr w:rsidR="0036573A" w:rsidRPr="0036573A" w14:paraId="6653BDCD" w14:textId="77777777" w:rsidTr="00746FAE">
              <w:trPr>
                <w:trHeight w:val="302"/>
              </w:trPr>
              <w:tc>
                <w:tcPr>
                  <w:tcW w:w="1451" w:type="pct"/>
                  <w:tcBorders>
                    <w:top w:val="nil"/>
                    <w:left w:val="nil"/>
                    <w:bottom w:val="nil"/>
                    <w:right w:val="nil"/>
                  </w:tcBorders>
                </w:tcPr>
                <w:p w14:paraId="74230B6F" w14:textId="72AB0CB3" w:rsidR="0036573A" w:rsidRPr="0036573A" w:rsidRDefault="0036573A" w:rsidP="0036573A">
                  <w:pPr>
                    <w:widowControl w:val="0"/>
                    <w:autoSpaceDE w:val="0"/>
                    <w:autoSpaceDN w:val="0"/>
                    <w:adjustRightInd w:val="0"/>
                    <w:rPr>
                      <w:rFonts w:ascii="Garamond" w:eastAsia="Times New Roman" w:hAnsi="Garamond" w:cs="Calibri"/>
                      <w:b/>
                      <w:bCs/>
                      <w:sz w:val="24"/>
                      <w:szCs w:val="24"/>
                      <w:lang w:val="en-US"/>
                    </w:rPr>
                  </w:pPr>
                  <w:r w:rsidRPr="0036573A">
                    <w:rPr>
                      <w:rFonts w:ascii="Garamond" w:eastAsia="Times New Roman" w:hAnsi="Garamond" w:cs="Calibri"/>
                      <w:sz w:val="20"/>
                      <w:szCs w:val="20"/>
                      <w:lang w:val="en-US"/>
                    </w:rPr>
                    <w:t xml:space="preserve"> </w:t>
                  </w:r>
                  <w:r w:rsidR="001D2D34" w:rsidRPr="00746FAE">
                    <w:rPr>
                      <w:rFonts w:ascii="Garamond" w:eastAsia="Times New Roman" w:hAnsi="Garamond" w:cs="Calibri"/>
                      <w:b/>
                      <w:bCs/>
                      <w:sz w:val="24"/>
                      <w:szCs w:val="24"/>
                      <w:lang w:val="en-US"/>
                    </w:rPr>
                    <w:t>Nasdaq</w:t>
                  </w:r>
                  <w:r w:rsidRPr="0036573A">
                    <w:rPr>
                      <w:rFonts w:ascii="Garamond" w:eastAsia="Times New Roman" w:hAnsi="Garamond" w:cs="Calibri"/>
                      <w:b/>
                      <w:bCs/>
                      <w:sz w:val="24"/>
                      <w:szCs w:val="24"/>
                      <w:lang w:val="en-US"/>
                    </w:rPr>
                    <w:t xml:space="preserve">     </w:t>
                  </w:r>
                </w:p>
                <w:p w14:paraId="7F7A9ADB" w14:textId="352B36DB" w:rsidR="0036573A" w:rsidRPr="0036573A" w:rsidRDefault="0036573A" w:rsidP="0036573A">
                  <w:pPr>
                    <w:widowControl w:val="0"/>
                    <w:autoSpaceDE w:val="0"/>
                    <w:autoSpaceDN w:val="0"/>
                    <w:adjustRightInd w:val="0"/>
                    <w:rPr>
                      <w:rFonts w:ascii="Garamond" w:eastAsia="Times New Roman" w:hAnsi="Garamond" w:cs="Calibri"/>
                      <w:sz w:val="20"/>
                      <w:szCs w:val="20"/>
                      <w:lang w:val="en-US"/>
                    </w:rPr>
                  </w:pPr>
                  <w:r w:rsidRPr="0036573A">
                    <w:rPr>
                      <w:rFonts w:ascii="Garamond" w:eastAsia="Times New Roman" w:hAnsi="Garamond" w:cs="Calibri"/>
                      <w:sz w:val="20"/>
                      <w:szCs w:val="20"/>
                      <w:lang w:val="en-US"/>
                    </w:rPr>
                    <w:t xml:space="preserve">                             </w:t>
                  </w:r>
                  <w:r w:rsidR="001D2D34">
                    <w:rPr>
                      <w:rFonts w:ascii="Garamond" w:eastAsia="Times New Roman" w:hAnsi="Garamond" w:cs="Calibri"/>
                      <w:sz w:val="20"/>
                      <w:szCs w:val="20"/>
                      <w:lang w:val="en-US"/>
                    </w:rPr>
                    <w:t>Chi-Square</w:t>
                  </w:r>
                </w:p>
              </w:tc>
              <w:tc>
                <w:tcPr>
                  <w:tcW w:w="859" w:type="pct"/>
                  <w:tcBorders>
                    <w:top w:val="nil"/>
                    <w:left w:val="nil"/>
                    <w:bottom w:val="nil"/>
                    <w:right w:val="nil"/>
                  </w:tcBorders>
                </w:tcPr>
                <w:p w14:paraId="1D93B561" w14:textId="77777777" w:rsidR="0036573A" w:rsidRPr="0036573A" w:rsidRDefault="0036573A" w:rsidP="0036573A">
                  <w:pPr>
                    <w:widowControl w:val="0"/>
                    <w:autoSpaceDE w:val="0"/>
                    <w:autoSpaceDN w:val="0"/>
                    <w:adjustRightInd w:val="0"/>
                    <w:jc w:val="center"/>
                    <w:rPr>
                      <w:rFonts w:ascii="Garamond" w:eastAsia="Times New Roman" w:hAnsi="Garamond" w:cs="Calibri"/>
                      <w:sz w:val="20"/>
                      <w:szCs w:val="20"/>
                      <w:lang w:val="en-US"/>
                    </w:rPr>
                  </w:pPr>
                </w:p>
                <w:p w14:paraId="46A1FA6B" w14:textId="4E7480A8" w:rsidR="0036573A" w:rsidRPr="0036573A" w:rsidRDefault="00746FAE" w:rsidP="0036573A">
                  <w:pPr>
                    <w:widowControl w:val="0"/>
                    <w:autoSpaceDE w:val="0"/>
                    <w:autoSpaceDN w:val="0"/>
                    <w:adjustRightInd w:val="0"/>
                    <w:jc w:val="center"/>
                    <w:rPr>
                      <w:rFonts w:ascii="Garamond" w:eastAsia="Times New Roman" w:hAnsi="Garamond" w:cs="Calibri"/>
                      <w:sz w:val="20"/>
                      <w:szCs w:val="20"/>
                      <w:lang w:val="en-US"/>
                    </w:rPr>
                  </w:pPr>
                  <w:r>
                    <w:rPr>
                      <w:rFonts w:ascii="Garamond" w:eastAsia="Times New Roman" w:hAnsi="Garamond" w:cs="Calibri"/>
                      <w:sz w:val="20"/>
                      <w:szCs w:val="20"/>
                      <w:lang w:val="en-US"/>
                    </w:rPr>
                    <w:t>6.22</w:t>
                  </w:r>
                </w:p>
              </w:tc>
              <w:tc>
                <w:tcPr>
                  <w:tcW w:w="893" w:type="pct"/>
                  <w:tcBorders>
                    <w:top w:val="nil"/>
                    <w:left w:val="nil"/>
                    <w:bottom w:val="nil"/>
                    <w:right w:val="nil"/>
                  </w:tcBorders>
                </w:tcPr>
                <w:p w14:paraId="4F10ACD8" w14:textId="77777777" w:rsidR="0036573A" w:rsidRPr="0036573A" w:rsidRDefault="0036573A" w:rsidP="0036573A">
                  <w:pPr>
                    <w:widowControl w:val="0"/>
                    <w:autoSpaceDE w:val="0"/>
                    <w:autoSpaceDN w:val="0"/>
                    <w:adjustRightInd w:val="0"/>
                    <w:jc w:val="center"/>
                    <w:rPr>
                      <w:rFonts w:ascii="Garamond" w:eastAsia="Times New Roman" w:hAnsi="Garamond" w:cs="Calibri"/>
                      <w:sz w:val="20"/>
                      <w:szCs w:val="20"/>
                      <w:lang w:val="en-US"/>
                    </w:rPr>
                  </w:pPr>
                </w:p>
                <w:p w14:paraId="4DC3A95E" w14:textId="7FDCEA4D" w:rsidR="0036573A" w:rsidRPr="0036573A" w:rsidRDefault="00746FAE" w:rsidP="0036573A">
                  <w:pPr>
                    <w:widowControl w:val="0"/>
                    <w:autoSpaceDE w:val="0"/>
                    <w:autoSpaceDN w:val="0"/>
                    <w:adjustRightInd w:val="0"/>
                    <w:jc w:val="center"/>
                    <w:rPr>
                      <w:rFonts w:ascii="Garamond" w:eastAsia="Times New Roman" w:hAnsi="Garamond" w:cs="Calibri"/>
                      <w:sz w:val="20"/>
                      <w:szCs w:val="20"/>
                      <w:lang w:val="en-US"/>
                    </w:rPr>
                  </w:pPr>
                  <w:r>
                    <w:rPr>
                      <w:rFonts w:ascii="Garamond" w:eastAsia="Times New Roman" w:hAnsi="Garamond" w:cs="Calibri"/>
                      <w:sz w:val="20"/>
                      <w:szCs w:val="20"/>
                      <w:lang w:val="en-US"/>
                    </w:rPr>
                    <w:t>12.02</w:t>
                  </w:r>
                </w:p>
              </w:tc>
              <w:tc>
                <w:tcPr>
                  <w:tcW w:w="893" w:type="pct"/>
                  <w:tcBorders>
                    <w:top w:val="nil"/>
                    <w:left w:val="nil"/>
                    <w:bottom w:val="nil"/>
                    <w:right w:val="nil"/>
                  </w:tcBorders>
                </w:tcPr>
                <w:p w14:paraId="66455F40" w14:textId="77777777" w:rsidR="0036573A" w:rsidRPr="0036573A" w:rsidRDefault="0036573A" w:rsidP="0036573A">
                  <w:pPr>
                    <w:widowControl w:val="0"/>
                    <w:autoSpaceDE w:val="0"/>
                    <w:autoSpaceDN w:val="0"/>
                    <w:adjustRightInd w:val="0"/>
                    <w:jc w:val="center"/>
                    <w:rPr>
                      <w:rFonts w:ascii="Garamond" w:eastAsia="Times New Roman" w:hAnsi="Garamond" w:cs="Calibri"/>
                      <w:sz w:val="20"/>
                      <w:szCs w:val="20"/>
                      <w:lang w:val="en-US"/>
                    </w:rPr>
                  </w:pPr>
                </w:p>
                <w:p w14:paraId="0E640DDE" w14:textId="76901877" w:rsidR="0036573A" w:rsidRPr="0036573A" w:rsidRDefault="00746FAE" w:rsidP="0036573A">
                  <w:pPr>
                    <w:widowControl w:val="0"/>
                    <w:autoSpaceDE w:val="0"/>
                    <w:autoSpaceDN w:val="0"/>
                    <w:adjustRightInd w:val="0"/>
                    <w:jc w:val="center"/>
                    <w:rPr>
                      <w:rFonts w:ascii="Garamond" w:eastAsia="Times New Roman" w:hAnsi="Garamond" w:cs="Calibri"/>
                      <w:sz w:val="20"/>
                      <w:szCs w:val="20"/>
                      <w:lang w:val="en-US"/>
                    </w:rPr>
                  </w:pPr>
                  <w:r>
                    <w:rPr>
                      <w:rFonts w:ascii="Garamond" w:eastAsia="Times New Roman" w:hAnsi="Garamond" w:cs="Calibri"/>
                      <w:sz w:val="20"/>
                      <w:szCs w:val="20"/>
                      <w:lang w:val="en-US"/>
                    </w:rPr>
                    <w:t>15.99</w:t>
                  </w:r>
                </w:p>
              </w:tc>
              <w:tc>
                <w:tcPr>
                  <w:tcW w:w="902" w:type="pct"/>
                  <w:tcBorders>
                    <w:top w:val="nil"/>
                    <w:left w:val="nil"/>
                    <w:bottom w:val="nil"/>
                    <w:right w:val="nil"/>
                  </w:tcBorders>
                </w:tcPr>
                <w:p w14:paraId="2F74BB8A" w14:textId="77777777" w:rsidR="0036573A" w:rsidRPr="0036573A" w:rsidRDefault="0036573A" w:rsidP="0036573A">
                  <w:pPr>
                    <w:widowControl w:val="0"/>
                    <w:autoSpaceDE w:val="0"/>
                    <w:autoSpaceDN w:val="0"/>
                    <w:adjustRightInd w:val="0"/>
                    <w:jc w:val="center"/>
                    <w:rPr>
                      <w:rFonts w:ascii="Garamond" w:eastAsia="Times New Roman" w:hAnsi="Garamond" w:cs="Calibri"/>
                      <w:sz w:val="20"/>
                      <w:szCs w:val="20"/>
                      <w:lang w:val="en-US"/>
                    </w:rPr>
                  </w:pPr>
                </w:p>
                <w:p w14:paraId="2C4B7852" w14:textId="1B6A467E" w:rsidR="0036573A" w:rsidRPr="0036573A" w:rsidRDefault="00746FAE" w:rsidP="0036573A">
                  <w:pPr>
                    <w:widowControl w:val="0"/>
                    <w:autoSpaceDE w:val="0"/>
                    <w:autoSpaceDN w:val="0"/>
                    <w:adjustRightInd w:val="0"/>
                    <w:jc w:val="center"/>
                    <w:rPr>
                      <w:rFonts w:ascii="Garamond" w:eastAsia="Times New Roman" w:hAnsi="Garamond" w:cs="Calibri"/>
                      <w:sz w:val="20"/>
                      <w:szCs w:val="20"/>
                      <w:lang w:val="en-US"/>
                    </w:rPr>
                  </w:pPr>
                  <w:r>
                    <w:rPr>
                      <w:rFonts w:ascii="Garamond" w:eastAsia="Times New Roman" w:hAnsi="Garamond" w:cs="Calibri"/>
                      <w:sz w:val="20"/>
                      <w:szCs w:val="20"/>
                      <w:lang w:val="en-US"/>
                    </w:rPr>
                    <w:t>19.28</w:t>
                  </w:r>
                </w:p>
              </w:tc>
            </w:tr>
            <w:tr w:rsidR="0036573A" w:rsidRPr="0036573A" w14:paraId="414068F3" w14:textId="77777777" w:rsidTr="00746FAE">
              <w:trPr>
                <w:trHeight w:val="40"/>
              </w:trPr>
              <w:tc>
                <w:tcPr>
                  <w:tcW w:w="1451" w:type="pct"/>
                  <w:tcBorders>
                    <w:top w:val="nil"/>
                    <w:left w:val="nil"/>
                    <w:bottom w:val="nil"/>
                    <w:right w:val="nil"/>
                  </w:tcBorders>
                </w:tcPr>
                <w:p w14:paraId="7806A9D6" w14:textId="334A8D1C" w:rsidR="001D2D34" w:rsidRPr="0036573A" w:rsidRDefault="0036573A" w:rsidP="0036573A">
                  <w:pPr>
                    <w:widowControl w:val="0"/>
                    <w:autoSpaceDE w:val="0"/>
                    <w:autoSpaceDN w:val="0"/>
                    <w:adjustRightInd w:val="0"/>
                    <w:rPr>
                      <w:rFonts w:ascii="Garamond" w:eastAsia="Times New Roman" w:hAnsi="Garamond" w:cs="Calibri"/>
                      <w:sz w:val="20"/>
                      <w:szCs w:val="20"/>
                      <w:lang w:val="en-US"/>
                    </w:rPr>
                  </w:pPr>
                  <w:r w:rsidRPr="0036573A">
                    <w:rPr>
                      <w:rFonts w:ascii="Garamond" w:eastAsia="Times New Roman" w:hAnsi="Garamond" w:cs="Calibri"/>
                      <w:sz w:val="20"/>
                      <w:szCs w:val="20"/>
                      <w:lang w:val="en-US"/>
                    </w:rPr>
                    <w:t xml:space="preserve">                             </w:t>
                  </w:r>
                  <w:r w:rsidR="001D2D34">
                    <w:rPr>
                      <w:rFonts w:ascii="Garamond" w:eastAsia="Times New Roman" w:hAnsi="Garamond" w:cs="Calibri"/>
                      <w:sz w:val="20"/>
                      <w:szCs w:val="20"/>
                      <w:lang w:val="en-US"/>
                    </w:rPr>
                    <w:t>Pr &gt; ChiSq</w:t>
                  </w:r>
                </w:p>
              </w:tc>
              <w:tc>
                <w:tcPr>
                  <w:tcW w:w="859" w:type="pct"/>
                  <w:tcBorders>
                    <w:top w:val="nil"/>
                    <w:left w:val="nil"/>
                    <w:bottom w:val="nil"/>
                    <w:right w:val="nil"/>
                  </w:tcBorders>
                </w:tcPr>
                <w:p w14:paraId="6A71EF85" w14:textId="3A0492FA" w:rsidR="0036573A" w:rsidRPr="0036573A" w:rsidRDefault="00746FAE" w:rsidP="001D2D34">
                  <w:pPr>
                    <w:widowControl w:val="0"/>
                    <w:autoSpaceDE w:val="0"/>
                    <w:autoSpaceDN w:val="0"/>
                    <w:adjustRightInd w:val="0"/>
                    <w:jc w:val="center"/>
                    <w:rPr>
                      <w:rFonts w:ascii="Garamond" w:eastAsia="Times New Roman" w:hAnsi="Garamond" w:cs="Calibri"/>
                      <w:sz w:val="20"/>
                      <w:szCs w:val="20"/>
                      <w:lang w:val="en-US"/>
                    </w:rPr>
                  </w:pPr>
                  <w:r>
                    <w:rPr>
                      <w:rFonts w:ascii="Garamond" w:eastAsia="Times New Roman" w:hAnsi="Garamond" w:cs="Calibri"/>
                      <w:sz w:val="20"/>
                      <w:szCs w:val="20"/>
                      <w:lang w:val="en-US"/>
                    </w:rPr>
                    <w:t>0.2858</w:t>
                  </w:r>
                </w:p>
              </w:tc>
              <w:tc>
                <w:tcPr>
                  <w:tcW w:w="893" w:type="pct"/>
                  <w:tcBorders>
                    <w:top w:val="nil"/>
                    <w:left w:val="nil"/>
                    <w:bottom w:val="nil"/>
                    <w:right w:val="nil"/>
                  </w:tcBorders>
                </w:tcPr>
                <w:p w14:paraId="461EFF6B" w14:textId="36510B09" w:rsidR="0036573A" w:rsidRPr="0036573A" w:rsidRDefault="00746FAE" w:rsidP="001D2D34">
                  <w:pPr>
                    <w:widowControl w:val="0"/>
                    <w:autoSpaceDE w:val="0"/>
                    <w:autoSpaceDN w:val="0"/>
                    <w:adjustRightInd w:val="0"/>
                    <w:jc w:val="center"/>
                    <w:rPr>
                      <w:rFonts w:ascii="Garamond" w:eastAsia="Times New Roman" w:hAnsi="Garamond" w:cs="Calibri"/>
                      <w:sz w:val="20"/>
                      <w:szCs w:val="20"/>
                      <w:lang w:val="en-US"/>
                    </w:rPr>
                  </w:pPr>
                  <w:r>
                    <w:rPr>
                      <w:rFonts w:ascii="Garamond" w:eastAsia="Times New Roman" w:hAnsi="Garamond" w:cs="Calibri"/>
                      <w:sz w:val="20"/>
                      <w:szCs w:val="20"/>
                      <w:lang w:val="en-US"/>
                    </w:rPr>
                    <w:t>0.2835</w:t>
                  </w:r>
                </w:p>
              </w:tc>
              <w:tc>
                <w:tcPr>
                  <w:tcW w:w="893" w:type="pct"/>
                  <w:tcBorders>
                    <w:top w:val="nil"/>
                    <w:left w:val="nil"/>
                    <w:bottom w:val="nil"/>
                    <w:right w:val="nil"/>
                  </w:tcBorders>
                </w:tcPr>
                <w:p w14:paraId="2E398DBB" w14:textId="3672AFC2" w:rsidR="0036573A" w:rsidRPr="0036573A" w:rsidRDefault="00746FAE" w:rsidP="0036573A">
                  <w:pPr>
                    <w:widowControl w:val="0"/>
                    <w:autoSpaceDE w:val="0"/>
                    <w:autoSpaceDN w:val="0"/>
                    <w:adjustRightInd w:val="0"/>
                    <w:jc w:val="center"/>
                    <w:rPr>
                      <w:rFonts w:ascii="Garamond" w:eastAsia="Times New Roman" w:hAnsi="Garamond" w:cs="Calibri"/>
                      <w:sz w:val="20"/>
                      <w:szCs w:val="20"/>
                      <w:lang w:val="en-US"/>
                    </w:rPr>
                  </w:pPr>
                  <w:r>
                    <w:rPr>
                      <w:rFonts w:ascii="Garamond" w:eastAsia="Times New Roman" w:hAnsi="Garamond" w:cs="Calibri"/>
                      <w:sz w:val="20"/>
                      <w:szCs w:val="20"/>
                      <w:lang w:val="en-US"/>
                    </w:rPr>
                    <w:t>0.3827</w:t>
                  </w:r>
                </w:p>
              </w:tc>
              <w:tc>
                <w:tcPr>
                  <w:tcW w:w="902" w:type="pct"/>
                  <w:tcBorders>
                    <w:top w:val="nil"/>
                    <w:left w:val="nil"/>
                    <w:bottom w:val="nil"/>
                    <w:right w:val="nil"/>
                  </w:tcBorders>
                </w:tcPr>
                <w:p w14:paraId="6910B6C4" w14:textId="2E9CD7DE" w:rsidR="0036573A" w:rsidRPr="0036573A" w:rsidRDefault="00746FAE" w:rsidP="001D2D34">
                  <w:pPr>
                    <w:widowControl w:val="0"/>
                    <w:autoSpaceDE w:val="0"/>
                    <w:autoSpaceDN w:val="0"/>
                    <w:adjustRightInd w:val="0"/>
                    <w:jc w:val="center"/>
                    <w:rPr>
                      <w:rFonts w:ascii="Garamond" w:eastAsia="Times New Roman" w:hAnsi="Garamond" w:cs="Calibri"/>
                      <w:sz w:val="20"/>
                      <w:szCs w:val="20"/>
                      <w:lang w:val="en-US"/>
                    </w:rPr>
                  </w:pPr>
                  <w:r>
                    <w:rPr>
                      <w:rFonts w:ascii="Garamond" w:eastAsia="Times New Roman" w:hAnsi="Garamond" w:cs="Calibri"/>
                      <w:sz w:val="20"/>
                      <w:szCs w:val="20"/>
                      <w:lang w:val="en-US"/>
                    </w:rPr>
                    <w:t>0.5037</w:t>
                  </w:r>
                </w:p>
              </w:tc>
            </w:tr>
            <w:tr w:rsidR="001D2D34" w:rsidRPr="0036573A" w14:paraId="09FFF525" w14:textId="77777777" w:rsidTr="00746FAE">
              <w:trPr>
                <w:trHeight w:val="84"/>
              </w:trPr>
              <w:tc>
                <w:tcPr>
                  <w:tcW w:w="1451" w:type="pct"/>
                  <w:tcBorders>
                    <w:top w:val="nil"/>
                    <w:left w:val="nil"/>
                    <w:bottom w:val="nil"/>
                    <w:right w:val="nil"/>
                  </w:tcBorders>
                </w:tcPr>
                <w:p w14:paraId="1ACE6C19" w14:textId="1785561F" w:rsidR="001D2D34" w:rsidRPr="0036573A" w:rsidRDefault="001D2D34" w:rsidP="0036573A">
                  <w:pPr>
                    <w:widowControl w:val="0"/>
                    <w:autoSpaceDE w:val="0"/>
                    <w:autoSpaceDN w:val="0"/>
                    <w:adjustRightInd w:val="0"/>
                    <w:rPr>
                      <w:rFonts w:ascii="Garamond" w:eastAsia="Times New Roman" w:hAnsi="Garamond" w:cs="Calibri"/>
                      <w:b/>
                      <w:bCs/>
                      <w:sz w:val="20"/>
                      <w:szCs w:val="20"/>
                      <w:lang w:val="en-US"/>
                    </w:rPr>
                  </w:pPr>
                </w:p>
              </w:tc>
              <w:tc>
                <w:tcPr>
                  <w:tcW w:w="859" w:type="pct"/>
                  <w:tcBorders>
                    <w:top w:val="nil"/>
                    <w:left w:val="nil"/>
                    <w:bottom w:val="nil"/>
                    <w:right w:val="nil"/>
                  </w:tcBorders>
                </w:tcPr>
                <w:p w14:paraId="7C15B11A" w14:textId="32162B3B" w:rsidR="001D2D34" w:rsidRPr="0036573A" w:rsidRDefault="001D2D34" w:rsidP="001D2D34">
                  <w:pPr>
                    <w:widowControl w:val="0"/>
                    <w:autoSpaceDE w:val="0"/>
                    <w:autoSpaceDN w:val="0"/>
                    <w:adjustRightInd w:val="0"/>
                    <w:rPr>
                      <w:rFonts w:ascii="Garamond" w:eastAsia="Times New Roman" w:hAnsi="Garamond" w:cs="Calibri"/>
                      <w:sz w:val="20"/>
                      <w:szCs w:val="20"/>
                      <w:lang w:val="en-US"/>
                    </w:rPr>
                  </w:pPr>
                </w:p>
              </w:tc>
              <w:tc>
                <w:tcPr>
                  <w:tcW w:w="893" w:type="pct"/>
                  <w:tcBorders>
                    <w:top w:val="nil"/>
                    <w:left w:val="nil"/>
                    <w:bottom w:val="nil"/>
                    <w:right w:val="nil"/>
                  </w:tcBorders>
                </w:tcPr>
                <w:p w14:paraId="67383139" w14:textId="3BB53745" w:rsidR="001D2D34" w:rsidRPr="0036573A" w:rsidRDefault="001D2D34" w:rsidP="001D2D34">
                  <w:pPr>
                    <w:widowControl w:val="0"/>
                    <w:autoSpaceDE w:val="0"/>
                    <w:autoSpaceDN w:val="0"/>
                    <w:adjustRightInd w:val="0"/>
                    <w:rPr>
                      <w:rFonts w:ascii="Garamond" w:eastAsia="Times New Roman" w:hAnsi="Garamond" w:cs="Calibri"/>
                      <w:sz w:val="20"/>
                      <w:szCs w:val="20"/>
                      <w:lang w:val="en-US"/>
                    </w:rPr>
                  </w:pPr>
                </w:p>
              </w:tc>
              <w:tc>
                <w:tcPr>
                  <w:tcW w:w="893" w:type="pct"/>
                  <w:tcBorders>
                    <w:top w:val="nil"/>
                    <w:left w:val="nil"/>
                    <w:bottom w:val="nil"/>
                    <w:right w:val="nil"/>
                  </w:tcBorders>
                </w:tcPr>
                <w:p w14:paraId="71C53E6E" w14:textId="1DD97DA0" w:rsidR="001D2D34" w:rsidRPr="0036573A" w:rsidRDefault="001D2D34" w:rsidP="001D2D34">
                  <w:pPr>
                    <w:widowControl w:val="0"/>
                    <w:autoSpaceDE w:val="0"/>
                    <w:autoSpaceDN w:val="0"/>
                    <w:adjustRightInd w:val="0"/>
                    <w:rPr>
                      <w:rFonts w:ascii="Garamond" w:eastAsia="Times New Roman" w:hAnsi="Garamond" w:cs="Calibri"/>
                      <w:sz w:val="20"/>
                      <w:szCs w:val="20"/>
                      <w:lang w:val="en-US"/>
                    </w:rPr>
                  </w:pPr>
                </w:p>
              </w:tc>
              <w:tc>
                <w:tcPr>
                  <w:tcW w:w="902" w:type="pct"/>
                  <w:tcBorders>
                    <w:top w:val="nil"/>
                    <w:left w:val="nil"/>
                    <w:bottom w:val="nil"/>
                    <w:right w:val="nil"/>
                  </w:tcBorders>
                </w:tcPr>
                <w:p w14:paraId="36F9034A" w14:textId="7E4E532A" w:rsidR="001D2D34" w:rsidRPr="0036573A" w:rsidRDefault="001D2D34" w:rsidP="001D2D34">
                  <w:pPr>
                    <w:widowControl w:val="0"/>
                    <w:autoSpaceDE w:val="0"/>
                    <w:autoSpaceDN w:val="0"/>
                    <w:adjustRightInd w:val="0"/>
                    <w:rPr>
                      <w:rFonts w:ascii="Garamond" w:eastAsia="Times New Roman" w:hAnsi="Garamond" w:cs="Calibri"/>
                      <w:sz w:val="20"/>
                      <w:szCs w:val="20"/>
                      <w:lang w:val="en-US"/>
                    </w:rPr>
                  </w:pPr>
                </w:p>
              </w:tc>
            </w:tr>
            <w:tr w:rsidR="001D2D34" w:rsidRPr="0036573A" w14:paraId="415E9D3E" w14:textId="77777777" w:rsidTr="00746FAE">
              <w:trPr>
                <w:trHeight w:val="385"/>
              </w:trPr>
              <w:tc>
                <w:tcPr>
                  <w:tcW w:w="5000" w:type="pct"/>
                  <w:gridSpan w:val="5"/>
                  <w:tcBorders>
                    <w:top w:val="single" w:sz="6" w:space="0" w:color="auto"/>
                    <w:left w:val="nil"/>
                    <w:bottom w:val="nil"/>
                    <w:right w:val="nil"/>
                  </w:tcBorders>
                </w:tcPr>
                <w:p w14:paraId="3B6C35F4" w14:textId="7547BD6F" w:rsidR="001D2D34" w:rsidRPr="0036573A" w:rsidRDefault="001D2D34" w:rsidP="001D2D34">
                  <w:pPr>
                    <w:widowControl w:val="0"/>
                    <w:tabs>
                      <w:tab w:val="left" w:pos="1920"/>
                    </w:tabs>
                    <w:autoSpaceDE w:val="0"/>
                    <w:autoSpaceDN w:val="0"/>
                    <w:adjustRightInd w:val="0"/>
                    <w:spacing w:line="240" w:lineRule="auto"/>
                    <w:rPr>
                      <w:rFonts w:ascii="Garamond" w:eastAsia="Times New Roman" w:hAnsi="Garamond" w:cs="Calibri"/>
                      <w:i/>
                      <w:iCs/>
                      <w:sz w:val="20"/>
                      <w:szCs w:val="20"/>
                      <w:lang w:val="en-US"/>
                    </w:rPr>
                  </w:pPr>
                  <w:r w:rsidRPr="00746FAE">
                    <w:rPr>
                      <w:rFonts w:ascii="Garamond" w:eastAsia="Times New Roman" w:hAnsi="Garamond" w:cs="Calibri"/>
                      <w:i/>
                      <w:iCs/>
                      <w:sz w:val="20"/>
                      <w:szCs w:val="20"/>
                    </w:rPr>
                    <w:t xml:space="preserve">*** </w:t>
                  </w:r>
                  <w:r w:rsidR="00746FAE">
                    <w:rPr>
                      <w:rFonts w:ascii="Garamond" w:eastAsia="Times New Roman" w:hAnsi="Garamond" w:cs="Calibri"/>
                      <w:i/>
                      <w:iCs/>
                      <w:sz w:val="20"/>
                      <w:szCs w:val="20"/>
                    </w:rPr>
                    <w:t>Pr</w:t>
                  </w:r>
                  <w:r w:rsidRPr="00746FAE">
                    <w:rPr>
                      <w:rFonts w:ascii="Garamond" w:eastAsia="Times New Roman" w:hAnsi="Garamond" w:cs="Calibri"/>
                      <w:i/>
                      <w:iCs/>
                      <w:sz w:val="20"/>
                      <w:szCs w:val="20"/>
                    </w:rPr>
                    <w:t xml:space="preserve">&lt;.01, ** </w:t>
                  </w:r>
                  <w:r w:rsidR="00746FAE">
                    <w:rPr>
                      <w:rFonts w:ascii="Garamond" w:eastAsia="Times New Roman" w:hAnsi="Garamond" w:cs="Calibri"/>
                      <w:i/>
                      <w:iCs/>
                      <w:sz w:val="20"/>
                      <w:szCs w:val="20"/>
                    </w:rPr>
                    <w:t>Pr</w:t>
                  </w:r>
                  <w:r w:rsidRPr="00746FAE">
                    <w:rPr>
                      <w:rFonts w:ascii="Garamond" w:eastAsia="Times New Roman" w:hAnsi="Garamond" w:cs="Calibri"/>
                      <w:i/>
                      <w:iCs/>
                      <w:sz w:val="20"/>
                      <w:szCs w:val="20"/>
                    </w:rPr>
                    <w:t xml:space="preserve">&lt;.05, * </w:t>
                  </w:r>
                  <w:r w:rsidR="00746FAE">
                    <w:rPr>
                      <w:rFonts w:ascii="Garamond" w:eastAsia="Times New Roman" w:hAnsi="Garamond" w:cs="Calibri"/>
                      <w:i/>
                      <w:iCs/>
                      <w:sz w:val="20"/>
                      <w:szCs w:val="20"/>
                    </w:rPr>
                    <w:t>Pr</w:t>
                  </w:r>
                  <w:r w:rsidRPr="00746FAE">
                    <w:rPr>
                      <w:rFonts w:ascii="Garamond" w:eastAsia="Times New Roman" w:hAnsi="Garamond" w:cs="Calibri"/>
                      <w:i/>
                      <w:iCs/>
                      <w:sz w:val="20"/>
                      <w:szCs w:val="20"/>
                    </w:rPr>
                    <w:t xml:space="preserve">&lt;.1  </w:t>
                  </w:r>
                </w:p>
              </w:tc>
            </w:tr>
            <w:bookmarkEnd w:id="8"/>
          </w:tbl>
          <w:p w14:paraId="3ABC267A" w14:textId="77777777" w:rsidR="0036573A" w:rsidRPr="0036573A" w:rsidRDefault="0036573A" w:rsidP="0036573A">
            <w:pPr>
              <w:spacing w:after="160" w:line="259" w:lineRule="auto"/>
              <w:rPr>
                <w:rFonts w:ascii="Garamond" w:eastAsia="Times New Roman" w:hAnsi="Garamond" w:cs="Times New Roman"/>
                <w:sz w:val="20"/>
                <w:szCs w:val="20"/>
                <w:lang w:val="en-US"/>
              </w:rPr>
            </w:pPr>
          </w:p>
        </w:tc>
      </w:tr>
    </w:tbl>
    <w:p w14:paraId="10453748" w14:textId="77777777" w:rsidR="00556F04" w:rsidRDefault="00556F04">
      <w:pPr>
        <w:spacing w:line="480" w:lineRule="auto"/>
        <w:rPr>
          <w:sz w:val="24"/>
          <w:szCs w:val="24"/>
        </w:rPr>
      </w:pPr>
    </w:p>
    <w:p w14:paraId="10453749" w14:textId="0CC5B956" w:rsidR="00556F04" w:rsidRPr="00A70259" w:rsidRDefault="00000000">
      <w:pPr>
        <w:spacing w:line="480" w:lineRule="auto"/>
        <w:rPr>
          <w:rFonts w:ascii="Calibri" w:hAnsi="Calibri" w:cs="Calibri"/>
          <w:sz w:val="24"/>
          <w:szCs w:val="24"/>
        </w:rPr>
      </w:pPr>
      <w:r w:rsidRPr="00A70259">
        <w:rPr>
          <w:rFonts w:ascii="Calibri" w:hAnsi="Calibri" w:cs="Calibri"/>
          <w:sz w:val="24"/>
          <w:szCs w:val="24"/>
        </w:rPr>
        <w:t xml:space="preserve">From these results, we find a statistically significant relationship between the effective federal funds rate </w:t>
      </w:r>
      <w:r w:rsidR="00D67EA4">
        <w:rPr>
          <w:rFonts w:ascii="Calibri" w:hAnsi="Calibri" w:cs="Calibri"/>
          <w:sz w:val="24"/>
          <w:szCs w:val="24"/>
        </w:rPr>
        <w:t>and</w:t>
      </w:r>
      <w:r w:rsidRPr="00A70259">
        <w:rPr>
          <w:rFonts w:ascii="Calibri" w:hAnsi="Calibri" w:cs="Calibri"/>
          <w:sz w:val="24"/>
          <w:szCs w:val="24"/>
        </w:rPr>
        <w:t xml:space="preserve"> S&amp;P 500 prices at each of our chosen lags, but none of the tests on Nasdaq prices were found to be significant. This suggests that including the effective federal funds rate in a vector autoregression is appropriate for modeling the S&amp;P 500, but not the Nasdaq. From here, numerous alternative specifications or data inputs could be considered, but for the scope of this paper, we will proceed to model the Nasdaq with an ARIMA model to create a pseudo-counterfactual model to the vector autoregression of the effective federal funds rate and S&amp;P 500. By analyzing the predictive ability of utilizing only the Nasdaq’s own past values to predict </w:t>
      </w:r>
      <w:r w:rsidRPr="00A70259">
        <w:rPr>
          <w:rFonts w:ascii="Calibri" w:hAnsi="Calibri" w:cs="Calibri"/>
          <w:sz w:val="24"/>
          <w:szCs w:val="24"/>
        </w:rPr>
        <w:lastRenderedPageBreak/>
        <w:t>future Nasdaq prices, we will have a rough idea of whether the vector autoregression improves estimates</w:t>
      </w:r>
      <w:r w:rsidR="00A01C25">
        <w:rPr>
          <w:rFonts w:ascii="Calibri" w:hAnsi="Calibri" w:cs="Calibri"/>
          <w:sz w:val="24"/>
          <w:szCs w:val="24"/>
        </w:rPr>
        <w:t xml:space="preserve"> by comparison</w:t>
      </w:r>
      <w:r w:rsidRPr="00A70259">
        <w:rPr>
          <w:rFonts w:ascii="Calibri" w:hAnsi="Calibri" w:cs="Calibri"/>
          <w:sz w:val="24"/>
          <w:szCs w:val="24"/>
        </w:rPr>
        <w:t>. Future study on this topic would involve vector autoregression and ARIMA specifications for both stock indexes to create true counterfactuals for the estimation improvement of the vector autoregression.</w:t>
      </w:r>
    </w:p>
    <w:p w14:paraId="1045374A" w14:textId="77777777" w:rsidR="00556F04" w:rsidRPr="00A70259" w:rsidRDefault="00000000" w:rsidP="00DA6064">
      <w:pPr>
        <w:pStyle w:val="Heading2"/>
        <w:spacing w:line="480" w:lineRule="auto"/>
        <w:rPr>
          <w:rFonts w:asciiTheme="majorHAnsi" w:hAnsiTheme="majorHAnsi" w:cstheme="majorHAnsi"/>
        </w:rPr>
      </w:pPr>
      <w:bookmarkStart w:id="9" w:name="_tzj6fhmlvdof" w:colFirst="0" w:colLast="0"/>
      <w:bookmarkEnd w:id="9"/>
      <w:r w:rsidRPr="00A70259">
        <w:rPr>
          <w:rFonts w:asciiTheme="majorHAnsi" w:hAnsiTheme="majorHAnsi" w:cstheme="majorHAnsi"/>
        </w:rPr>
        <w:t>Model Selection</w:t>
      </w:r>
    </w:p>
    <w:p w14:paraId="1045374B" w14:textId="1C2D1C9E" w:rsidR="00556F04" w:rsidRPr="00A70259" w:rsidRDefault="00000000">
      <w:pPr>
        <w:spacing w:line="480" w:lineRule="auto"/>
        <w:rPr>
          <w:rFonts w:ascii="Calibri" w:hAnsi="Calibri" w:cs="Calibri"/>
        </w:rPr>
      </w:pPr>
      <w:r w:rsidRPr="00A70259">
        <w:rPr>
          <w:rFonts w:ascii="Calibri" w:hAnsi="Calibri" w:cs="Calibri"/>
          <w:sz w:val="24"/>
          <w:szCs w:val="24"/>
        </w:rPr>
        <w:tab/>
        <w:t xml:space="preserve">In the previous section, we identified the use of a vector autoregression for modeling the S&amp;P 500 and an ARIMA for modeling the Nasdaq. We now perform a model selection methodology to consider an array of candidate models in two steps. First, we analyze the partial autocorrelation (PACF) plots of our two variables. Where we begin to see the PACF disappear is a strong indication of the appropriate </w:t>
      </w:r>
      <w:r w:rsidR="00427DBA" w:rsidRPr="00A70259">
        <w:rPr>
          <w:rFonts w:ascii="Calibri" w:hAnsi="Calibri" w:cs="Calibri"/>
          <w:sz w:val="24"/>
          <w:szCs w:val="24"/>
        </w:rPr>
        <w:t>number</w:t>
      </w:r>
      <w:r w:rsidRPr="00A70259">
        <w:rPr>
          <w:rFonts w:ascii="Calibri" w:hAnsi="Calibri" w:cs="Calibri"/>
          <w:sz w:val="24"/>
          <w:szCs w:val="24"/>
        </w:rPr>
        <w:t xml:space="preserve"> of lags to employ. Then to complete our model selection, we compute our candidate models and determine the best model by comparing the AIC and SBC information criterion for each specification. Models with lower AIC and SBC scores are preferred to those with higher scores, with a preference for lower lag levels as identified by the literature should the minimum value of these two indicators occur at a different number of lags.</w:t>
      </w:r>
    </w:p>
    <w:p w14:paraId="1045374C" w14:textId="4689F26E" w:rsidR="00556F04" w:rsidRPr="00A70259" w:rsidRDefault="00000000">
      <w:pPr>
        <w:spacing w:line="480" w:lineRule="auto"/>
        <w:rPr>
          <w:rFonts w:ascii="Calibri" w:hAnsi="Calibri" w:cs="Calibri"/>
          <w:sz w:val="24"/>
          <w:szCs w:val="24"/>
        </w:rPr>
      </w:pPr>
      <w:r w:rsidRPr="00A70259">
        <w:rPr>
          <w:rFonts w:ascii="Calibri" w:hAnsi="Calibri" w:cs="Calibri"/>
          <w:sz w:val="24"/>
          <w:szCs w:val="24"/>
        </w:rPr>
        <w:tab/>
        <w:t xml:space="preserve">For the vector autoregression between S&amp;P 500 prices and the effective federal funds rate, the partial autocorrelation function shows a noticeable decrease in significant spikes after 9 lags. This suggests that a VAR(9) is likely to be our best model. We then compute our VAR(P) model with lags 1 through 20, making 20 total VAR models with the </w:t>
      </w:r>
      <w:r w:rsidR="005605BF">
        <w:rPr>
          <w:rFonts w:ascii="Calibri" w:hAnsi="Calibri" w:cs="Calibri"/>
          <w:sz w:val="24"/>
          <w:szCs w:val="24"/>
        </w:rPr>
        <w:t>results reported in Figure 3.</w:t>
      </w:r>
    </w:p>
    <w:p w14:paraId="1045374D" w14:textId="578D38EB" w:rsidR="00556F04" w:rsidRDefault="004D5557">
      <w:pPr>
        <w:spacing w:line="480" w:lineRule="auto"/>
        <w:jc w:val="center"/>
      </w:pPr>
      <w:r>
        <w:rPr>
          <w:noProof/>
        </w:rPr>
        <w:lastRenderedPageBreak/>
        <w:drawing>
          <wp:inline distT="0" distB="0" distL="0" distR="0" wp14:anchorId="5FCD871B" wp14:editId="64C62AEC">
            <wp:extent cx="4143375" cy="2371725"/>
            <wp:effectExtent l="0" t="0" r="9525" b="9525"/>
            <wp:docPr id="580850474" name="Chart 1">
              <a:extLst xmlns:a="http://schemas.openxmlformats.org/drawingml/2006/main">
                <a:ext uri="{FF2B5EF4-FFF2-40B4-BE49-F238E27FC236}">
                  <a16:creationId xmlns:a16="http://schemas.microsoft.com/office/drawing/2014/main" id="{E95F0A85-C7CE-D94F-51E4-454F5B14B9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045374E" w14:textId="77777777" w:rsidR="00556F04" w:rsidRPr="00A70259" w:rsidRDefault="00000000">
      <w:pPr>
        <w:spacing w:line="480" w:lineRule="auto"/>
        <w:rPr>
          <w:rFonts w:ascii="Calibri" w:hAnsi="Calibri" w:cs="Calibri"/>
          <w:sz w:val="24"/>
          <w:szCs w:val="24"/>
        </w:rPr>
      </w:pPr>
      <w:r w:rsidRPr="00A70259">
        <w:rPr>
          <w:rFonts w:ascii="Calibri" w:hAnsi="Calibri" w:cs="Calibri"/>
          <w:sz w:val="24"/>
          <w:szCs w:val="24"/>
        </w:rPr>
        <w:tab/>
        <w:t>From this plot, we identify the minimum AIC at 16 lags, and the minimum SBC at 9 lags. The minimum SBC occurs at a lower lag level and is in agreement with our PACF analysis, so we determine that 9 lags is our best model and proceed to the forecasting step of our analysis with a VAR(9).</w:t>
      </w:r>
    </w:p>
    <w:p w14:paraId="2CD7B5E2" w14:textId="292E3985" w:rsidR="00DA6064" w:rsidRPr="00A70259" w:rsidRDefault="00000000">
      <w:pPr>
        <w:spacing w:line="480" w:lineRule="auto"/>
        <w:rPr>
          <w:rFonts w:ascii="Calibri" w:hAnsi="Calibri" w:cs="Calibri"/>
          <w:sz w:val="24"/>
          <w:szCs w:val="24"/>
        </w:rPr>
      </w:pPr>
      <w:r w:rsidRPr="00A70259">
        <w:rPr>
          <w:rFonts w:ascii="Calibri" w:hAnsi="Calibri" w:cs="Calibri"/>
          <w:sz w:val="24"/>
          <w:szCs w:val="24"/>
        </w:rPr>
        <w:tab/>
        <w:t>Moving to the ARIMA model of Nasdaq prices, the partial autocorrelation function</w:t>
      </w:r>
      <w:r w:rsidR="005605BF">
        <w:rPr>
          <w:rFonts w:ascii="Calibri" w:hAnsi="Calibri" w:cs="Calibri"/>
          <w:sz w:val="24"/>
          <w:szCs w:val="24"/>
        </w:rPr>
        <w:t xml:space="preserve"> </w:t>
      </w:r>
      <w:r w:rsidRPr="00A70259">
        <w:rPr>
          <w:rFonts w:ascii="Calibri" w:hAnsi="Calibri" w:cs="Calibri"/>
          <w:sz w:val="24"/>
          <w:szCs w:val="24"/>
        </w:rPr>
        <w:t xml:space="preserve">shows a similar cutoff at 9 lags. Further testing the ARIMA models, we estimate ARIMA(P) models for 1 through 20 lags, both with and without an intercept. </w:t>
      </w:r>
      <w:r w:rsidR="005605BF">
        <w:rPr>
          <w:rFonts w:ascii="Calibri" w:hAnsi="Calibri" w:cs="Calibri"/>
          <w:sz w:val="24"/>
          <w:szCs w:val="24"/>
        </w:rPr>
        <w:t>The results are shown in Figure 4 and Figure 5.</w:t>
      </w:r>
    </w:p>
    <w:p w14:paraId="6A3AB3C4" w14:textId="1BC767A9" w:rsidR="00DA6064" w:rsidRDefault="004D5557" w:rsidP="00DA6064">
      <w:pPr>
        <w:spacing w:line="480" w:lineRule="auto"/>
        <w:jc w:val="center"/>
        <w:rPr>
          <w:sz w:val="24"/>
          <w:szCs w:val="24"/>
        </w:rPr>
      </w:pPr>
      <w:r>
        <w:rPr>
          <w:noProof/>
        </w:rPr>
        <w:drawing>
          <wp:inline distT="0" distB="0" distL="0" distR="0" wp14:anchorId="64536D6E" wp14:editId="25206B3D">
            <wp:extent cx="4086225" cy="2619375"/>
            <wp:effectExtent l="0" t="0" r="9525" b="9525"/>
            <wp:docPr id="1054464361" name="Chart 1">
              <a:extLst xmlns:a="http://schemas.openxmlformats.org/drawingml/2006/main">
                <a:ext uri="{FF2B5EF4-FFF2-40B4-BE49-F238E27FC236}">
                  <a16:creationId xmlns:a16="http://schemas.microsoft.com/office/drawing/2014/main" id="{D048141E-2388-5096-1F25-5EAC64B1A3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B9533E3" w14:textId="0E743E2D" w:rsidR="004D5557" w:rsidRDefault="004D5557" w:rsidP="00DA6064">
      <w:pPr>
        <w:spacing w:line="480" w:lineRule="auto"/>
        <w:jc w:val="center"/>
        <w:rPr>
          <w:sz w:val="24"/>
          <w:szCs w:val="24"/>
        </w:rPr>
      </w:pPr>
      <w:r>
        <w:rPr>
          <w:noProof/>
        </w:rPr>
        <w:lastRenderedPageBreak/>
        <w:drawing>
          <wp:inline distT="0" distB="0" distL="0" distR="0" wp14:anchorId="1C820576" wp14:editId="767FD08B">
            <wp:extent cx="4143375" cy="2686050"/>
            <wp:effectExtent l="0" t="0" r="9525" b="0"/>
            <wp:docPr id="2005845173" name="Chart 1">
              <a:extLst xmlns:a="http://schemas.openxmlformats.org/drawingml/2006/main">
                <a:ext uri="{FF2B5EF4-FFF2-40B4-BE49-F238E27FC236}">
                  <a16:creationId xmlns:a16="http://schemas.microsoft.com/office/drawing/2014/main" id="{6BE43117-94C2-C1CE-5E8A-7A94BAA4DD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0453751" w14:textId="77777777" w:rsidR="00556F04" w:rsidRPr="00A70259" w:rsidRDefault="00000000">
      <w:pPr>
        <w:spacing w:line="480" w:lineRule="auto"/>
        <w:ind w:firstLine="720"/>
        <w:rPr>
          <w:rFonts w:ascii="Calibri" w:hAnsi="Calibri" w:cs="Calibri"/>
          <w:sz w:val="24"/>
          <w:szCs w:val="24"/>
        </w:rPr>
      </w:pPr>
      <w:r w:rsidRPr="00A70259">
        <w:rPr>
          <w:rFonts w:ascii="Calibri" w:hAnsi="Calibri" w:cs="Calibri"/>
          <w:sz w:val="24"/>
          <w:szCs w:val="24"/>
        </w:rPr>
        <w:t>We find a minimum AIC at 15 lags and minimum SBC at 9 lags in both plots, with the no-intercept models providing marginally better results. Additional ARIMA(P, Q) models were considered but did not lead to better results. From this, we identify an AR(9) model with no intercept as our best model for forecasting Nasdaq prices.</w:t>
      </w:r>
    </w:p>
    <w:p w14:paraId="10453752" w14:textId="77777777" w:rsidR="00556F04" w:rsidRPr="00A70259" w:rsidRDefault="00000000" w:rsidP="00A70259">
      <w:pPr>
        <w:pStyle w:val="Heading2"/>
        <w:spacing w:line="480" w:lineRule="auto"/>
        <w:rPr>
          <w:rFonts w:asciiTheme="majorHAnsi" w:hAnsiTheme="majorHAnsi" w:cstheme="majorHAnsi"/>
        </w:rPr>
      </w:pPr>
      <w:bookmarkStart w:id="10" w:name="_l0knle4i0437" w:colFirst="0" w:colLast="0"/>
      <w:bookmarkEnd w:id="10"/>
      <w:r w:rsidRPr="00A70259">
        <w:rPr>
          <w:rFonts w:asciiTheme="majorHAnsi" w:hAnsiTheme="majorHAnsi" w:cstheme="majorHAnsi"/>
        </w:rPr>
        <w:t>Forecasting</w:t>
      </w:r>
    </w:p>
    <w:p w14:paraId="10453753" w14:textId="20E1C748" w:rsidR="00556F04" w:rsidRPr="00A70259" w:rsidRDefault="00000000">
      <w:pPr>
        <w:spacing w:line="480" w:lineRule="auto"/>
        <w:rPr>
          <w:rFonts w:ascii="Calibri" w:hAnsi="Calibri" w:cs="Calibri"/>
          <w:sz w:val="24"/>
          <w:szCs w:val="24"/>
        </w:rPr>
      </w:pPr>
      <w:r w:rsidRPr="00A70259">
        <w:rPr>
          <w:rFonts w:ascii="Calibri" w:hAnsi="Calibri" w:cs="Calibri"/>
          <w:sz w:val="24"/>
          <w:szCs w:val="24"/>
        </w:rPr>
        <w:tab/>
        <w:t xml:space="preserve">Having identified our best models for forecasting S&amp;P 500 and Nasdaq prices, we train our models on the last 5688 observations in our dataset, which represents the dates 11/27/2000 to 9/7/2023. We then use these trained models to forecast the first 100 periods and compare the results to the observed values in our testing set, which covers the dates 7/5/2000 to 11/24/2000. Figure 6 and </w:t>
      </w:r>
      <w:r w:rsidR="005605BF">
        <w:rPr>
          <w:rFonts w:ascii="Calibri" w:hAnsi="Calibri" w:cs="Calibri"/>
          <w:sz w:val="24"/>
          <w:szCs w:val="24"/>
        </w:rPr>
        <w:t xml:space="preserve">Figure </w:t>
      </w:r>
      <w:r w:rsidRPr="00A70259">
        <w:rPr>
          <w:rFonts w:ascii="Calibri" w:hAnsi="Calibri" w:cs="Calibri"/>
          <w:sz w:val="24"/>
          <w:szCs w:val="24"/>
        </w:rPr>
        <w:t>7 below illustrate the time path</w:t>
      </w:r>
      <w:r w:rsidR="005605BF">
        <w:rPr>
          <w:rFonts w:ascii="Calibri" w:hAnsi="Calibri" w:cs="Calibri"/>
          <w:sz w:val="24"/>
          <w:szCs w:val="24"/>
        </w:rPr>
        <w:t>s</w:t>
      </w:r>
      <w:r w:rsidRPr="00A70259">
        <w:rPr>
          <w:rFonts w:ascii="Calibri" w:hAnsi="Calibri" w:cs="Calibri"/>
          <w:sz w:val="24"/>
          <w:szCs w:val="24"/>
        </w:rPr>
        <w:t xml:space="preserve"> of these projections, and Table </w:t>
      </w:r>
      <w:r w:rsidR="00DA6064" w:rsidRPr="00A70259">
        <w:rPr>
          <w:rFonts w:ascii="Calibri" w:hAnsi="Calibri" w:cs="Calibri"/>
          <w:sz w:val="24"/>
          <w:szCs w:val="24"/>
        </w:rPr>
        <w:t>3</w:t>
      </w:r>
      <w:r w:rsidRPr="00A70259">
        <w:rPr>
          <w:rFonts w:ascii="Calibri" w:hAnsi="Calibri" w:cs="Calibri"/>
          <w:sz w:val="24"/>
          <w:szCs w:val="24"/>
        </w:rPr>
        <w:t xml:space="preserve"> shows the forecasting error metrics. As these are backward projections, the X-axis is flipped such that projections for time T = 100 is the nearest forecast, and time T = 1 is the “furthest out” forecast. </w:t>
      </w:r>
    </w:p>
    <w:p w14:paraId="3C352F53" w14:textId="6B8E644C" w:rsidR="00BD6832" w:rsidRDefault="00BD6832" w:rsidP="00BD6832">
      <w:pPr>
        <w:spacing w:line="480" w:lineRule="auto"/>
        <w:jc w:val="center"/>
      </w:pPr>
      <w:r w:rsidRPr="00BD6832">
        <w:lastRenderedPageBreak/>
        <w:drawing>
          <wp:inline distT="0" distB="0" distL="0" distR="0" wp14:anchorId="50AA9FFC" wp14:editId="1528B24B">
            <wp:extent cx="5151198" cy="3876675"/>
            <wp:effectExtent l="0" t="0" r="0" b="0"/>
            <wp:docPr id="1543734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34959" name=""/>
                    <pic:cNvPicPr/>
                  </pic:nvPicPr>
                  <pic:blipFill>
                    <a:blip r:embed="rId14"/>
                    <a:stretch>
                      <a:fillRect/>
                    </a:stretch>
                  </pic:blipFill>
                  <pic:spPr>
                    <a:xfrm>
                      <a:off x="0" y="0"/>
                      <a:ext cx="5153036" cy="3878058"/>
                    </a:xfrm>
                    <a:prstGeom prst="rect">
                      <a:avLst/>
                    </a:prstGeom>
                  </pic:spPr>
                </pic:pic>
              </a:graphicData>
            </a:graphic>
          </wp:inline>
        </w:drawing>
      </w:r>
    </w:p>
    <w:p w14:paraId="2F83A701" w14:textId="316C0EAE" w:rsidR="00BD6832" w:rsidRDefault="00BD6832" w:rsidP="00BD6832">
      <w:pPr>
        <w:spacing w:line="480" w:lineRule="auto"/>
        <w:jc w:val="center"/>
      </w:pPr>
      <w:r w:rsidRPr="00BD6832">
        <w:drawing>
          <wp:inline distT="0" distB="0" distL="0" distR="0" wp14:anchorId="197BEDB3" wp14:editId="70369A7A">
            <wp:extent cx="5119370" cy="3850466"/>
            <wp:effectExtent l="0" t="0" r="5080" b="0"/>
            <wp:docPr id="853535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35525" name=""/>
                    <pic:cNvPicPr/>
                  </pic:nvPicPr>
                  <pic:blipFill>
                    <a:blip r:embed="rId15"/>
                    <a:stretch>
                      <a:fillRect/>
                    </a:stretch>
                  </pic:blipFill>
                  <pic:spPr>
                    <a:xfrm>
                      <a:off x="0" y="0"/>
                      <a:ext cx="5133295" cy="3860939"/>
                    </a:xfrm>
                    <a:prstGeom prst="rect">
                      <a:avLst/>
                    </a:prstGeom>
                  </pic:spPr>
                </pic:pic>
              </a:graphicData>
            </a:graphic>
          </wp:inline>
        </w:drawing>
      </w:r>
    </w:p>
    <w:p w14:paraId="75EFA1A3" w14:textId="77777777" w:rsidR="00BD6832" w:rsidRDefault="00BD6832">
      <w:pPr>
        <w:spacing w:line="480" w:lineRule="auto"/>
      </w:pPr>
    </w:p>
    <w:p w14:paraId="582CBF00" w14:textId="1F58C555" w:rsidR="006B5152" w:rsidRPr="00DA6064" w:rsidRDefault="006B5152" w:rsidP="006B5152">
      <w:pPr>
        <w:spacing w:before="240"/>
        <w:rPr>
          <w:rFonts w:ascii="Garamond" w:eastAsia="Times New Roman" w:hAnsi="Garamond" w:cs="Times New Roman"/>
          <w:b/>
          <w:sz w:val="28"/>
          <w:szCs w:val="28"/>
        </w:rPr>
      </w:pPr>
      <w:r w:rsidRPr="00DA6064">
        <w:rPr>
          <w:rFonts w:ascii="Garamond" w:eastAsia="Times New Roman" w:hAnsi="Garamond" w:cs="Times New Roman"/>
          <w:b/>
          <w:sz w:val="28"/>
          <w:szCs w:val="28"/>
        </w:rPr>
        <w:lastRenderedPageBreak/>
        <w:t xml:space="preserve">Table </w:t>
      </w:r>
      <w:r>
        <w:rPr>
          <w:rFonts w:ascii="Garamond" w:eastAsia="Times New Roman" w:hAnsi="Garamond" w:cs="Times New Roman"/>
          <w:b/>
          <w:sz w:val="28"/>
          <w:szCs w:val="28"/>
        </w:rPr>
        <w:t>3</w:t>
      </w:r>
      <w:r w:rsidRPr="00DA6064">
        <w:rPr>
          <w:rFonts w:ascii="Garamond" w:eastAsia="Times New Roman" w:hAnsi="Garamond" w:cs="Times New Roman"/>
          <w:b/>
          <w:sz w:val="28"/>
          <w:szCs w:val="28"/>
        </w:rPr>
        <w:t xml:space="preserve">: </w:t>
      </w:r>
      <w:r>
        <w:rPr>
          <w:rFonts w:ascii="Garamond" w:eastAsia="Times New Roman" w:hAnsi="Garamond" w:cs="Times New Roman"/>
          <w:b/>
          <w:sz w:val="28"/>
          <w:szCs w:val="28"/>
        </w:rPr>
        <w:t>Forecasting Metrics</w:t>
      </w:r>
    </w:p>
    <w:tbl>
      <w:tblPr>
        <w:tblStyle w:val="a"/>
        <w:tblW w:w="8798" w:type="dxa"/>
        <w:tblBorders>
          <w:top w:val="nil"/>
          <w:left w:val="nil"/>
          <w:bottom w:val="nil"/>
          <w:right w:val="nil"/>
          <w:insideH w:val="nil"/>
          <w:insideV w:val="nil"/>
        </w:tblBorders>
        <w:tblLayout w:type="fixed"/>
        <w:tblLook w:val="0600" w:firstRow="0" w:lastRow="0" w:firstColumn="0" w:lastColumn="0" w:noHBand="1" w:noVBand="1"/>
      </w:tblPr>
      <w:tblGrid>
        <w:gridCol w:w="1961"/>
        <w:gridCol w:w="1301"/>
        <w:gridCol w:w="1378"/>
        <w:gridCol w:w="1378"/>
        <w:gridCol w:w="1378"/>
        <w:gridCol w:w="1402"/>
      </w:tblGrid>
      <w:tr w:rsidR="006B5152" w:rsidRPr="00DA6064" w14:paraId="4792ED69" w14:textId="77777777" w:rsidTr="00D632DB">
        <w:trPr>
          <w:trHeight w:val="227"/>
        </w:trPr>
        <w:tc>
          <w:tcPr>
            <w:tcW w:w="1961" w:type="dxa"/>
            <w:tcBorders>
              <w:top w:val="single" w:sz="6" w:space="0" w:color="000000"/>
              <w:left w:val="nil"/>
              <w:bottom w:val="single" w:sz="12" w:space="0" w:color="000000"/>
              <w:right w:val="nil"/>
            </w:tcBorders>
            <w:tcMar>
              <w:top w:w="0" w:type="dxa"/>
              <w:left w:w="100" w:type="dxa"/>
              <w:bottom w:w="0" w:type="dxa"/>
              <w:right w:w="100" w:type="dxa"/>
            </w:tcMar>
          </w:tcPr>
          <w:p w14:paraId="47A83EDD" w14:textId="77777777" w:rsidR="006B5152" w:rsidRPr="00DA6064" w:rsidRDefault="006B5152" w:rsidP="000574B1">
            <w:pPr>
              <w:spacing w:before="240"/>
              <w:rPr>
                <w:rFonts w:ascii="Garamond" w:eastAsia="Times New Roman" w:hAnsi="Garamond" w:cs="Times New Roman"/>
                <w:sz w:val="24"/>
                <w:szCs w:val="24"/>
              </w:rPr>
            </w:pPr>
            <w:r w:rsidRPr="00DA6064">
              <w:rPr>
                <w:rFonts w:ascii="Garamond" w:eastAsia="Times New Roman" w:hAnsi="Garamond" w:cs="Times New Roman"/>
                <w:sz w:val="24"/>
                <w:szCs w:val="24"/>
              </w:rPr>
              <w:t>Variable</w:t>
            </w:r>
          </w:p>
        </w:tc>
        <w:tc>
          <w:tcPr>
            <w:tcW w:w="1301" w:type="dxa"/>
            <w:tcBorders>
              <w:top w:val="single" w:sz="6" w:space="0" w:color="000000"/>
              <w:left w:val="nil"/>
              <w:bottom w:val="single" w:sz="12" w:space="0" w:color="000000"/>
              <w:right w:val="nil"/>
            </w:tcBorders>
            <w:tcMar>
              <w:top w:w="0" w:type="dxa"/>
              <w:left w:w="100" w:type="dxa"/>
              <w:bottom w:w="0" w:type="dxa"/>
              <w:right w:w="100" w:type="dxa"/>
            </w:tcMar>
          </w:tcPr>
          <w:p w14:paraId="1C80724A" w14:textId="77777777" w:rsidR="006B5152" w:rsidRPr="00DA6064" w:rsidRDefault="006B5152" w:rsidP="000574B1">
            <w:pPr>
              <w:spacing w:before="240"/>
              <w:jc w:val="right"/>
              <w:rPr>
                <w:rFonts w:ascii="Garamond" w:eastAsia="Times New Roman" w:hAnsi="Garamond" w:cs="Times New Roman"/>
                <w:sz w:val="24"/>
                <w:szCs w:val="24"/>
              </w:rPr>
            </w:pPr>
            <w:r w:rsidRPr="00DA6064">
              <w:rPr>
                <w:rFonts w:ascii="Garamond" w:eastAsia="Times New Roman" w:hAnsi="Garamond" w:cs="Times New Roman"/>
                <w:sz w:val="24"/>
                <w:szCs w:val="24"/>
              </w:rPr>
              <w:t xml:space="preserve"> </w:t>
            </w:r>
            <w:proofErr w:type="spellStart"/>
            <w:r w:rsidRPr="00DA6064">
              <w:rPr>
                <w:rFonts w:ascii="Garamond" w:eastAsia="Times New Roman" w:hAnsi="Garamond" w:cs="Times New Roman"/>
                <w:sz w:val="24"/>
                <w:szCs w:val="24"/>
              </w:rPr>
              <w:t>Obs</w:t>
            </w:r>
            <w:proofErr w:type="spellEnd"/>
          </w:p>
        </w:tc>
        <w:tc>
          <w:tcPr>
            <w:tcW w:w="1378" w:type="dxa"/>
            <w:tcBorders>
              <w:top w:val="single" w:sz="6" w:space="0" w:color="000000"/>
              <w:left w:val="nil"/>
              <w:bottom w:val="single" w:sz="12" w:space="0" w:color="000000"/>
              <w:right w:val="nil"/>
            </w:tcBorders>
            <w:tcMar>
              <w:top w:w="0" w:type="dxa"/>
              <w:left w:w="100" w:type="dxa"/>
              <w:bottom w:w="0" w:type="dxa"/>
              <w:right w:w="100" w:type="dxa"/>
            </w:tcMar>
          </w:tcPr>
          <w:p w14:paraId="06AD37BC" w14:textId="262BA64B" w:rsidR="006B5152" w:rsidRPr="00DA6064" w:rsidRDefault="006B5152" w:rsidP="000574B1">
            <w:pPr>
              <w:spacing w:before="240"/>
              <w:jc w:val="right"/>
              <w:rPr>
                <w:rFonts w:ascii="Garamond" w:eastAsia="Times New Roman" w:hAnsi="Garamond" w:cs="Times New Roman"/>
                <w:sz w:val="24"/>
                <w:szCs w:val="24"/>
              </w:rPr>
            </w:pPr>
            <w:r w:rsidRPr="00DA6064">
              <w:rPr>
                <w:rFonts w:ascii="Garamond" w:eastAsia="Times New Roman" w:hAnsi="Garamond" w:cs="Times New Roman"/>
                <w:sz w:val="24"/>
                <w:szCs w:val="24"/>
              </w:rPr>
              <w:t xml:space="preserve"> </w:t>
            </w:r>
            <w:r w:rsidR="00A02F2A">
              <w:rPr>
                <w:rFonts w:ascii="Garamond" w:eastAsia="Times New Roman" w:hAnsi="Garamond" w:cs="Times New Roman"/>
                <w:sz w:val="24"/>
                <w:szCs w:val="24"/>
              </w:rPr>
              <w:t xml:space="preserve">Sample </w:t>
            </w:r>
            <w:r w:rsidRPr="00DA6064">
              <w:rPr>
                <w:rFonts w:ascii="Garamond" w:eastAsia="Times New Roman" w:hAnsi="Garamond" w:cs="Times New Roman"/>
                <w:sz w:val="24"/>
                <w:szCs w:val="24"/>
              </w:rPr>
              <w:t>Mean</w:t>
            </w:r>
          </w:p>
        </w:tc>
        <w:tc>
          <w:tcPr>
            <w:tcW w:w="1378" w:type="dxa"/>
            <w:tcBorders>
              <w:top w:val="single" w:sz="6" w:space="0" w:color="000000"/>
              <w:left w:val="nil"/>
              <w:bottom w:val="single" w:sz="12" w:space="0" w:color="000000"/>
              <w:right w:val="nil"/>
            </w:tcBorders>
            <w:tcMar>
              <w:top w:w="0" w:type="dxa"/>
              <w:left w:w="100" w:type="dxa"/>
              <w:bottom w:w="0" w:type="dxa"/>
              <w:right w:w="100" w:type="dxa"/>
            </w:tcMar>
          </w:tcPr>
          <w:p w14:paraId="3E3FD946" w14:textId="1CA49256" w:rsidR="006B5152" w:rsidRPr="00DA6064" w:rsidRDefault="006B5152" w:rsidP="000574B1">
            <w:pPr>
              <w:spacing w:before="240"/>
              <w:jc w:val="right"/>
              <w:rPr>
                <w:rFonts w:ascii="Garamond" w:eastAsia="Times New Roman" w:hAnsi="Garamond" w:cs="Times New Roman"/>
                <w:sz w:val="24"/>
                <w:szCs w:val="24"/>
              </w:rPr>
            </w:pPr>
            <w:r w:rsidRPr="00DA6064">
              <w:rPr>
                <w:rFonts w:ascii="Garamond" w:eastAsia="Times New Roman" w:hAnsi="Garamond" w:cs="Times New Roman"/>
                <w:sz w:val="24"/>
                <w:szCs w:val="24"/>
              </w:rPr>
              <w:t xml:space="preserve"> </w:t>
            </w:r>
            <w:r w:rsidR="00A02F2A">
              <w:rPr>
                <w:rFonts w:ascii="Garamond" w:eastAsia="Times New Roman" w:hAnsi="Garamond" w:cs="Times New Roman"/>
                <w:sz w:val="24"/>
                <w:szCs w:val="24"/>
              </w:rPr>
              <w:t>Forecast Mean</w:t>
            </w:r>
          </w:p>
        </w:tc>
        <w:tc>
          <w:tcPr>
            <w:tcW w:w="1378" w:type="dxa"/>
            <w:tcBorders>
              <w:top w:val="single" w:sz="6" w:space="0" w:color="000000"/>
              <w:left w:val="nil"/>
              <w:bottom w:val="single" w:sz="12" w:space="0" w:color="000000"/>
              <w:right w:val="nil"/>
            </w:tcBorders>
            <w:tcMar>
              <w:top w:w="0" w:type="dxa"/>
              <w:left w:w="100" w:type="dxa"/>
              <w:bottom w:w="0" w:type="dxa"/>
              <w:right w:w="100" w:type="dxa"/>
            </w:tcMar>
          </w:tcPr>
          <w:p w14:paraId="327F3230" w14:textId="1E225E1C" w:rsidR="006B5152" w:rsidRPr="00DA6064" w:rsidRDefault="006B5152" w:rsidP="000574B1">
            <w:pPr>
              <w:spacing w:before="240"/>
              <w:jc w:val="right"/>
              <w:rPr>
                <w:rFonts w:ascii="Garamond" w:eastAsia="Times New Roman" w:hAnsi="Garamond" w:cs="Times New Roman"/>
                <w:sz w:val="24"/>
                <w:szCs w:val="24"/>
              </w:rPr>
            </w:pPr>
            <w:r w:rsidRPr="00DA6064">
              <w:rPr>
                <w:rFonts w:ascii="Garamond" w:eastAsia="Times New Roman" w:hAnsi="Garamond" w:cs="Times New Roman"/>
                <w:sz w:val="24"/>
                <w:szCs w:val="24"/>
              </w:rPr>
              <w:t xml:space="preserve"> </w:t>
            </w:r>
            <w:r>
              <w:rPr>
                <w:rFonts w:ascii="Garamond" w:eastAsia="Times New Roman" w:hAnsi="Garamond" w:cs="Times New Roman"/>
                <w:sz w:val="24"/>
                <w:szCs w:val="24"/>
              </w:rPr>
              <w:t>MSE</w:t>
            </w:r>
          </w:p>
        </w:tc>
        <w:tc>
          <w:tcPr>
            <w:tcW w:w="1401" w:type="dxa"/>
            <w:tcBorders>
              <w:top w:val="single" w:sz="6" w:space="0" w:color="000000"/>
              <w:left w:val="nil"/>
              <w:bottom w:val="single" w:sz="12" w:space="0" w:color="000000"/>
              <w:right w:val="nil"/>
            </w:tcBorders>
            <w:tcMar>
              <w:top w:w="0" w:type="dxa"/>
              <w:left w:w="100" w:type="dxa"/>
              <w:bottom w:w="0" w:type="dxa"/>
              <w:right w:w="100" w:type="dxa"/>
            </w:tcMar>
          </w:tcPr>
          <w:p w14:paraId="54B53A85" w14:textId="5411994F" w:rsidR="006B5152" w:rsidRPr="00DA6064" w:rsidRDefault="006B5152" w:rsidP="000574B1">
            <w:pPr>
              <w:spacing w:before="240"/>
              <w:jc w:val="right"/>
              <w:rPr>
                <w:rFonts w:ascii="Garamond" w:eastAsia="Times New Roman" w:hAnsi="Garamond" w:cs="Times New Roman"/>
                <w:sz w:val="24"/>
                <w:szCs w:val="24"/>
              </w:rPr>
            </w:pPr>
            <w:r w:rsidRPr="00DA6064">
              <w:rPr>
                <w:rFonts w:ascii="Garamond" w:eastAsia="Times New Roman" w:hAnsi="Garamond" w:cs="Times New Roman"/>
                <w:sz w:val="24"/>
                <w:szCs w:val="24"/>
              </w:rPr>
              <w:t xml:space="preserve"> </w:t>
            </w:r>
            <w:r>
              <w:rPr>
                <w:rFonts w:ascii="Garamond" w:eastAsia="Times New Roman" w:hAnsi="Garamond" w:cs="Times New Roman"/>
                <w:sz w:val="24"/>
                <w:szCs w:val="24"/>
              </w:rPr>
              <w:t>RSE</w:t>
            </w:r>
          </w:p>
        </w:tc>
      </w:tr>
      <w:tr w:rsidR="006B5152" w:rsidRPr="00DA6064" w14:paraId="76C6F3BA" w14:textId="77777777" w:rsidTr="00D632DB">
        <w:trPr>
          <w:trHeight w:val="227"/>
        </w:trPr>
        <w:tc>
          <w:tcPr>
            <w:tcW w:w="1961" w:type="dxa"/>
            <w:tcBorders>
              <w:top w:val="nil"/>
              <w:left w:val="nil"/>
              <w:bottom w:val="nil"/>
              <w:right w:val="nil"/>
            </w:tcBorders>
            <w:tcMar>
              <w:top w:w="0" w:type="dxa"/>
              <w:left w:w="100" w:type="dxa"/>
              <w:bottom w:w="0" w:type="dxa"/>
              <w:right w:w="100" w:type="dxa"/>
            </w:tcMar>
          </w:tcPr>
          <w:p w14:paraId="7EA2699E" w14:textId="3BFD0A83" w:rsidR="006B5152" w:rsidRPr="00DA6064" w:rsidRDefault="00D632DB" w:rsidP="000574B1">
            <w:pPr>
              <w:spacing w:before="240"/>
              <w:rPr>
                <w:rFonts w:ascii="Garamond" w:eastAsia="Times New Roman" w:hAnsi="Garamond" w:cs="Times New Roman"/>
                <w:sz w:val="24"/>
                <w:szCs w:val="24"/>
              </w:rPr>
            </w:pPr>
            <w:r>
              <w:rPr>
                <w:rFonts w:ascii="Garamond" w:eastAsia="Times New Roman" w:hAnsi="Garamond" w:cs="Times New Roman"/>
                <w:sz w:val="24"/>
                <w:szCs w:val="24"/>
              </w:rPr>
              <w:t xml:space="preserve"> </w:t>
            </w:r>
            <w:r w:rsidR="006B5152" w:rsidRPr="00DA6064">
              <w:rPr>
                <w:rFonts w:ascii="Garamond" w:eastAsia="Times New Roman" w:hAnsi="Garamond" w:cs="Times New Roman"/>
                <w:sz w:val="24"/>
                <w:szCs w:val="24"/>
              </w:rPr>
              <w:t xml:space="preserve">S&amp;P 500 </w:t>
            </w:r>
            <w:r w:rsidR="006B5152">
              <w:rPr>
                <w:rFonts w:ascii="Garamond" w:eastAsia="Times New Roman" w:hAnsi="Garamond" w:cs="Times New Roman"/>
                <w:sz w:val="24"/>
                <w:szCs w:val="24"/>
              </w:rPr>
              <w:t xml:space="preserve">                       </w:t>
            </w:r>
            <w:r>
              <w:rPr>
                <w:rFonts w:ascii="Garamond" w:eastAsia="Times New Roman" w:hAnsi="Garamond" w:cs="Times New Roman"/>
                <w:sz w:val="24"/>
                <w:szCs w:val="24"/>
              </w:rPr>
              <w:t xml:space="preserve">     </w:t>
            </w:r>
            <w:r w:rsidR="006B5152">
              <w:rPr>
                <w:rFonts w:ascii="Garamond" w:eastAsia="Times New Roman" w:hAnsi="Garamond" w:cs="Times New Roman"/>
                <w:sz w:val="24"/>
                <w:szCs w:val="24"/>
              </w:rPr>
              <w:t>(1</w:t>
            </w:r>
            <w:r w:rsidR="006B5152" w:rsidRPr="006B5152">
              <w:rPr>
                <w:rFonts w:ascii="Garamond" w:eastAsia="Times New Roman" w:hAnsi="Garamond" w:cs="Times New Roman"/>
                <w:sz w:val="24"/>
                <w:szCs w:val="24"/>
                <w:vertAlign w:val="superscript"/>
              </w:rPr>
              <w:t>st</w:t>
            </w:r>
            <w:r w:rsidR="006B5152">
              <w:rPr>
                <w:rFonts w:ascii="Garamond" w:eastAsia="Times New Roman" w:hAnsi="Garamond" w:cs="Times New Roman"/>
                <w:sz w:val="24"/>
                <w:szCs w:val="24"/>
              </w:rPr>
              <w:t xml:space="preserve"> Difference)</w:t>
            </w:r>
          </w:p>
        </w:tc>
        <w:tc>
          <w:tcPr>
            <w:tcW w:w="1301" w:type="dxa"/>
            <w:tcBorders>
              <w:top w:val="nil"/>
              <w:left w:val="nil"/>
              <w:bottom w:val="nil"/>
              <w:right w:val="nil"/>
            </w:tcBorders>
            <w:tcMar>
              <w:top w:w="0" w:type="dxa"/>
              <w:left w:w="100" w:type="dxa"/>
              <w:bottom w:w="0" w:type="dxa"/>
              <w:right w:w="100" w:type="dxa"/>
            </w:tcMar>
          </w:tcPr>
          <w:p w14:paraId="37BAE063" w14:textId="03BB213B" w:rsidR="006B5152" w:rsidRPr="00DA6064" w:rsidRDefault="006B5152" w:rsidP="000574B1">
            <w:pPr>
              <w:spacing w:before="240"/>
              <w:jc w:val="right"/>
              <w:rPr>
                <w:rFonts w:ascii="Garamond" w:eastAsia="Times New Roman" w:hAnsi="Garamond" w:cs="Times New Roman"/>
                <w:sz w:val="24"/>
                <w:szCs w:val="24"/>
              </w:rPr>
            </w:pPr>
            <w:r>
              <w:rPr>
                <w:rFonts w:ascii="Garamond" w:eastAsia="Times New Roman" w:hAnsi="Garamond" w:cs="Times New Roman"/>
                <w:sz w:val="24"/>
                <w:szCs w:val="24"/>
              </w:rPr>
              <w:t>100</w:t>
            </w:r>
          </w:p>
        </w:tc>
        <w:tc>
          <w:tcPr>
            <w:tcW w:w="1378" w:type="dxa"/>
            <w:tcBorders>
              <w:top w:val="nil"/>
              <w:left w:val="nil"/>
              <w:bottom w:val="nil"/>
              <w:right w:val="nil"/>
            </w:tcBorders>
            <w:tcMar>
              <w:top w:w="0" w:type="dxa"/>
              <w:left w:w="100" w:type="dxa"/>
              <w:bottom w:w="0" w:type="dxa"/>
              <w:right w:w="100" w:type="dxa"/>
            </w:tcMar>
          </w:tcPr>
          <w:p w14:paraId="173F17E6" w14:textId="60BFB88C" w:rsidR="006B5152" w:rsidRPr="00DA6064" w:rsidRDefault="006B5152" w:rsidP="000574B1">
            <w:pPr>
              <w:spacing w:before="240"/>
              <w:jc w:val="right"/>
              <w:rPr>
                <w:rFonts w:ascii="Garamond" w:eastAsia="Times New Roman" w:hAnsi="Garamond" w:cs="Times New Roman"/>
                <w:sz w:val="24"/>
                <w:szCs w:val="24"/>
              </w:rPr>
            </w:pPr>
            <w:r>
              <w:rPr>
                <w:rFonts w:ascii="Garamond" w:eastAsia="Times New Roman" w:hAnsi="Garamond" w:cs="Times New Roman"/>
                <w:sz w:val="24"/>
                <w:szCs w:val="24"/>
              </w:rPr>
              <w:t>-1.2</w:t>
            </w:r>
            <w:r w:rsidR="00D632DB">
              <w:rPr>
                <w:rFonts w:ascii="Garamond" w:eastAsia="Times New Roman" w:hAnsi="Garamond" w:cs="Times New Roman"/>
                <w:sz w:val="24"/>
                <w:szCs w:val="24"/>
              </w:rPr>
              <w:t>777</w:t>
            </w:r>
          </w:p>
        </w:tc>
        <w:tc>
          <w:tcPr>
            <w:tcW w:w="1378" w:type="dxa"/>
            <w:tcBorders>
              <w:top w:val="nil"/>
              <w:left w:val="nil"/>
              <w:bottom w:val="nil"/>
              <w:right w:val="nil"/>
            </w:tcBorders>
            <w:tcMar>
              <w:top w:w="0" w:type="dxa"/>
              <w:left w:w="100" w:type="dxa"/>
              <w:bottom w:w="0" w:type="dxa"/>
              <w:right w:w="100" w:type="dxa"/>
            </w:tcMar>
          </w:tcPr>
          <w:p w14:paraId="6A84958A" w14:textId="221B131A" w:rsidR="006B5152" w:rsidRPr="00DA6064" w:rsidRDefault="00632A60" w:rsidP="000574B1">
            <w:pPr>
              <w:spacing w:before="240"/>
              <w:jc w:val="right"/>
              <w:rPr>
                <w:rFonts w:ascii="Garamond" w:eastAsia="Times New Roman" w:hAnsi="Garamond" w:cs="Times New Roman"/>
                <w:sz w:val="24"/>
                <w:szCs w:val="24"/>
              </w:rPr>
            </w:pPr>
            <w:r w:rsidRPr="00632A60">
              <w:rPr>
                <w:rFonts w:ascii="Garamond" w:eastAsia="Times New Roman" w:hAnsi="Garamond" w:cs="Times New Roman"/>
                <w:sz w:val="24"/>
                <w:szCs w:val="24"/>
              </w:rPr>
              <w:t>0.5649</w:t>
            </w:r>
          </w:p>
        </w:tc>
        <w:tc>
          <w:tcPr>
            <w:tcW w:w="1378" w:type="dxa"/>
            <w:tcBorders>
              <w:top w:val="nil"/>
              <w:left w:val="nil"/>
              <w:bottom w:val="nil"/>
              <w:right w:val="nil"/>
            </w:tcBorders>
            <w:tcMar>
              <w:top w:w="0" w:type="dxa"/>
              <w:left w:w="100" w:type="dxa"/>
              <w:bottom w:w="0" w:type="dxa"/>
              <w:right w:w="100" w:type="dxa"/>
            </w:tcMar>
          </w:tcPr>
          <w:p w14:paraId="7B69B7CE" w14:textId="73A39705" w:rsidR="006B5152" w:rsidRPr="00DA6064" w:rsidRDefault="00507DBD" w:rsidP="000574B1">
            <w:pPr>
              <w:spacing w:before="240"/>
              <w:jc w:val="right"/>
              <w:rPr>
                <w:rFonts w:ascii="Garamond" w:eastAsia="Times New Roman" w:hAnsi="Garamond" w:cs="Times New Roman"/>
                <w:sz w:val="24"/>
                <w:szCs w:val="24"/>
              </w:rPr>
            </w:pPr>
            <w:r w:rsidRPr="00507DBD">
              <w:rPr>
                <w:rFonts w:ascii="Garamond" w:eastAsia="Times New Roman" w:hAnsi="Garamond" w:cs="Times New Roman"/>
                <w:sz w:val="24"/>
                <w:szCs w:val="24"/>
              </w:rPr>
              <w:t>255.3368</w:t>
            </w:r>
          </w:p>
        </w:tc>
        <w:tc>
          <w:tcPr>
            <w:tcW w:w="1401" w:type="dxa"/>
            <w:tcBorders>
              <w:top w:val="nil"/>
              <w:left w:val="nil"/>
              <w:bottom w:val="nil"/>
              <w:right w:val="nil"/>
            </w:tcBorders>
            <w:tcMar>
              <w:top w:w="0" w:type="dxa"/>
              <w:left w:w="100" w:type="dxa"/>
              <w:bottom w:w="0" w:type="dxa"/>
              <w:right w:w="100" w:type="dxa"/>
            </w:tcMar>
          </w:tcPr>
          <w:p w14:paraId="21BD5086" w14:textId="25D3FC6E" w:rsidR="006B5152" w:rsidRPr="00DA6064" w:rsidRDefault="006B5152" w:rsidP="000574B1">
            <w:pPr>
              <w:spacing w:before="240"/>
              <w:jc w:val="right"/>
              <w:rPr>
                <w:rFonts w:ascii="Garamond" w:eastAsia="Times New Roman" w:hAnsi="Garamond" w:cs="Times New Roman"/>
                <w:sz w:val="24"/>
                <w:szCs w:val="24"/>
              </w:rPr>
            </w:pPr>
            <w:r>
              <w:rPr>
                <w:rFonts w:ascii="Garamond" w:eastAsia="Times New Roman" w:hAnsi="Garamond" w:cs="Times New Roman"/>
                <w:sz w:val="24"/>
                <w:szCs w:val="24"/>
              </w:rPr>
              <w:t>1.0004</w:t>
            </w:r>
          </w:p>
        </w:tc>
      </w:tr>
      <w:tr w:rsidR="006B5152" w:rsidRPr="00DA6064" w14:paraId="6EE1FA9B" w14:textId="77777777" w:rsidTr="00D632DB">
        <w:trPr>
          <w:trHeight w:val="300"/>
        </w:trPr>
        <w:tc>
          <w:tcPr>
            <w:tcW w:w="1961" w:type="dxa"/>
            <w:tcBorders>
              <w:top w:val="nil"/>
              <w:left w:val="nil"/>
              <w:bottom w:val="nil"/>
              <w:right w:val="nil"/>
            </w:tcBorders>
            <w:tcMar>
              <w:top w:w="0" w:type="dxa"/>
              <w:left w:w="100" w:type="dxa"/>
              <w:bottom w:w="0" w:type="dxa"/>
              <w:right w:w="100" w:type="dxa"/>
            </w:tcMar>
          </w:tcPr>
          <w:p w14:paraId="4981189C" w14:textId="77F78955" w:rsidR="006B5152" w:rsidRPr="00DA6064" w:rsidRDefault="00D632DB" w:rsidP="000574B1">
            <w:pPr>
              <w:spacing w:before="240"/>
              <w:rPr>
                <w:rFonts w:ascii="Garamond" w:eastAsia="Times New Roman" w:hAnsi="Garamond" w:cs="Times New Roman"/>
                <w:sz w:val="24"/>
                <w:szCs w:val="24"/>
              </w:rPr>
            </w:pPr>
            <w:r>
              <w:rPr>
                <w:rFonts w:ascii="Garamond" w:eastAsia="Times New Roman" w:hAnsi="Garamond" w:cs="Times New Roman"/>
                <w:sz w:val="24"/>
                <w:szCs w:val="24"/>
              </w:rPr>
              <w:t xml:space="preserve"> </w:t>
            </w:r>
            <w:r w:rsidR="006B5152" w:rsidRPr="00DA6064">
              <w:rPr>
                <w:rFonts w:ascii="Garamond" w:eastAsia="Times New Roman" w:hAnsi="Garamond" w:cs="Times New Roman"/>
                <w:sz w:val="24"/>
                <w:szCs w:val="24"/>
              </w:rPr>
              <w:t xml:space="preserve">Nasdaq </w:t>
            </w:r>
            <w:r w:rsidR="006B5152">
              <w:rPr>
                <w:rFonts w:ascii="Garamond" w:eastAsia="Times New Roman" w:hAnsi="Garamond" w:cs="Times New Roman"/>
                <w:sz w:val="24"/>
                <w:szCs w:val="24"/>
              </w:rPr>
              <w:t xml:space="preserve">                         (1</w:t>
            </w:r>
            <w:r w:rsidR="006B5152" w:rsidRPr="006B5152">
              <w:rPr>
                <w:rFonts w:ascii="Garamond" w:eastAsia="Times New Roman" w:hAnsi="Garamond" w:cs="Times New Roman"/>
                <w:sz w:val="24"/>
                <w:szCs w:val="24"/>
                <w:vertAlign w:val="superscript"/>
              </w:rPr>
              <w:t>st</w:t>
            </w:r>
            <w:r w:rsidR="006B5152">
              <w:rPr>
                <w:rFonts w:ascii="Garamond" w:eastAsia="Times New Roman" w:hAnsi="Garamond" w:cs="Times New Roman"/>
                <w:sz w:val="24"/>
                <w:szCs w:val="24"/>
              </w:rPr>
              <w:t xml:space="preserve"> Difference)</w:t>
            </w:r>
          </w:p>
        </w:tc>
        <w:tc>
          <w:tcPr>
            <w:tcW w:w="1301" w:type="dxa"/>
            <w:tcBorders>
              <w:top w:val="nil"/>
              <w:left w:val="nil"/>
              <w:bottom w:val="nil"/>
              <w:right w:val="nil"/>
            </w:tcBorders>
            <w:tcMar>
              <w:top w:w="0" w:type="dxa"/>
              <w:left w:w="100" w:type="dxa"/>
              <w:bottom w:w="0" w:type="dxa"/>
              <w:right w:w="100" w:type="dxa"/>
            </w:tcMar>
          </w:tcPr>
          <w:p w14:paraId="789A0431" w14:textId="3196A1EA" w:rsidR="006B5152" w:rsidRPr="00DA6064" w:rsidRDefault="006B5152" w:rsidP="000574B1">
            <w:pPr>
              <w:spacing w:before="240"/>
              <w:jc w:val="right"/>
              <w:rPr>
                <w:rFonts w:ascii="Garamond" w:eastAsia="Times New Roman" w:hAnsi="Garamond" w:cs="Times New Roman"/>
                <w:sz w:val="24"/>
                <w:szCs w:val="24"/>
              </w:rPr>
            </w:pPr>
            <w:r>
              <w:rPr>
                <w:rFonts w:ascii="Garamond" w:eastAsia="Times New Roman" w:hAnsi="Garamond" w:cs="Times New Roman"/>
                <w:sz w:val="24"/>
                <w:szCs w:val="24"/>
              </w:rPr>
              <w:t>100</w:t>
            </w:r>
          </w:p>
        </w:tc>
        <w:tc>
          <w:tcPr>
            <w:tcW w:w="1378" w:type="dxa"/>
            <w:tcBorders>
              <w:top w:val="nil"/>
              <w:left w:val="nil"/>
              <w:bottom w:val="nil"/>
              <w:right w:val="nil"/>
            </w:tcBorders>
            <w:tcMar>
              <w:top w:w="0" w:type="dxa"/>
              <w:left w:w="100" w:type="dxa"/>
              <w:bottom w:w="0" w:type="dxa"/>
              <w:right w:w="100" w:type="dxa"/>
            </w:tcMar>
          </w:tcPr>
          <w:p w14:paraId="479FBEBE" w14:textId="100AB7D9" w:rsidR="006B5152" w:rsidRPr="00DA6064" w:rsidRDefault="006B5152" w:rsidP="000574B1">
            <w:pPr>
              <w:spacing w:before="240"/>
              <w:jc w:val="right"/>
              <w:rPr>
                <w:rFonts w:ascii="Garamond" w:eastAsia="Times New Roman" w:hAnsi="Garamond" w:cs="Times New Roman"/>
                <w:sz w:val="24"/>
                <w:szCs w:val="24"/>
              </w:rPr>
            </w:pPr>
            <w:r>
              <w:rPr>
                <w:rFonts w:ascii="Garamond" w:eastAsia="Times New Roman" w:hAnsi="Garamond" w:cs="Times New Roman"/>
                <w:sz w:val="24"/>
                <w:szCs w:val="24"/>
              </w:rPr>
              <w:t>-10.8</w:t>
            </w:r>
            <w:r w:rsidR="00D632DB">
              <w:rPr>
                <w:rFonts w:ascii="Garamond" w:eastAsia="Times New Roman" w:hAnsi="Garamond" w:cs="Times New Roman"/>
                <w:sz w:val="24"/>
                <w:szCs w:val="24"/>
              </w:rPr>
              <w:t>755</w:t>
            </w:r>
          </w:p>
        </w:tc>
        <w:tc>
          <w:tcPr>
            <w:tcW w:w="1378" w:type="dxa"/>
            <w:tcBorders>
              <w:top w:val="nil"/>
              <w:left w:val="nil"/>
              <w:bottom w:val="nil"/>
              <w:right w:val="nil"/>
            </w:tcBorders>
            <w:tcMar>
              <w:top w:w="0" w:type="dxa"/>
              <w:left w:w="100" w:type="dxa"/>
              <w:bottom w:w="0" w:type="dxa"/>
              <w:right w:w="100" w:type="dxa"/>
            </w:tcMar>
          </w:tcPr>
          <w:p w14:paraId="56654B13" w14:textId="137F6C1B" w:rsidR="006B5152" w:rsidRPr="00DA6064" w:rsidRDefault="00A068E6" w:rsidP="000574B1">
            <w:pPr>
              <w:spacing w:before="240"/>
              <w:jc w:val="right"/>
              <w:rPr>
                <w:rFonts w:ascii="Garamond" w:eastAsia="Times New Roman" w:hAnsi="Garamond" w:cs="Times New Roman"/>
                <w:sz w:val="24"/>
                <w:szCs w:val="24"/>
              </w:rPr>
            </w:pPr>
            <w:r w:rsidRPr="00A068E6">
              <w:rPr>
                <w:rFonts w:ascii="Garamond" w:eastAsia="Times New Roman" w:hAnsi="Garamond" w:cs="Times New Roman"/>
                <w:sz w:val="24"/>
                <w:szCs w:val="24"/>
              </w:rPr>
              <w:t>0.150</w:t>
            </w:r>
            <w:r w:rsidR="006B4051">
              <w:rPr>
                <w:rFonts w:ascii="Garamond" w:eastAsia="Times New Roman" w:hAnsi="Garamond" w:cs="Times New Roman"/>
                <w:sz w:val="24"/>
                <w:szCs w:val="24"/>
              </w:rPr>
              <w:t>4</w:t>
            </w:r>
          </w:p>
        </w:tc>
        <w:tc>
          <w:tcPr>
            <w:tcW w:w="1378" w:type="dxa"/>
            <w:tcBorders>
              <w:top w:val="nil"/>
              <w:left w:val="nil"/>
              <w:bottom w:val="nil"/>
              <w:right w:val="nil"/>
            </w:tcBorders>
            <w:tcMar>
              <w:top w:w="0" w:type="dxa"/>
              <w:left w:w="100" w:type="dxa"/>
              <w:bottom w:w="0" w:type="dxa"/>
              <w:right w:w="100" w:type="dxa"/>
            </w:tcMar>
          </w:tcPr>
          <w:p w14:paraId="06FDFFC2" w14:textId="106846AF" w:rsidR="006B5152" w:rsidRPr="00DA6064" w:rsidRDefault="00507DBD" w:rsidP="000574B1">
            <w:pPr>
              <w:spacing w:before="240"/>
              <w:jc w:val="right"/>
              <w:rPr>
                <w:rFonts w:ascii="Garamond" w:eastAsia="Times New Roman" w:hAnsi="Garamond" w:cs="Times New Roman"/>
                <w:sz w:val="24"/>
                <w:szCs w:val="24"/>
              </w:rPr>
            </w:pPr>
            <w:r w:rsidRPr="00507DBD">
              <w:rPr>
                <w:rFonts w:ascii="Garamond" w:eastAsia="Times New Roman" w:hAnsi="Garamond" w:cs="Times New Roman"/>
                <w:sz w:val="24"/>
                <w:szCs w:val="24"/>
              </w:rPr>
              <w:t>8509.0341</w:t>
            </w:r>
          </w:p>
        </w:tc>
        <w:tc>
          <w:tcPr>
            <w:tcW w:w="1401" w:type="dxa"/>
            <w:tcBorders>
              <w:top w:val="nil"/>
              <w:left w:val="nil"/>
              <w:bottom w:val="nil"/>
              <w:right w:val="nil"/>
            </w:tcBorders>
            <w:tcMar>
              <w:top w:w="0" w:type="dxa"/>
              <w:left w:w="100" w:type="dxa"/>
              <w:bottom w:w="0" w:type="dxa"/>
              <w:right w:w="100" w:type="dxa"/>
            </w:tcMar>
          </w:tcPr>
          <w:p w14:paraId="59495F83" w14:textId="780A1CA6" w:rsidR="006B5152" w:rsidRPr="00DA6064" w:rsidRDefault="00D632DB" w:rsidP="000574B1">
            <w:pPr>
              <w:spacing w:before="240"/>
              <w:jc w:val="right"/>
              <w:rPr>
                <w:rFonts w:ascii="Garamond" w:eastAsia="Times New Roman" w:hAnsi="Garamond" w:cs="Times New Roman"/>
                <w:sz w:val="24"/>
                <w:szCs w:val="24"/>
              </w:rPr>
            </w:pPr>
            <w:r>
              <w:rPr>
                <w:rFonts w:ascii="Garamond" w:eastAsia="Times New Roman" w:hAnsi="Garamond" w:cs="Times New Roman"/>
                <w:sz w:val="24"/>
                <w:szCs w:val="24"/>
              </w:rPr>
              <w:t>1.0000</w:t>
            </w:r>
          </w:p>
        </w:tc>
      </w:tr>
      <w:tr w:rsidR="006B5152" w:rsidRPr="00DA6064" w14:paraId="7A8F20AE" w14:textId="77777777" w:rsidTr="00D632DB">
        <w:trPr>
          <w:trHeight w:val="173"/>
        </w:trPr>
        <w:tc>
          <w:tcPr>
            <w:tcW w:w="8798" w:type="dxa"/>
            <w:gridSpan w:val="6"/>
            <w:tcBorders>
              <w:top w:val="single" w:sz="6" w:space="0" w:color="000000"/>
              <w:left w:val="nil"/>
              <w:bottom w:val="single" w:sz="6" w:space="0" w:color="000000"/>
              <w:right w:val="nil"/>
            </w:tcBorders>
            <w:tcMar>
              <w:top w:w="0" w:type="dxa"/>
              <w:left w:w="100" w:type="dxa"/>
              <w:bottom w:w="0" w:type="dxa"/>
              <w:right w:w="100" w:type="dxa"/>
            </w:tcMar>
          </w:tcPr>
          <w:p w14:paraId="5D64AEB4" w14:textId="77777777" w:rsidR="006B5152" w:rsidRPr="00DA6064" w:rsidRDefault="006B5152" w:rsidP="006B5152">
            <w:pPr>
              <w:spacing w:line="240" w:lineRule="auto"/>
              <w:rPr>
                <w:rFonts w:ascii="Garamond" w:eastAsia="Times New Roman" w:hAnsi="Garamond" w:cs="Times New Roman"/>
                <w:sz w:val="20"/>
                <w:szCs w:val="20"/>
              </w:rPr>
            </w:pPr>
          </w:p>
        </w:tc>
      </w:tr>
    </w:tbl>
    <w:p w14:paraId="10453755" w14:textId="5710F87E" w:rsidR="00556F04" w:rsidRDefault="00556F04">
      <w:pPr>
        <w:spacing w:line="480" w:lineRule="auto"/>
      </w:pPr>
    </w:p>
    <w:p w14:paraId="10453756" w14:textId="6C45CA93" w:rsidR="00556F04" w:rsidRPr="00A70259" w:rsidRDefault="00000000">
      <w:pPr>
        <w:spacing w:line="480" w:lineRule="auto"/>
        <w:rPr>
          <w:rFonts w:ascii="Calibri" w:hAnsi="Calibri" w:cs="Calibri"/>
          <w:sz w:val="24"/>
          <w:szCs w:val="24"/>
        </w:rPr>
      </w:pPr>
      <w:r w:rsidRPr="00A70259">
        <w:rPr>
          <w:rFonts w:ascii="Calibri" w:hAnsi="Calibri" w:cs="Calibri"/>
          <w:sz w:val="24"/>
          <w:szCs w:val="24"/>
        </w:rPr>
        <w:tab/>
        <w:t xml:space="preserve">Interpreting these results, it is clear that our models are unable to accurately forecast S&amp;P 500 and Nasdaq prices. Both forecasts suffer from imprecision and an inability to capture systematic patterns. This is visually seen by the wide confidence intervals, and projection time paths that do not “chase the data” </w:t>
      </w:r>
      <w:r w:rsidR="00F1662D">
        <w:rPr>
          <w:rFonts w:ascii="Calibri" w:hAnsi="Calibri" w:cs="Calibri"/>
          <w:sz w:val="24"/>
          <w:szCs w:val="24"/>
        </w:rPr>
        <w:t>and</w:t>
      </w:r>
      <w:r w:rsidRPr="00A70259">
        <w:rPr>
          <w:rFonts w:ascii="Calibri" w:hAnsi="Calibri" w:cs="Calibri"/>
          <w:sz w:val="24"/>
          <w:szCs w:val="24"/>
        </w:rPr>
        <w:t xml:space="preserve"> quickly </w:t>
      </w:r>
      <w:r w:rsidR="00644BCD">
        <w:rPr>
          <w:rFonts w:ascii="Calibri" w:hAnsi="Calibri" w:cs="Calibri"/>
          <w:sz w:val="24"/>
          <w:szCs w:val="24"/>
        </w:rPr>
        <w:t>converge</w:t>
      </w:r>
      <w:r w:rsidRPr="00A70259">
        <w:rPr>
          <w:rFonts w:ascii="Calibri" w:hAnsi="Calibri" w:cs="Calibri"/>
          <w:sz w:val="24"/>
          <w:szCs w:val="24"/>
        </w:rPr>
        <w:t xml:space="preserve"> to 0. Additionally, it does not appear that the vector autoregression of the effective federal funds rate and the S&amp;P 500 performed better than the ARIMA model of Nasdaq, as the relative squared error (RSE) is about 1 for both forecasts. </w:t>
      </w:r>
    </w:p>
    <w:p w14:paraId="10453757" w14:textId="6183FCEB" w:rsidR="00556F04" w:rsidRPr="00A70259" w:rsidRDefault="00000000">
      <w:pPr>
        <w:spacing w:line="480" w:lineRule="auto"/>
        <w:rPr>
          <w:rFonts w:ascii="Calibri" w:hAnsi="Calibri" w:cs="Calibri"/>
          <w:sz w:val="24"/>
          <w:szCs w:val="24"/>
        </w:rPr>
      </w:pPr>
      <w:r w:rsidRPr="00A70259">
        <w:rPr>
          <w:rFonts w:ascii="Calibri" w:hAnsi="Calibri" w:cs="Calibri"/>
          <w:sz w:val="24"/>
          <w:szCs w:val="24"/>
        </w:rPr>
        <w:tab/>
        <w:t>One important issue that may have contributed to the poor estimation ability of our models and the absence of Granger Causality for the Nasdaq is a lack of daily variation in the effective federal funds rate. Due to changes in Federal Reserve policy, the effective federal funds rate, which began its time path as a free-floating variable that exhibited daily fluctuations, started to become much more stable in later periods. This change is especially noticeable in the post-COVID se</w:t>
      </w:r>
      <w:r w:rsidR="005232AF">
        <w:rPr>
          <w:rFonts w:ascii="Calibri" w:hAnsi="Calibri" w:cs="Calibri"/>
          <w:sz w:val="24"/>
          <w:szCs w:val="24"/>
        </w:rPr>
        <w:t>gment</w:t>
      </w:r>
      <w:r w:rsidRPr="00A70259">
        <w:rPr>
          <w:rFonts w:ascii="Calibri" w:hAnsi="Calibri" w:cs="Calibri"/>
          <w:sz w:val="24"/>
          <w:szCs w:val="24"/>
        </w:rPr>
        <w:t xml:space="preserve"> of the data, where the recent interest rate increases appear as a step-function that increases on monetary policy announcement dates but remains constant in between. The result of this is a lack of</w:t>
      </w:r>
      <w:r w:rsidR="00B95D33">
        <w:rPr>
          <w:rFonts w:ascii="Calibri" w:hAnsi="Calibri" w:cs="Calibri"/>
          <w:sz w:val="24"/>
          <w:szCs w:val="24"/>
        </w:rPr>
        <w:t xml:space="preserve"> quality</w:t>
      </w:r>
      <w:r w:rsidRPr="00A70259">
        <w:rPr>
          <w:rFonts w:ascii="Calibri" w:hAnsi="Calibri" w:cs="Calibri"/>
          <w:sz w:val="24"/>
          <w:szCs w:val="24"/>
        </w:rPr>
        <w:t xml:space="preserve"> identification information for our vector autoregression model. Without a variety of data points from which to capture the co</w:t>
      </w:r>
      <w:r w:rsidR="004D5557" w:rsidRPr="00A70259">
        <w:rPr>
          <w:rFonts w:ascii="Calibri" w:hAnsi="Calibri" w:cs="Calibri"/>
          <w:sz w:val="24"/>
          <w:szCs w:val="24"/>
        </w:rPr>
        <w:t>-</w:t>
      </w:r>
      <w:r w:rsidRPr="00A70259">
        <w:rPr>
          <w:rFonts w:ascii="Calibri" w:hAnsi="Calibri" w:cs="Calibri"/>
          <w:sz w:val="24"/>
          <w:szCs w:val="24"/>
        </w:rPr>
        <w:lastRenderedPageBreak/>
        <w:t xml:space="preserve">movement between interest rates and stock indexes, the vector autoregression is not provided </w:t>
      </w:r>
      <w:r w:rsidR="00A16B48">
        <w:rPr>
          <w:rFonts w:ascii="Calibri" w:hAnsi="Calibri" w:cs="Calibri"/>
          <w:sz w:val="24"/>
          <w:szCs w:val="24"/>
        </w:rPr>
        <w:t>sufficient</w:t>
      </w:r>
      <w:r w:rsidRPr="00A70259">
        <w:rPr>
          <w:rFonts w:ascii="Calibri" w:hAnsi="Calibri" w:cs="Calibri"/>
          <w:sz w:val="24"/>
          <w:szCs w:val="24"/>
        </w:rPr>
        <w:t xml:space="preserve"> training to capture the link between these variables, and so suffers from inadequate inputs. In this way, the vector autoregression was essentially performing the same as an ARIMA model, since the additional input of the effective federal funds rate did not meaningfully add to the pool of identification information. </w:t>
      </w:r>
    </w:p>
    <w:p w14:paraId="5C423B97" w14:textId="77777777" w:rsidR="00751EDF" w:rsidRDefault="00000000">
      <w:pPr>
        <w:spacing w:line="480" w:lineRule="auto"/>
        <w:rPr>
          <w:rFonts w:ascii="Calibri" w:hAnsi="Calibri" w:cs="Calibri"/>
          <w:sz w:val="24"/>
          <w:szCs w:val="24"/>
        </w:rPr>
      </w:pPr>
      <w:r w:rsidRPr="00A70259">
        <w:rPr>
          <w:rFonts w:ascii="Calibri" w:hAnsi="Calibri" w:cs="Calibri"/>
          <w:sz w:val="24"/>
          <w:szCs w:val="24"/>
        </w:rPr>
        <w:tab/>
        <w:t xml:space="preserve">Another potential issue we identify is the indirect nature of the relationship between the effective federal funds rate and equity prices. Whether it is the cost of borrowing or the rate at which firms’ future cash flows are discounted, the effective federal funds rate is not the interest rate that is directly used in most economic activities. The Federal Reserve, however, only has the ability to directly set the federal funds rate. Their influence on market interest rates is therefore indirect and imperfect, which leads to a disconnect between the effective federal funds rate and the true interest rate that equities are responding to. </w:t>
      </w:r>
    </w:p>
    <w:p w14:paraId="10453758" w14:textId="18938ABE" w:rsidR="00556F04" w:rsidRPr="00A70259" w:rsidRDefault="000431F8" w:rsidP="00751EDF">
      <w:pPr>
        <w:spacing w:line="480" w:lineRule="auto"/>
        <w:ind w:firstLine="720"/>
        <w:rPr>
          <w:rFonts w:ascii="Calibri" w:hAnsi="Calibri" w:cs="Calibri"/>
          <w:sz w:val="24"/>
          <w:szCs w:val="24"/>
        </w:rPr>
      </w:pPr>
      <w:r>
        <w:rPr>
          <w:rFonts w:ascii="Calibri" w:hAnsi="Calibri" w:cs="Calibri"/>
          <w:sz w:val="24"/>
          <w:szCs w:val="24"/>
        </w:rPr>
        <w:t xml:space="preserve">A possible solution to this in future study is to replace the effective federal funds rate with a </w:t>
      </w:r>
      <w:r w:rsidR="000438D7">
        <w:rPr>
          <w:rFonts w:ascii="Calibri" w:hAnsi="Calibri" w:cs="Calibri"/>
          <w:sz w:val="24"/>
          <w:szCs w:val="24"/>
        </w:rPr>
        <w:t xml:space="preserve">bond yield spread such as </w:t>
      </w:r>
      <w:r w:rsidR="000B51FF">
        <w:rPr>
          <w:rFonts w:ascii="Calibri" w:hAnsi="Calibri" w:cs="Calibri"/>
          <w:sz w:val="24"/>
          <w:szCs w:val="24"/>
        </w:rPr>
        <w:t xml:space="preserve">the </w:t>
      </w:r>
      <w:r w:rsidR="000B51FF" w:rsidRPr="000B51FF">
        <w:rPr>
          <w:rFonts w:ascii="Calibri" w:hAnsi="Calibri" w:cs="Calibri"/>
          <w:sz w:val="24"/>
          <w:szCs w:val="24"/>
        </w:rPr>
        <w:t>10 Year-3 Month Treasury Yield Spread (I:10Y3MTS)</w:t>
      </w:r>
      <w:r w:rsidR="00540F53">
        <w:rPr>
          <w:rFonts w:ascii="Calibri" w:hAnsi="Calibri" w:cs="Calibri"/>
          <w:sz w:val="24"/>
          <w:szCs w:val="24"/>
        </w:rPr>
        <w:t xml:space="preserve"> or the </w:t>
      </w:r>
      <w:r w:rsidR="00793296">
        <w:rPr>
          <w:rFonts w:ascii="Calibri" w:hAnsi="Calibri" w:cs="Calibri"/>
          <w:sz w:val="24"/>
          <w:szCs w:val="24"/>
        </w:rPr>
        <w:t xml:space="preserve">spread between investment grade corporate bond yields and </w:t>
      </w:r>
      <w:r w:rsidR="00DC5C29">
        <w:rPr>
          <w:rFonts w:ascii="Calibri" w:hAnsi="Calibri" w:cs="Calibri"/>
          <w:sz w:val="24"/>
          <w:szCs w:val="24"/>
        </w:rPr>
        <w:t>treasury bills</w:t>
      </w:r>
      <w:r w:rsidR="000B51FF">
        <w:rPr>
          <w:rFonts w:ascii="Calibri" w:hAnsi="Calibri" w:cs="Calibri"/>
          <w:sz w:val="24"/>
          <w:szCs w:val="24"/>
        </w:rPr>
        <w:t xml:space="preserve">. </w:t>
      </w:r>
      <w:r w:rsidR="00C50058">
        <w:rPr>
          <w:rFonts w:ascii="Calibri" w:hAnsi="Calibri" w:cs="Calibri"/>
          <w:sz w:val="24"/>
          <w:szCs w:val="24"/>
        </w:rPr>
        <w:t>Not only are t</w:t>
      </w:r>
      <w:r w:rsidR="00DC5C29">
        <w:rPr>
          <w:rFonts w:ascii="Calibri" w:hAnsi="Calibri" w:cs="Calibri"/>
          <w:sz w:val="24"/>
          <w:szCs w:val="24"/>
        </w:rPr>
        <w:t>he</w:t>
      </w:r>
      <w:r w:rsidR="004C03B3">
        <w:rPr>
          <w:rFonts w:ascii="Calibri" w:hAnsi="Calibri" w:cs="Calibri"/>
          <w:sz w:val="24"/>
          <w:szCs w:val="24"/>
        </w:rPr>
        <w:t xml:space="preserve"> level forms of </w:t>
      </w:r>
      <w:r w:rsidR="000B51FF">
        <w:rPr>
          <w:rFonts w:ascii="Calibri" w:hAnsi="Calibri" w:cs="Calibri"/>
          <w:sz w:val="24"/>
          <w:szCs w:val="24"/>
        </w:rPr>
        <w:t xml:space="preserve">these </w:t>
      </w:r>
      <w:r w:rsidR="00F15708">
        <w:rPr>
          <w:rFonts w:ascii="Calibri" w:hAnsi="Calibri" w:cs="Calibri"/>
          <w:sz w:val="24"/>
          <w:szCs w:val="24"/>
        </w:rPr>
        <w:t>spreads</w:t>
      </w:r>
      <w:r w:rsidR="000B51FF">
        <w:rPr>
          <w:rFonts w:ascii="Calibri" w:hAnsi="Calibri" w:cs="Calibri"/>
          <w:sz w:val="24"/>
          <w:szCs w:val="24"/>
        </w:rPr>
        <w:t xml:space="preserve"> </w:t>
      </w:r>
      <w:r w:rsidR="00DC5C29">
        <w:rPr>
          <w:rFonts w:ascii="Calibri" w:hAnsi="Calibri" w:cs="Calibri"/>
          <w:sz w:val="24"/>
          <w:szCs w:val="24"/>
        </w:rPr>
        <w:t xml:space="preserve">better proxies for prevailing market interest rates, </w:t>
      </w:r>
      <w:r w:rsidR="00FE23B2">
        <w:rPr>
          <w:rFonts w:ascii="Calibri" w:hAnsi="Calibri" w:cs="Calibri"/>
          <w:sz w:val="24"/>
          <w:szCs w:val="24"/>
        </w:rPr>
        <w:t>but they</w:t>
      </w:r>
      <w:r w:rsidR="00121D50">
        <w:rPr>
          <w:rFonts w:ascii="Calibri" w:hAnsi="Calibri" w:cs="Calibri"/>
          <w:sz w:val="24"/>
          <w:szCs w:val="24"/>
        </w:rPr>
        <w:t xml:space="preserve"> exhibit daily fluctuation</w:t>
      </w:r>
      <w:r w:rsidR="00751EDF">
        <w:rPr>
          <w:rFonts w:ascii="Calibri" w:hAnsi="Calibri" w:cs="Calibri"/>
          <w:sz w:val="24"/>
          <w:szCs w:val="24"/>
        </w:rPr>
        <w:t>s</w:t>
      </w:r>
      <w:r w:rsidR="000277F6">
        <w:rPr>
          <w:rFonts w:ascii="Calibri" w:hAnsi="Calibri" w:cs="Calibri"/>
          <w:sz w:val="24"/>
          <w:szCs w:val="24"/>
        </w:rPr>
        <w:t xml:space="preserve"> due to be</w:t>
      </w:r>
      <w:r w:rsidR="002C63E6">
        <w:rPr>
          <w:rFonts w:ascii="Calibri" w:hAnsi="Calibri" w:cs="Calibri"/>
          <w:sz w:val="24"/>
          <w:szCs w:val="24"/>
        </w:rPr>
        <w:t>ing</w:t>
      </w:r>
      <w:r w:rsidR="000277F6">
        <w:rPr>
          <w:rFonts w:ascii="Calibri" w:hAnsi="Calibri" w:cs="Calibri"/>
          <w:sz w:val="24"/>
          <w:szCs w:val="24"/>
        </w:rPr>
        <w:t xml:space="preserve"> tradeable securities</w:t>
      </w:r>
      <w:r w:rsidR="00751EDF">
        <w:rPr>
          <w:rFonts w:ascii="Calibri" w:hAnsi="Calibri" w:cs="Calibri"/>
          <w:sz w:val="24"/>
          <w:szCs w:val="24"/>
        </w:rPr>
        <w:t>,</w:t>
      </w:r>
      <w:r w:rsidR="00121D50">
        <w:rPr>
          <w:rFonts w:ascii="Calibri" w:hAnsi="Calibri" w:cs="Calibri"/>
          <w:sz w:val="24"/>
          <w:szCs w:val="24"/>
        </w:rPr>
        <w:t xml:space="preserve"> and </w:t>
      </w:r>
      <w:r w:rsidR="00112455">
        <w:rPr>
          <w:rFonts w:ascii="Calibri" w:hAnsi="Calibri" w:cs="Calibri"/>
          <w:sz w:val="24"/>
          <w:szCs w:val="24"/>
        </w:rPr>
        <w:t xml:space="preserve">are forward-looking assets like stocks so can likely </w:t>
      </w:r>
      <w:r w:rsidR="008E53C4">
        <w:rPr>
          <w:rFonts w:ascii="Calibri" w:hAnsi="Calibri" w:cs="Calibri"/>
          <w:sz w:val="24"/>
          <w:szCs w:val="24"/>
        </w:rPr>
        <w:t xml:space="preserve">capture </w:t>
      </w:r>
      <w:r w:rsidR="00A73DB6">
        <w:rPr>
          <w:rFonts w:ascii="Calibri" w:hAnsi="Calibri" w:cs="Calibri"/>
          <w:sz w:val="24"/>
          <w:szCs w:val="24"/>
        </w:rPr>
        <w:t>some of the same market expectations</w:t>
      </w:r>
      <w:r w:rsidR="00916E4C">
        <w:rPr>
          <w:rFonts w:ascii="Calibri" w:hAnsi="Calibri" w:cs="Calibri"/>
          <w:sz w:val="24"/>
          <w:szCs w:val="24"/>
        </w:rPr>
        <w:t xml:space="preserve"> that influence </w:t>
      </w:r>
      <w:r w:rsidR="008675DB">
        <w:rPr>
          <w:rFonts w:ascii="Calibri" w:hAnsi="Calibri" w:cs="Calibri"/>
          <w:sz w:val="24"/>
          <w:szCs w:val="24"/>
        </w:rPr>
        <w:t>the forward-pricing</w:t>
      </w:r>
      <w:r w:rsidR="008E53C4">
        <w:rPr>
          <w:rFonts w:ascii="Calibri" w:hAnsi="Calibri" w:cs="Calibri"/>
          <w:sz w:val="24"/>
          <w:szCs w:val="24"/>
        </w:rPr>
        <w:t xml:space="preserve"> component of stock</w:t>
      </w:r>
      <w:r w:rsidR="00ED5510">
        <w:rPr>
          <w:rFonts w:ascii="Calibri" w:hAnsi="Calibri" w:cs="Calibri"/>
          <w:sz w:val="24"/>
          <w:szCs w:val="24"/>
        </w:rPr>
        <w:t>s</w:t>
      </w:r>
      <w:r w:rsidR="008E53C4">
        <w:rPr>
          <w:rFonts w:ascii="Calibri" w:hAnsi="Calibri" w:cs="Calibri"/>
          <w:sz w:val="24"/>
          <w:szCs w:val="24"/>
        </w:rPr>
        <w:t xml:space="preserve">. </w:t>
      </w:r>
    </w:p>
    <w:p w14:paraId="10453759" w14:textId="77777777" w:rsidR="00556F04" w:rsidRPr="00A70259" w:rsidRDefault="00000000">
      <w:pPr>
        <w:pStyle w:val="Heading1"/>
        <w:spacing w:line="480" w:lineRule="auto"/>
        <w:rPr>
          <w:rFonts w:asciiTheme="majorHAnsi" w:hAnsiTheme="majorHAnsi" w:cstheme="majorHAnsi"/>
        </w:rPr>
      </w:pPr>
      <w:bookmarkStart w:id="11" w:name="_6jsx1v7taz2m" w:colFirst="0" w:colLast="0"/>
      <w:bookmarkEnd w:id="11"/>
      <w:r w:rsidRPr="00A70259">
        <w:rPr>
          <w:rFonts w:asciiTheme="majorHAnsi" w:hAnsiTheme="majorHAnsi" w:cstheme="majorHAnsi"/>
        </w:rPr>
        <w:lastRenderedPageBreak/>
        <w:t>Conclusion</w:t>
      </w:r>
    </w:p>
    <w:p w14:paraId="1045375A" w14:textId="09186385" w:rsidR="00556F04" w:rsidRPr="00A70259" w:rsidRDefault="00000000">
      <w:pPr>
        <w:spacing w:line="480" w:lineRule="auto"/>
        <w:rPr>
          <w:rFonts w:ascii="Calibri" w:hAnsi="Calibri" w:cs="Calibri"/>
          <w:sz w:val="24"/>
          <w:szCs w:val="24"/>
        </w:rPr>
      </w:pPr>
      <w:r>
        <w:rPr>
          <w:sz w:val="24"/>
          <w:szCs w:val="24"/>
        </w:rPr>
        <w:tab/>
      </w:r>
      <w:r w:rsidRPr="00A70259">
        <w:rPr>
          <w:rFonts w:ascii="Calibri" w:hAnsi="Calibri" w:cs="Calibri"/>
          <w:sz w:val="24"/>
          <w:szCs w:val="24"/>
        </w:rPr>
        <w:t>As the Federal Reserve’s interest rate decisions have been central to recent economic discussions, this paper sought to utilize the co</w:t>
      </w:r>
      <w:r w:rsidR="004D5557" w:rsidRPr="00A70259">
        <w:rPr>
          <w:rFonts w:ascii="Calibri" w:hAnsi="Calibri" w:cs="Calibri"/>
          <w:sz w:val="24"/>
          <w:szCs w:val="24"/>
        </w:rPr>
        <w:t>-</w:t>
      </w:r>
      <w:r w:rsidRPr="00A70259">
        <w:rPr>
          <w:rFonts w:ascii="Calibri" w:hAnsi="Calibri" w:cs="Calibri"/>
          <w:sz w:val="24"/>
          <w:szCs w:val="24"/>
        </w:rPr>
        <w:t xml:space="preserve">movements between interest rates and equity prices to produce vector autoregression forecasting models of the S&amp;P 500 and Nasdaq stock indexes. To achieve </w:t>
      </w:r>
      <w:r w:rsidR="004D5557" w:rsidRPr="00A70259">
        <w:rPr>
          <w:rFonts w:ascii="Calibri" w:hAnsi="Calibri" w:cs="Calibri"/>
          <w:sz w:val="24"/>
          <w:szCs w:val="24"/>
        </w:rPr>
        <w:t>this,</w:t>
      </w:r>
      <w:r w:rsidRPr="00A70259">
        <w:rPr>
          <w:rFonts w:ascii="Calibri" w:hAnsi="Calibri" w:cs="Calibri"/>
          <w:sz w:val="24"/>
          <w:szCs w:val="24"/>
        </w:rPr>
        <w:t xml:space="preserve"> we compiled a daily-frequency time series dataset spanning 5789 observations from July of 2000 to September of 2023 and proposed an identification strategy of two systems of vector autoregressions that paired the effective federal funds rate with each of the two stock indexes separately. The Nasdaq vector autoregression did not pass its Granger Causality test, while the S&amp;P 500 vector autoregression did, which led us to proceed to forecast the Nasdaq with an ARIMA(9) and the S&amp;P 500 with a VAR(9). </w:t>
      </w:r>
    </w:p>
    <w:p w14:paraId="1045375B" w14:textId="769E33DF" w:rsidR="00556F04" w:rsidRPr="00A70259" w:rsidRDefault="00000000">
      <w:pPr>
        <w:spacing w:line="480" w:lineRule="auto"/>
        <w:rPr>
          <w:rFonts w:ascii="Calibri" w:hAnsi="Calibri" w:cs="Calibri"/>
          <w:sz w:val="24"/>
          <w:szCs w:val="24"/>
        </w:rPr>
      </w:pPr>
      <w:r w:rsidRPr="00A70259">
        <w:rPr>
          <w:rFonts w:ascii="Calibri" w:hAnsi="Calibri" w:cs="Calibri"/>
          <w:sz w:val="24"/>
          <w:szCs w:val="24"/>
        </w:rPr>
        <w:tab/>
        <w:t xml:space="preserve">From our forecasting results, we found that both models suffered from a high degree of </w:t>
      </w:r>
      <w:r w:rsidR="00407A90" w:rsidRPr="00A70259">
        <w:rPr>
          <w:rFonts w:ascii="Calibri" w:hAnsi="Calibri" w:cs="Calibri"/>
          <w:sz w:val="24"/>
          <w:szCs w:val="24"/>
        </w:rPr>
        <w:t>i</w:t>
      </w:r>
      <w:r w:rsidR="00407A90">
        <w:rPr>
          <w:rFonts w:ascii="Calibri" w:hAnsi="Calibri" w:cs="Calibri"/>
          <w:sz w:val="24"/>
          <w:szCs w:val="24"/>
        </w:rPr>
        <w:t>mprecision</w:t>
      </w:r>
      <w:r w:rsidRPr="00A70259">
        <w:rPr>
          <w:rFonts w:ascii="Calibri" w:hAnsi="Calibri" w:cs="Calibri"/>
          <w:sz w:val="24"/>
          <w:szCs w:val="24"/>
        </w:rPr>
        <w:t xml:space="preserve"> and inaccuracy as seen by large confidence intervals, poorly fitted prediction lines, and large error metric estimates. </w:t>
      </w:r>
      <w:r w:rsidR="00E82299">
        <w:rPr>
          <w:rFonts w:ascii="Calibri" w:hAnsi="Calibri" w:cs="Calibri"/>
          <w:sz w:val="24"/>
          <w:szCs w:val="24"/>
        </w:rPr>
        <w:t xml:space="preserve">This is attributed to a lack of </w:t>
      </w:r>
      <w:r w:rsidR="00E17C66">
        <w:rPr>
          <w:rFonts w:ascii="Calibri" w:hAnsi="Calibri" w:cs="Calibri"/>
          <w:sz w:val="24"/>
          <w:szCs w:val="24"/>
        </w:rPr>
        <w:t xml:space="preserve">daily variation in the effective federal funds rate and </w:t>
      </w:r>
      <w:r w:rsidR="00C57F3B">
        <w:rPr>
          <w:rFonts w:ascii="Calibri" w:hAnsi="Calibri" w:cs="Calibri"/>
          <w:sz w:val="24"/>
          <w:szCs w:val="24"/>
        </w:rPr>
        <w:t>the</w:t>
      </w:r>
      <w:r w:rsidR="00E17C66">
        <w:rPr>
          <w:rFonts w:ascii="Calibri" w:hAnsi="Calibri" w:cs="Calibri"/>
          <w:sz w:val="24"/>
          <w:szCs w:val="24"/>
        </w:rPr>
        <w:t xml:space="preserve"> indirect</w:t>
      </w:r>
      <w:r w:rsidR="00C57F3B">
        <w:rPr>
          <w:rFonts w:ascii="Calibri" w:hAnsi="Calibri" w:cs="Calibri"/>
          <w:sz w:val="24"/>
          <w:szCs w:val="24"/>
        </w:rPr>
        <w:t xml:space="preserve"> nature of the relationship between the effective federal funds rate</w:t>
      </w:r>
      <w:r w:rsidR="00BD12E4">
        <w:rPr>
          <w:rFonts w:ascii="Calibri" w:hAnsi="Calibri" w:cs="Calibri"/>
          <w:sz w:val="24"/>
          <w:szCs w:val="24"/>
        </w:rPr>
        <w:t xml:space="preserve"> and equity prices. Future study will look to </w:t>
      </w:r>
      <w:r w:rsidR="001C64BA">
        <w:rPr>
          <w:rFonts w:ascii="Calibri" w:hAnsi="Calibri" w:cs="Calibri"/>
          <w:sz w:val="24"/>
          <w:szCs w:val="24"/>
        </w:rPr>
        <w:t>improve upon th</w:t>
      </w:r>
      <w:r w:rsidR="009308F2">
        <w:rPr>
          <w:rFonts w:ascii="Calibri" w:hAnsi="Calibri" w:cs="Calibri"/>
          <w:sz w:val="24"/>
          <w:szCs w:val="24"/>
        </w:rPr>
        <w:t xml:space="preserve">ese results </w:t>
      </w:r>
      <w:r w:rsidR="001C64BA">
        <w:rPr>
          <w:rFonts w:ascii="Calibri" w:hAnsi="Calibri" w:cs="Calibri"/>
          <w:sz w:val="24"/>
          <w:szCs w:val="24"/>
        </w:rPr>
        <w:t xml:space="preserve">by utilizing </w:t>
      </w:r>
      <w:r w:rsidR="00B46BBA">
        <w:rPr>
          <w:rFonts w:ascii="Calibri" w:hAnsi="Calibri" w:cs="Calibri"/>
          <w:sz w:val="24"/>
          <w:szCs w:val="24"/>
        </w:rPr>
        <w:t xml:space="preserve">various </w:t>
      </w:r>
      <w:r w:rsidR="001C64BA">
        <w:rPr>
          <w:rFonts w:ascii="Calibri" w:hAnsi="Calibri" w:cs="Calibri"/>
          <w:sz w:val="24"/>
          <w:szCs w:val="24"/>
        </w:rPr>
        <w:t>bond yield spreads as opposed to the effective federal funds rate</w:t>
      </w:r>
      <w:r w:rsidR="009308F2">
        <w:rPr>
          <w:rFonts w:ascii="Calibri" w:hAnsi="Calibri" w:cs="Calibri"/>
          <w:sz w:val="24"/>
          <w:szCs w:val="24"/>
        </w:rPr>
        <w:t xml:space="preserve">, with the proposed benefits being a more direct relationship, </w:t>
      </w:r>
      <w:r w:rsidR="000277F6">
        <w:rPr>
          <w:rFonts w:ascii="Calibri" w:hAnsi="Calibri" w:cs="Calibri"/>
          <w:sz w:val="24"/>
          <w:szCs w:val="24"/>
        </w:rPr>
        <w:t xml:space="preserve">market-determined </w:t>
      </w:r>
      <w:r w:rsidR="009308F2">
        <w:rPr>
          <w:rFonts w:ascii="Calibri" w:hAnsi="Calibri" w:cs="Calibri"/>
          <w:sz w:val="24"/>
          <w:szCs w:val="24"/>
        </w:rPr>
        <w:t xml:space="preserve">daily fluctuations, and </w:t>
      </w:r>
      <w:r w:rsidR="005162D3">
        <w:rPr>
          <w:rFonts w:ascii="Calibri" w:hAnsi="Calibri" w:cs="Calibri"/>
          <w:sz w:val="24"/>
          <w:szCs w:val="24"/>
        </w:rPr>
        <w:t xml:space="preserve">a </w:t>
      </w:r>
      <w:r w:rsidR="00FA53A9">
        <w:rPr>
          <w:rFonts w:ascii="Calibri" w:hAnsi="Calibri" w:cs="Calibri"/>
          <w:sz w:val="24"/>
          <w:szCs w:val="24"/>
        </w:rPr>
        <w:t xml:space="preserve">similar </w:t>
      </w:r>
      <w:r w:rsidR="005162D3">
        <w:rPr>
          <w:rFonts w:ascii="Calibri" w:hAnsi="Calibri" w:cs="Calibri"/>
          <w:sz w:val="24"/>
          <w:szCs w:val="24"/>
        </w:rPr>
        <w:t>forward-looking nature in both sets of securities.</w:t>
      </w:r>
      <w:r w:rsidR="009308F2">
        <w:rPr>
          <w:rFonts w:ascii="Calibri" w:hAnsi="Calibri" w:cs="Calibri"/>
          <w:sz w:val="24"/>
          <w:szCs w:val="24"/>
        </w:rPr>
        <w:t xml:space="preserve"> </w:t>
      </w:r>
    </w:p>
    <w:p w14:paraId="1045375C" w14:textId="77777777" w:rsidR="00556F04" w:rsidRDefault="00556F04">
      <w:pPr>
        <w:spacing w:line="480" w:lineRule="auto"/>
      </w:pPr>
    </w:p>
    <w:p w14:paraId="1045375D" w14:textId="77777777" w:rsidR="00556F04" w:rsidRDefault="00556F04">
      <w:pPr>
        <w:spacing w:line="480" w:lineRule="auto"/>
      </w:pPr>
    </w:p>
    <w:p w14:paraId="1045375E" w14:textId="77777777" w:rsidR="00556F04" w:rsidRDefault="00556F04">
      <w:pPr>
        <w:spacing w:line="480" w:lineRule="auto"/>
      </w:pPr>
    </w:p>
    <w:p w14:paraId="142DE402" w14:textId="77777777" w:rsidR="00A70259" w:rsidRDefault="00A70259">
      <w:pPr>
        <w:spacing w:line="480" w:lineRule="auto"/>
        <w:rPr>
          <w:rFonts w:ascii="Times New Roman" w:eastAsia="Times New Roman" w:hAnsi="Times New Roman" w:cs="Times New Roman"/>
          <w:sz w:val="24"/>
          <w:szCs w:val="24"/>
        </w:rPr>
      </w:pPr>
    </w:p>
    <w:p w14:paraId="77A9D5ED" w14:textId="7018C4D1" w:rsidR="004D5557" w:rsidRPr="00A70259" w:rsidRDefault="004D5557" w:rsidP="004D5557">
      <w:pPr>
        <w:pStyle w:val="Heading1"/>
        <w:spacing w:line="480" w:lineRule="auto"/>
        <w:rPr>
          <w:rFonts w:asciiTheme="majorHAnsi" w:hAnsiTheme="majorHAnsi" w:cstheme="majorHAnsi"/>
        </w:rPr>
      </w:pPr>
      <w:bookmarkStart w:id="12" w:name="_x56rp920w1b2" w:colFirst="0" w:colLast="0"/>
      <w:bookmarkEnd w:id="12"/>
      <w:r w:rsidRPr="00A70259">
        <w:rPr>
          <w:rFonts w:asciiTheme="majorHAnsi" w:hAnsiTheme="majorHAnsi" w:cstheme="majorHAnsi"/>
        </w:rPr>
        <w:lastRenderedPageBreak/>
        <w:t>References</w:t>
      </w:r>
    </w:p>
    <w:p w14:paraId="410261A5" w14:textId="1368BFDA" w:rsidR="00A70259" w:rsidRPr="00A70259" w:rsidRDefault="00A70259" w:rsidP="00A70259">
      <w:pPr>
        <w:spacing w:line="480" w:lineRule="auto"/>
        <w:rPr>
          <w:rFonts w:ascii="Calibri" w:eastAsia="Times New Roman" w:hAnsi="Calibri" w:cs="Calibri"/>
          <w:sz w:val="24"/>
          <w:szCs w:val="24"/>
        </w:rPr>
      </w:pPr>
      <w:r w:rsidRPr="00A70259">
        <w:rPr>
          <w:rFonts w:ascii="Calibri" w:eastAsia="Times New Roman" w:hAnsi="Calibri" w:cs="Calibri"/>
          <w:sz w:val="24"/>
          <w:szCs w:val="24"/>
        </w:rPr>
        <w:t xml:space="preserve">Adrian, T., &amp; Abbas, N. (2022). “Low Real Interest Rates Support Asset Prices, But Risks Are Rising.” </w:t>
      </w:r>
      <w:r w:rsidRPr="00A70259">
        <w:rPr>
          <w:rFonts w:ascii="Calibri" w:eastAsia="Times New Roman" w:hAnsi="Calibri" w:cs="Calibri"/>
          <w:i/>
          <w:iCs/>
          <w:sz w:val="24"/>
          <w:szCs w:val="24"/>
        </w:rPr>
        <w:t>IMF Blog.</w:t>
      </w:r>
      <w:r w:rsidRPr="00A70259">
        <w:rPr>
          <w:rFonts w:ascii="Calibri" w:eastAsia="Times New Roman" w:hAnsi="Calibri" w:cs="Calibri"/>
          <w:sz w:val="24"/>
          <w:szCs w:val="24"/>
        </w:rPr>
        <w:t xml:space="preserve"> </w:t>
      </w:r>
      <w:hyperlink r:id="rId16" w:history="1">
        <w:r w:rsidRPr="00A70259">
          <w:rPr>
            <w:rStyle w:val="Hyperlink"/>
            <w:rFonts w:ascii="Calibri" w:eastAsia="Times New Roman" w:hAnsi="Calibri" w:cs="Calibri"/>
            <w:sz w:val="24"/>
            <w:szCs w:val="24"/>
          </w:rPr>
          <w:t>https://www.imf.org/en/Blogs/Articles/2022/01/27/blogs012822-low-real-interest-rates-support-asset-prices-but-risks-are-rising</w:t>
        </w:r>
      </w:hyperlink>
    </w:p>
    <w:p w14:paraId="0D7EB5A1" w14:textId="5E1AB0ED" w:rsidR="00A70259" w:rsidRPr="00A70259" w:rsidRDefault="00A70259" w:rsidP="00A70259">
      <w:pPr>
        <w:spacing w:line="480" w:lineRule="auto"/>
        <w:rPr>
          <w:rFonts w:ascii="Calibri" w:eastAsia="Times New Roman" w:hAnsi="Calibri" w:cs="Calibri"/>
          <w:i/>
          <w:iCs/>
          <w:sz w:val="24"/>
          <w:szCs w:val="24"/>
        </w:rPr>
      </w:pPr>
      <w:r w:rsidRPr="00A70259">
        <w:rPr>
          <w:rFonts w:ascii="Calibri" w:eastAsia="Times New Roman" w:hAnsi="Calibri" w:cs="Calibri"/>
          <w:sz w:val="24"/>
          <w:szCs w:val="24"/>
        </w:rPr>
        <w:t xml:space="preserve">Assenmacher-Wesche, K., &amp; Gerlach,  S. (2008). “Financial Structure and Impact of Monetary Policy on Asset Prices.” </w:t>
      </w:r>
      <w:r w:rsidRPr="00A70259">
        <w:rPr>
          <w:rFonts w:ascii="Calibri" w:eastAsia="Times New Roman" w:hAnsi="Calibri" w:cs="Calibri"/>
          <w:i/>
          <w:iCs/>
          <w:sz w:val="24"/>
          <w:szCs w:val="24"/>
        </w:rPr>
        <w:t xml:space="preserve">Center for Financial Studies (CFS) Working Paper, No. 2008/30. </w:t>
      </w:r>
      <w:hyperlink r:id="rId17" w:history="1">
        <w:r w:rsidRPr="00A70259">
          <w:rPr>
            <w:rStyle w:val="Hyperlink"/>
            <w:rFonts w:ascii="Calibri" w:eastAsia="Times New Roman" w:hAnsi="Calibri" w:cs="Calibri"/>
            <w:sz w:val="24"/>
            <w:szCs w:val="24"/>
          </w:rPr>
          <w:t>https://nbn-resolving.de/urn:nbn:de:hebis:30-57680</w:t>
        </w:r>
      </w:hyperlink>
      <w:r w:rsidRPr="00A70259">
        <w:rPr>
          <w:rFonts w:ascii="Calibri" w:eastAsia="Times New Roman" w:hAnsi="Calibri" w:cs="Calibri"/>
          <w:i/>
          <w:iCs/>
          <w:sz w:val="24"/>
          <w:szCs w:val="24"/>
        </w:rPr>
        <w:t xml:space="preserve"> </w:t>
      </w:r>
    </w:p>
    <w:p w14:paraId="1544B08F" w14:textId="62A0582C" w:rsidR="00A70259" w:rsidRPr="00A70259" w:rsidRDefault="00A70259" w:rsidP="00D632DB">
      <w:pPr>
        <w:spacing w:line="480" w:lineRule="auto"/>
        <w:rPr>
          <w:rFonts w:ascii="Calibri" w:hAnsi="Calibri" w:cs="Calibri"/>
          <w:sz w:val="24"/>
          <w:szCs w:val="24"/>
        </w:rPr>
      </w:pPr>
      <w:r w:rsidRPr="00A70259">
        <w:rPr>
          <w:rFonts w:ascii="Calibri" w:hAnsi="Calibri" w:cs="Calibri"/>
          <w:sz w:val="24"/>
          <w:szCs w:val="24"/>
        </w:rPr>
        <w:t xml:space="preserve">Nasdaq (2023). “How do Rising Interest Rates Affect the Stock </w:t>
      </w:r>
      <w:proofErr w:type="gramStart"/>
      <w:r w:rsidRPr="00A70259">
        <w:rPr>
          <w:rFonts w:ascii="Calibri" w:hAnsi="Calibri" w:cs="Calibri"/>
          <w:sz w:val="24"/>
          <w:szCs w:val="24"/>
        </w:rPr>
        <w:t>Market?.</w:t>
      </w:r>
      <w:proofErr w:type="gramEnd"/>
      <w:r w:rsidRPr="00A70259">
        <w:rPr>
          <w:rFonts w:ascii="Calibri" w:hAnsi="Calibri" w:cs="Calibri"/>
          <w:sz w:val="24"/>
          <w:szCs w:val="24"/>
        </w:rPr>
        <w:t xml:space="preserve">” </w:t>
      </w:r>
      <w:r w:rsidRPr="00A70259">
        <w:rPr>
          <w:rFonts w:ascii="Calibri" w:hAnsi="Calibri" w:cs="Calibri"/>
          <w:i/>
          <w:iCs/>
          <w:sz w:val="24"/>
          <w:szCs w:val="24"/>
        </w:rPr>
        <w:t>Nasdaq.</w:t>
      </w:r>
      <w:r w:rsidRPr="00A70259">
        <w:rPr>
          <w:rFonts w:ascii="Calibri" w:hAnsi="Calibri" w:cs="Calibri"/>
          <w:sz w:val="24"/>
          <w:szCs w:val="24"/>
        </w:rPr>
        <w:t xml:space="preserve"> </w:t>
      </w:r>
      <w:hyperlink r:id="rId18" w:history="1">
        <w:r w:rsidRPr="00A70259">
          <w:rPr>
            <w:rStyle w:val="Hyperlink"/>
            <w:rFonts w:ascii="Calibri" w:hAnsi="Calibri" w:cs="Calibri"/>
            <w:sz w:val="24"/>
            <w:szCs w:val="24"/>
          </w:rPr>
          <w:t>https://www.nasdaq.com/articles/how-do-rising-interest-rates-affect-the-stock-market</w:t>
        </w:r>
      </w:hyperlink>
      <w:r w:rsidRPr="00A70259">
        <w:rPr>
          <w:rFonts w:ascii="Calibri" w:hAnsi="Calibri" w:cs="Calibri"/>
          <w:sz w:val="24"/>
          <w:szCs w:val="24"/>
        </w:rPr>
        <w:t xml:space="preserve"> </w:t>
      </w:r>
    </w:p>
    <w:p w14:paraId="5A1382CF" w14:textId="468A8769" w:rsidR="00960A72" w:rsidRPr="00A70259" w:rsidRDefault="00960A72" w:rsidP="00D632DB">
      <w:pPr>
        <w:spacing w:line="480" w:lineRule="auto"/>
        <w:rPr>
          <w:rFonts w:ascii="Calibri" w:eastAsia="Times New Roman" w:hAnsi="Calibri" w:cs="Calibri"/>
          <w:sz w:val="24"/>
          <w:szCs w:val="24"/>
          <w:lang w:val="en-US"/>
        </w:rPr>
      </w:pPr>
      <w:r w:rsidRPr="00A70259">
        <w:rPr>
          <w:rFonts w:ascii="Calibri" w:eastAsia="Times New Roman" w:hAnsi="Calibri" w:cs="Calibri"/>
          <w:sz w:val="24"/>
          <w:szCs w:val="24"/>
          <w:lang w:val="en-US"/>
        </w:rPr>
        <w:t xml:space="preserve">Paul. (2019). “The Time-Varying Effect of Monetary Policy on Asset Prices.” </w:t>
      </w:r>
      <w:r w:rsidRPr="00A70259">
        <w:rPr>
          <w:rFonts w:ascii="Calibri" w:eastAsia="Times New Roman" w:hAnsi="Calibri" w:cs="Calibri"/>
          <w:i/>
          <w:iCs/>
          <w:sz w:val="24"/>
          <w:szCs w:val="24"/>
          <w:lang w:val="en-US"/>
        </w:rPr>
        <w:t>Federal Reserve Bank of San Francisco</w:t>
      </w:r>
      <w:r w:rsidRPr="00A70259">
        <w:rPr>
          <w:rFonts w:ascii="Calibri" w:hAnsi="Calibri" w:cs="Calibri"/>
          <w:color w:val="1A1C20"/>
          <w:sz w:val="30"/>
          <w:szCs w:val="30"/>
          <w:shd w:val="clear" w:color="auto" w:fill="FFFFFF"/>
        </w:rPr>
        <w:t xml:space="preserve"> </w:t>
      </w:r>
      <w:r w:rsidRPr="00A70259">
        <w:rPr>
          <w:rFonts w:ascii="Calibri" w:hAnsi="Calibri" w:cs="Calibri"/>
          <w:i/>
          <w:iCs/>
          <w:color w:val="1A1C20"/>
          <w:sz w:val="24"/>
          <w:szCs w:val="24"/>
          <w:shd w:val="clear" w:color="auto" w:fill="FFFFFF"/>
        </w:rPr>
        <w:t>wo</w:t>
      </w:r>
      <w:r w:rsidRPr="00A70259">
        <w:rPr>
          <w:rFonts w:ascii="Calibri" w:eastAsia="Times New Roman" w:hAnsi="Calibri" w:cs="Calibri"/>
          <w:i/>
          <w:iCs/>
          <w:sz w:val="24"/>
          <w:szCs w:val="24"/>
        </w:rPr>
        <w:t>rking Paper 2017-09</w:t>
      </w:r>
      <w:r w:rsidRPr="00A70259">
        <w:rPr>
          <w:rFonts w:ascii="Calibri" w:eastAsia="Times New Roman" w:hAnsi="Calibri" w:cs="Calibri"/>
          <w:sz w:val="24"/>
          <w:szCs w:val="24"/>
          <w:lang w:val="en-US"/>
        </w:rPr>
        <w:t xml:space="preserve">, </w:t>
      </w:r>
      <w:hyperlink r:id="rId19" w:history="1">
        <w:r w:rsidRPr="00A70259">
          <w:rPr>
            <w:rStyle w:val="Hyperlink"/>
            <w:rFonts w:ascii="Calibri" w:eastAsia="Times New Roman" w:hAnsi="Calibri" w:cs="Calibri"/>
            <w:sz w:val="24"/>
            <w:szCs w:val="24"/>
            <w:lang w:val="en-US"/>
          </w:rPr>
          <w:t>https://www.frbsf.org/economic-research/publications/working-papers/2017/09/</w:t>
        </w:r>
      </w:hyperlink>
      <w:r w:rsidRPr="00A70259">
        <w:rPr>
          <w:rFonts w:ascii="Calibri" w:eastAsia="Times New Roman" w:hAnsi="Calibri" w:cs="Calibri"/>
          <w:sz w:val="24"/>
          <w:szCs w:val="24"/>
          <w:lang w:val="en-US"/>
        </w:rPr>
        <w:t xml:space="preserve"> </w:t>
      </w:r>
    </w:p>
    <w:p w14:paraId="151EA9D7" w14:textId="1F916E52" w:rsidR="00A70259" w:rsidRPr="00A70259" w:rsidRDefault="00A70259" w:rsidP="00D632DB">
      <w:pPr>
        <w:spacing w:line="480" w:lineRule="auto"/>
        <w:rPr>
          <w:rFonts w:ascii="Calibri" w:eastAsia="Times New Roman" w:hAnsi="Calibri" w:cs="Calibri"/>
          <w:sz w:val="24"/>
          <w:szCs w:val="24"/>
          <w:lang w:val="en-US"/>
        </w:rPr>
      </w:pPr>
      <w:proofErr w:type="spellStart"/>
      <w:r w:rsidRPr="00A70259">
        <w:rPr>
          <w:rFonts w:ascii="Calibri" w:eastAsia="Times New Roman" w:hAnsi="Calibri" w:cs="Calibri"/>
          <w:sz w:val="24"/>
          <w:szCs w:val="24"/>
          <w:lang w:val="en-US"/>
        </w:rPr>
        <w:t>Rigobon</w:t>
      </w:r>
      <w:proofErr w:type="spellEnd"/>
      <w:r w:rsidRPr="00A70259">
        <w:rPr>
          <w:rFonts w:ascii="Calibri" w:eastAsia="Times New Roman" w:hAnsi="Calibri" w:cs="Calibri"/>
          <w:sz w:val="24"/>
          <w:szCs w:val="24"/>
          <w:lang w:val="en-US"/>
        </w:rPr>
        <w:t>, R., &amp; Sack, B. (2003). “</w:t>
      </w:r>
      <w:r w:rsidRPr="00A70259">
        <w:rPr>
          <w:rFonts w:ascii="Calibri" w:eastAsia="Times New Roman" w:hAnsi="Calibri" w:cs="Calibri"/>
          <w:sz w:val="24"/>
          <w:szCs w:val="24"/>
        </w:rPr>
        <w:t>Measuring the Reaction of Monetary Policy to the Stock Market.” </w:t>
      </w:r>
      <w:r w:rsidRPr="00A70259">
        <w:rPr>
          <w:rFonts w:ascii="Calibri" w:eastAsia="Times New Roman" w:hAnsi="Calibri" w:cs="Calibri"/>
          <w:i/>
          <w:iCs/>
          <w:sz w:val="24"/>
          <w:szCs w:val="24"/>
        </w:rPr>
        <w:t>The Quarterly Journal of Economics</w:t>
      </w:r>
      <w:r w:rsidRPr="00A70259">
        <w:rPr>
          <w:rFonts w:ascii="Calibri" w:eastAsia="Times New Roman" w:hAnsi="Calibri" w:cs="Calibri"/>
          <w:sz w:val="24"/>
          <w:szCs w:val="24"/>
        </w:rPr>
        <w:t>, </w:t>
      </w:r>
      <w:r w:rsidRPr="00A70259">
        <w:rPr>
          <w:rFonts w:ascii="Calibri" w:eastAsia="Times New Roman" w:hAnsi="Calibri" w:cs="Calibri"/>
          <w:i/>
          <w:iCs/>
          <w:sz w:val="24"/>
          <w:szCs w:val="24"/>
        </w:rPr>
        <w:t>118</w:t>
      </w:r>
      <w:r w:rsidRPr="00A70259">
        <w:rPr>
          <w:rFonts w:ascii="Calibri" w:eastAsia="Times New Roman" w:hAnsi="Calibri" w:cs="Calibri"/>
          <w:sz w:val="24"/>
          <w:szCs w:val="24"/>
        </w:rPr>
        <w:t xml:space="preserve">(2), 639–669. </w:t>
      </w:r>
      <w:hyperlink r:id="rId20" w:history="1">
        <w:r w:rsidRPr="00A70259">
          <w:rPr>
            <w:rStyle w:val="Hyperlink"/>
            <w:rFonts w:ascii="Calibri" w:eastAsia="Times New Roman" w:hAnsi="Calibri" w:cs="Calibri"/>
            <w:sz w:val="24"/>
            <w:szCs w:val="24"/>
          </w:rPr>
          <w:t>http://www.jstor.org/stable/25053916</w:t>
        </w:r>
      </w:hyperlink>
      <w:r w:rsidRPr="00A70259">
        <w:rPr>
          <w:rFonts w:ascii="Calibri" w:eastAsia="Times New Roman" w:hAnsi="Calibri" w:cs="Calibri"/>
          <w:sz w:val="24"/>
          <w:szCs w:val="24"/>
        </w:rPr>
        <w:t xml:space="preserve"> </w:t>
      </w:r>
    </w:p>
    <w:p w14:paraId="37289A74" w14:textId="5301EC0A" w:rsidR="0018213D" w:rsidRPr="00A70259" w:rsidRDefault="0018213D" w:rsidP="0018213D">
      <w:pPr>
        <w:spacing w:line="480" w:lineRule="auto"/>
        <w:rPr>
          <w:rFonts w:ascii="Calibri" w:eastAsia="Times New Roman" w:hAnsi="Calibri" w:cs="Calibri"/>
          <w:sz w:val="24"/>
          <w:szCs w:val="24"/>
          <w:lang w:val="en-US"/>
        </w:rPr>
      </w:pPr>
      <w:proofErr w:type="spellStart"/>
      <w:r w:rsidRPr="00A70259">
        <w:rPr>
          <w:rFonts w:ascii="Calibri" w:eastAsia="Times New Roman" w:hAnsi="Calibri" w:cs="Calibri"/>
          <w:sz w:val="24"/>
          <w:szCs w:val="24"/>
          <w:lang w:val="en-US"/>
        </w:rPr>
        <w:t>Rigobon</w:t>
      </w:r>
      <w:proofErr w:type="spellEnd"/>
      <w:r w:rsidRPr="00A70259">
        <w:rPr>
          <w:rFonts w:ascii="Calibri" w:eastAsia="Times New Roman" w:hAnsi="Calibri" w:cs="Calibri"/>
          <w:sz w:val="24"/>
          <w:szCs w:val="24"/>
          <w:lang w:val="en-US"/>
        </w:rPr>
        <w:t xml:space="preserve">, R., &amp; Sack, B. (2004). “The Impact of Monetary Policy on Asset Prices.” </w:t>
      </w:r>
      <w:r w:rsidRPr="00A70259">
        <w:rPr>
          <w:rFonts w:ascii="Calibri" w:eastAsia="Times New Roman" w:hAnsi="Calibri" w:cs="Calibri"/>
          <w:i/>
          <w:iCs/>
          <w:sz w:val="24"/>
          <w:szCs w:val="24"/>
          <w:lang w:val="en-US"/>
        </w:rPr>
        <w:t>Journal of Monetary Economics</w:t>
      </w:r>
      <w:r w:rsidRPr="00A70259">
        <w:rPr>
          <w:rFonts w:ascii="Calibri" w:eastAsia="Times New Roman" w:hAnsi="Calibri" w:cs="Calibri"/>
          <w:i/>
          <w:iCs/>
          <w:sz w:val="24"/>
          <w:szCs w:val="24"/>
          <w:lang w:val="en-US"/>
        </w:rPr>
        <w:t xml:space="preserve">, </w:t>
      </w:r>
      <w:r w:rsidRPr="00A70259">
        <w:rPr>
          <w:rFonts w:ascii="Calibri" w:eastAsia="Times New Roman" w:hAnsi="Calibri" w:cs="Calibri"/>
          <w:i/>
          <w:iCs/>
          <w:sz w:val="24"/>
          <w:szCs w:val="24"/>
          <w:lang w:val="en-US"/>
        </w:rPr>
        <w:t>Volume 51, Issue 8, November 2004, Pages 1553-1575</w:t>
      </w:r>
      <w:r w:rsidRPr="00A70259">
        <w:rPr>
          <w:rFonts w:ascii="Calibri" w:eastAsia="Times New Roman" w:hAnsi="Calibri" w:cs="Calibri"/>
          <w:sz w:val="24"/>
          <w:szCs w:val="24"/>
          <w:lang w:val="en-US"/>
        </w:rPr>
        <w:t xml:space="preserve">. </w:t>
      </w:r>
      <w:hyperlink r:id="rId21" w:history="1">
        <w:r w:rsidRPr="00A70259">
          <w:rPr>
            <w:rStyle w:val="Hyperlink"/>
            <w:rFonts w:ascii="Calibri" w:eastAsia="Times New Roman" w:hAnsi="Calibri" w:cs="Calibri"/>
            <w:sz w:val="24"/>
            <w:szCs w:val="24"/>
            <w:lang w:val="en-US"/>
          </w:rPr>
          <w:t>https://doi.org/10.1016/j.jmoneco.2004.02.004</w:t>
        </w:r>
      </w:hyperlink>
      <w:r w:rsidRPr="00A70259">
        <w:rPr>
          <w:rFonts w:ascii="Calibri" w:eastAsia="Times New Roman" w:hAnsi="Calibri" w:cs="Calibri"/>
          <w:sz w:val="24"/>
          <w:szCs w:val="24"/>
          <w:lang w:val="en-US"/>
        </w:rPr>
        <w:t xml:space="preserve"> </w:t>
      </w:r>
    </w:p>
    <w:p w14:paraId="2C29585F" w14:textId="29420134" w:rsidR="0018213D" w:rsidRPr="00D632DB" w:rsidRDefault="0018213D" w:rsidP="0018213D">
      <w:pPr>
        <w:spacing w:line="480" w:lineRule="auto"/>
        <w:rPr>
          <w:rFonts w:asciiTheme="minorHAnsi" w:eastAsia="Times New Roman" w:hAnsiTheme="minorHAnsi" w:cs="Times New Roman"/>
          <w:sz w:val="24"/>
          <w:szCs w:val="24"/>
          <w:lang w:val="en-US"/>
        </w:rPr>
      </w:pPr>
    </w:p>
    <w:p w14:paraId="10453775" w14:textId="21697C0C" w:rsidR="00556F04" w:rsidRDefault="00556F04">
      <w:pPr>
        <w:pStyle w:val="Heading1"/>
        <w:spacing w:line="480" w:lineRule="auto"/>
      </w:pPr>
    </w:p>
    <w:sectPr w:rsidR="00556F04">
      <w:headerReference w:type="default" r:id="rId22"/>
      <w:headerReference w:type="firs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5E173" w14:textId="77777777" w:rsidR="001F7271" w:rsidRDefault="001F7271">
      <w:pPr>
        <w:spacing w:line="240" w:lineRule="auto"/>
      </w:pPr>
      <w:r>
        <w:separator/>
      </w:r>
    </w:p>
  </w:endnote>
  <w:endnote w:type="continuationSeparator" w:id="0">
    <w:p w14:paraId="46879414" w14:textId="77777777" w:rsidR="001F7271" w:rsidRDefault="001F72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BA95F" w14:textId="77777777" w:rsidR="001F7271" w:rsidRDefault="001F7271">
      <w:pPr>
        <w:spacing w:line="240" w:lineRule="auto"/>
      </w:pPr>
      <w:r>
        <w:separator/>
      </w:r>
    </w:p>
  </w:footnote>
  <w:footnote w:type="continuationSeparator" w:id="0">
    <w:p w14:paraId="05498945" w14:textId="77777777" w:rsidR="001F7271" w:rsidRDefault="001F7271">
      <w:pPr>
        <w:spacing w:line="240" w:lineRule="auto"/>
      </w:pPr>
      <w:r>
        <w:continuationSeparator/>
      </w:r>
    </w:p>
  </w:footnote>
  <w:footnote w:id="1">
    <w:p w14:paraId="1045378A" w14:textId="77777777" w:rsidR="00556F04" w:rsidRPr="00A70259" w:rsidRDefault="00000000">
      <w:pPr>
        <w:spacing w:line="240" w:lineRule="auto"/>
        <w:rPr>
          <w:rFonts w:ascii="Calibri" w:hAnsi="Calibri" w:cs="Calibri"/>
          <w:sz w:val="20"/>
          <w:szCs w:val="20"/>
        </w:rPr>
      </w:pPr>
      <w:r w:rsidRPr="00A70259">
        <w:rPr>
          <w:rFonts w:ascii="Calibri" w:hAnsi="Calibri" w:cs="Calibri"/>
          <w:vertAlign w:val="superscript"/>
        </w:rPr>
        <w:footnoteRef/>
      </w:r>
      <w:r w:rsidRPr="00A70259">
        <w:rPr>
          <w:rFonts w:ascii="Calibri" w:hAnsi="Calibri" w:cs="Calibri"/>
          <w:sz w:val="20"/>
          <w:szCs w:val="20"/>
        </w:rPr>
        <w:t xml:space="preserve"> The time scope of this paper extends to approximately </w:t>
      </w:r>
      <w:proofErr w:type="spellStart"/>
      <w:r w:rsidRPr="00A70259">
        <w:rPr>
          <w:rFonts w:ascii="Calibri" w:hAnsi="Calibri" w:cs="Calibri"/>
          <w:sz w:val="20"/>
          <w:szCs w:val="20"/>
        </w:rPr>
        <w:t>Septmember</w:t>
      </w:r>
      <w:proofErr w:type="spellEnd"/>
      <w:r w:rsidRPr="00A70259">
        <w:rPr>
          <w:rFonts w:ascii="Calibri" w:hAnsi="Calibri" w:cs="Calibri"/>
          <w:sz w:val="20"/>
          <w:szCs w:val="20"/>
        </w:rPr>
        <w:t xml:space="preserve"> of 2023, so the data used in this discussion does not reflect more recent developments.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53788" w14:textId="7DA65536" w:rsidR="00556F04" w:rsidRDefault="00000000">
    <w:pPr>
      <w:jc w:val="right"/>
    </w:pPr>
    <w:r>
      <w:fldChar w:fldCharType="begin"/>
    </w:r>
    <w:r>
      <w:instrText>PAGE</w:instrText>
    </w:r>
    <w:r>
      <w:fldChar w:fldCharType="separate"/>
    </w:r>
    <w:r w:rsidR="004D5557">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53789" w14:textId="4032F323" w:rsidR="00556F04" w:rsidRDefault="00000000">
    <w:pPr>
      <w:jc w:val="right"/>
    </w:pPr>
    <w:r>
      <w:fldChar w:fldCharType="begin"/>
    </w:r>
    <w:r>
      <w:instrText>PAGE</w:instrText>
    </w:r>
    <w:r>
      <w:fldChar w:fldCharType="separate"/>
    </w:r>
    <w:r w:rsidR="004D5557">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F04"/>
    <w:rsid w:val="000277F6"/>
    <w:rsid w:val="00027D23"/>
    <w:rsid w:val="000431F8"/>
    <w:rsid w:val="000438D7"/>
    <w:rsid w:val="000526CF"/>
    <w:rsid w:val="00066FF7"/>
    <w:rsid w:val="00070999"/>
    <w:rsid w:val="000B51FF"/>
    <w:rsid w:val="000C4E70"/>
    <w:rsid w:val="000E2091"/>
    <w:rsid w:val="00112455"/>
    <w:rsid w:val="00121D50"/>
    <w:rsid w:val="00153B4C"/>
    <w:rsid w:val="00180EC9"/>
    <w:rsid w:val="00181BC0"/>
    <w:rsid w:val="0018213D"/>
    <w:rsid w:val="001C64BA"/>
    <w:rsid w:val="001D2D34"/>
    <w:rsid w:val="001F007D"/>
    <w:rsid w:val="001F7271"/>
    <w:rsid w:val="00263040"/>
    <w:rsid w:val="002A1C3E"/>
    <w:rsid w:val="002C3893"/>
    <w:rsid w:val="002C63E6"/>
    <w:rsid w:val="002C75AE"/>
    <w:rsid w:val="002D286F"/>
    <w:rsid w:val="00300200"/>
    <w:rsid w:val="0036573A"/>
    <w:rsid w:val="003C2F32"/>
    <w:rsid w:val="00407A90"/>
    <w:rsid w:val="00427DBA"/>
    <w:rsid w:val="004A1B6D"/>
    <w:rsid w:val="004C03B3"/>
    <w:rsid w:val="004D5557"/>
    <w:rsid w:val="00507DBD"/>
    <w:rsid w:val="005162D3"/>
    <w:rsid w:val="005232AF"/>
    <w:rsid w:val="00540F53"/>
    <w:rsid w:val="00556F04"/>
    <w:rsid w:val="005605BF"/>
    <w:rsid w:val="00632A60"/>
    <w:rsid w:val="00644BCD"/>
    <w:rsid w:val="006B4051"/>
    <w:rsid w:val="006B5152"/>
    <w:rsid w:val="00746FAE"/>
    <w:rsid w:val="00751EDF"/>
    <w:rsid w:val="0075390A"/>
    <w:rsid w:val="00774F42"/>
    <w:rsid w:val="00793296"/>
    <w:rsid w:val="007F5BC5"/>
    <w:rsid w:val="008675DB"/>
    <w:rsid w:val="008D3AEC"/>
    <w:rsid w:val="008E0AFC"/>
    <w:rsid w:val="008E53C4"/>
    <w:rsid w:val="00916E4C"/>
    <w:rsid w:val="009308F2"/>
    <w:rsid w:val="00960A72"/>
    <w:rsid w:val="00A01C25"/>
    <w:rsid w:val="00A02F2A"/>
    <w:rsid w:val="00A068E6"/>
    <w:rsid w:val="00A16B48"/>
    <w:rsid w:val="00A70259"/>
    <w:rsid w:val="00A73DB6"/>
    <w:rsid w:val="00A815D8"/>
    <w:rsid w:val="00AB7DDC"/>
    <w:rsid w:val="00B058D8"/>
    <w:rsid w:val="00B13C6D"/>
    <w:rsid w:val="00B46BBA"/>
    <w:rsid w:val="00B95D33"/>
    <w:rsid w:val="00BA2514"/>
    <w:rsid w:val="00BD12E4"/>
    <w:rsid w:val="00BD6832"/>
    <w:rsid w:val="00C50058"/>
    <w:rsid w:val="00C57F3B"/>
    <w:rsid w:val="00C6697D"/>
    <w:rsid w:val="00C92903"/>
    <w:rsid w:val="00D40DB5"/>
    <w:rsid w:val="00D632DB"/>
    <w:rsid w:val="00D67EA4"/>
    <w:rsid w:val="00DA6064"/>
    <w:rsid w:val="00DC5C29"/>
    <w:rsid w:val="00DD5D25"/>
    <w:rsid w:val="00E17C66"/>
    <w:rsid w:val="00E32D1B"/>
    <w:rsid w:val="00E45D94"/>
    <w:rsid w:val="00E82299"/>
    <w:rsid w:val="00ED1955"/>
    <w:rsid w:val="00ED5510"/>
    <w:rsid w:val="00F15708"/>
    <w:rsid w:val="00F1662D"/>
    <w:rsid w:val="00F378B6"/>
    <w:rsid w:val="00F55230"/>
    <w:rsid w:val="00F94EA8"/>
    <w:rsid w:val="00FA53A9"/>
    <w:rsid w:val="00FD5D8C"/>
    <w:rsid w:val="00FE23B2"/>
    <w:rsid w:val="00FE52AB"/>
    <w:rsid w:val="00FF5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536DC"/>
  <w15:docId w15:val="{07585D4B-2099-4E12-B55A-B4501AB3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A6064"/>
    <w:rPr>
      <w:color w:val="0000FF" w:themeColor="hyperlink"/>
      <w:u w:val="single"/>
    </w:rPr>
  </w:style>
  <w:style w:type="character" w:styleId="UnresolvedMention">
    <w:name w:val="Unresolved Mention"/>
    <w:basedOn w:val="DefaultParagraphFont"/>
    <w:uiPriority w:val="99"/>
    <w:semiHidden/>
    <w:unhideWhenUsed/>
    <w:rsid w:val="00960A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ewyorkfed.org/markets/reference-rates/effr" TargetMode="External"/><Relationship Id="rId13" Type="http://schemas.openxmlformats.org/officeDocument/2006/relationships/chart" Target="charts/chart3.xml"/><Relationship Id="rId18" Type="http://schemas.openxmlformats.org/officeDocument/2006/relationships/hyperlink" Target="https://www.nasdaq.com/articles/how-do-rising-interest-rates-affect-the-stock-market" TargetMode="External"/><Relationship Id="rId3" Type="http://schemas.openxmlformats.org/officeDocument/2006/relationships/webSettings" Target="webSettings.xml"/><Relationship Id="rId21" Type="http://schemas.openxmlformats.org/officeDocument/2006/relationships/hyperlink" Target="https://doi.org/10.1016/j.jmoneco.2004.02.004" TargetMode="External"/><Relationship Id="rId7" Type="http://schemas.openxmlformats.org/officeDocument/2006/relationships/image" Target="media/image2.png"/><Relationship Id="rId12" Type="http://schemas.openxmlformats.org/officeDocument/2006/relationships/chart" Target="charts/chart2.xml"/><Relationship Id="rId17" Type="http://schemas.openxmlformats.org/officeDocument/2006/relationships/hyperlink" Target="https://nbn-resolving.de/urn:nbn:de:hebis:30-57680"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imf.org/en/Blogs/Articles/2022/01/27/blogs012822-low-real-interest-rates-support-asset-prices-but-risks-are-rising" TargetMode="External"/><Relationship Id="rId20" Type="http://schemas.openxmlformats.org/officeDocument/2006/relationships/hyperlink" Target="http://www.jstor.org/stable/25053916"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hyperlink" Target="https://finance.yahoo.com/quote/%5EIXIC?p=%5EIXIC&amp;.tsrc=fin-srch" TargetMode="External"/><Relationship Id="rId19" Type="http://schemas.openxmlformats.org/officeDocument/2006/relationships/hyperlink" Target="https://www.frbsf.org/economic-research/publications/working-papers/2017/09/" TargetMode="External"/><Relationship Id="rId4" Type="http://schemas.openxmlformats.org/officeDocument/2006/relationships/footnotes" Target="footnotes.xml"/><Relationship Id="rId9" Type="http://schemas.openxmlformats.org/officeDocument/2006/relationships/hyperlink" Target="https://finance.yahoo.com/quote/%5EGSPC/history?p=%5EGSPC" TargetMode="External"/><Relationship Id="rId14" Type="http://schemas.openxmlformats.org/officeDocument/2006/relationships/image" Target="media/image3.png"/><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embeddings/oleObject3.bin"/><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3: VAR</a:t>
            </a:r>
            <a:r>
              <a:rPr lang="en-US" baseline="0"/>
              <a:t> Information Criterion </a:t>
            </a:r>
            <a:endParaRPr lang="en-US"/>
          </a:p>
        </c:rich>
      </c:tx>
      <c:layout>
        <c:manualLayout>
          <c:xMode val="edge"/>
          <c:yMode val="edge"/>
          <c:x val="0.2574374453193351"/>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'[Project Scratch.xlsx]SP500'!$B$1</c:f>
              <c:strCache>
                <c:ptCount val="1"/>
                <c:pt idx="0">
                  <c:v>AIC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'[Project Scratch.xlsx]SP500'!$B$2:$B$21</c:f>
              <c:numCache>
                <c:formatCode>General</c:formatCode>
                <c:ptCount val="20"/>
                <c:pt idx="0">
                  <c:v>19684.418753999998</c:v>
                </c:pt>
                <c:pt idx="1">
                  <c:v>19613.621170999999</c:v>
                </c:pt>
                <c:pt idx="2">
                  <c:v>19419.798258999999</c:v>
                </c:pt>
                <c:pt idx="3">
                  <c:v>19368.222398999998</c:v>
                </c:pt>
                <c:pt idx="4">
                  <c:v>19361.991103</c:v>
                </c:pt>
                <c:pt idx="5">
                  <c:v>19332.985987</c:v>
                </c:pt>
                <c:pt idx="6">
                  <c:v>19266.977111</c:v>
                </c:pt>
                <c:pt idx="7">
                  <c:v>19231.732258</c:v>
                </c:pt>
                <c:pt idx="8">
                  <c:v>19182.820194</c:v>
                </c:pt>
                <c:pt idx="9">
                  <c:v>19181.569210000001</c:v>
                </c:pt>
                <c:pt idx="10">
                  <c:v>19181.647239000002</c:v>
                </c:pt>
                <c:pt idx="11">
                  <c:v>19176.951077000002</c:v>
                </c:pt>
                <c:pt idx="12">
                  <c:v>19172.062591000002</c:v>
                </c:pt>
                <c:pt idx="13">
                  <c:v>19162.905527999999</c:v>
                </c:pt>
                <c:pt idx="14">
                  <c:v>19150.422063999998</c:v>
                </c:pt>
                <c:pt idx="15">
                  <c:v>19149.867791000001</c:v>
                </c:pt>
                <c:pt idx="16">
                  <c:v>19153.792165999999</c:v>
                </c:pt>
                <c:pt idx="17">
                  <c:v>19154.354102000001</c:v>
                </c:pt>
                <c:pt idx="18">
                  <c:v>19151.053071999999</c:v>
                </c:pt>
                <c:pt idx="19">
                  <c:v>19150.940391</c:v>
                </c:pt>
              </c:numCache>
            </c:numRef>
          </c:val>
          <c:smooth val="0"/>
          <c:extLst>
            <c:ext xmlns:c16="http://schemas.microsoft.com/office/drawing/2014/chart" uri="{C3380CC4-5D6E-409C-BE32-E72D297353CC}">
              <c16:uniqueId val="{00000000-345D-4B27-8896-275AFAB10F73}"/>
            </c:ext>
          </c:extLst>
        </c:ser>
        <c:ser>
          <c:idx val="1"/>
          <c:order val="1"/>
          <c:tx>
            <c:strRef>
              <c:f>'[Project Scratch.xlsx]SP500'!$C$1</c:f>
              <c:strCache>
                <c:ptCount val="1"/>
                <c:pt idx="0">
                  <c:v>SBC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'[Project Scratch.xlsx]SP500'!$C$2:$C$21</c:f>
              <c:numCache>
                <c:formatCode>General</c:formatCode>
                <c:ptCount val="20"/>
                <c:pt idx="0">
                  <c:v>19744.389078</c:v>
                </c:pt>
                <c:pt idx="1">
                  <c:v>19700.242725</c:v>
                </c:pt>
                <c:pt idx="2">
                  <c:v>19533.069660000001</c:v>
                </c:pt>
                <c:pt idx="3">
                  <c:v>19508.142264999999</c:v>
                </c:pt>
                <c:pt idx="4">
                  <c:v>19528.558048999999</c:v>
                </c:pt>
                <c:pt idx="5">
                  <c:v>19526.198629999999</c:v>
                </c:pt>
                <c:pt idx="6">
                  <c:v>19486.834065999999</c:v>
                </c:pt>
                <c:pt idx="7">
                  <c:v>19478.23214</c:v>
                </c:pt>
                <c:pt idx="8">
                  <c:v>19455.961617000001</c:v>
                </c:pt>
                <c:pt idx="9">
                  <c:v>19481.35079</c:v>
                </c:pt>
                <c:pt idx="10">
                  <c:v>19508.067588999998</c:v>
                </c:pt>
                <c:pt idx="11">
                  <c:v>19530.008811</c:v>
                </c:pt>
                <c:pt idx="12">
                  <c:v>19551.756322000001</c:v>
                </c:pt>
                <c:pt idx="13">
                  <c:v>19569.23387</c:v>
                </c:pt>
                <c:pt idx="14">
                  <c:v>19583.383629</c:v>
                </c:pt>
                <c:pt idx="15">
                  <c:v>19609.461190999999</c:v>
                </c:pt>
                <c:pt idx="16">
                  <c:v>19640.016014000001</c:v>
                </c:pt>
                <c:pt idx="17">
                  <c:v>19667.207008000001</c:v>
                </c:pt>
                <c:pt idx="18">
                  <c:v>19690.533648000001</c:v>
                </c:pt>
                <c:pt idx="19">
                  <c:v>19717.047247999999</c:v>
                </c:pt>
              </c:numCache>
            </c:numRef>
          </c:val>
          <c:smooth val="0"/>
          <c:extLst>
            <c:ext xmlns:c16="http://schemas.microsoft.com/office/drawing/2014/chart" uri="{C3380CC4-5D6E-409C-BE32-E72D297353CC}">
              <c16:uniqueId val="{00000001-345D-4B27-8896-275AFAB10F73}"/>
            </c:ext>
          </c:extLst>
        </c:ser>
        <c:dLbls>
          <c:showLegendKey val="0"/>
          <c:showVal val="0"/>
          <c:showCatName val="0"/>
          <c:showSerName val="0"/>
          <c:showPercent val="0"/>
          <c:showBubbleSize val="0"/>
        </c:dLbls>
        <c:marker val="1"/>
        <c:smooth val="0"/>
        <c:axId val="786075007"/>
        <c:axId val="367441535"/>
      </c:lineChart>
      <c:catAx>
        <c:axId val="78607500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441535"/>
        <c:crosses val="autoZero"/>
        <c:auto val="1"/>
        <c:lblAlgn val="ctr"/>
        <c:lblOffset val="100"/>
        <c:noMultiLvlLbl val="0"/>
      </c:catAx>
      <c:valAx>
        <c:axId val="3674415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075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Figure 4: ARIMA Information Criterion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'[Project Scratch.xlsx]Nasdaq'!$B$2</c:f>
              <c:strCache>
                <c:ptCount val="1"/>
                <c:pt idx="0">
                  <c:v>AIC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'[Project Scratch.xlsx]Nasdaq'!$B$3:$B$22</c:f>
              <c:numCache>
                <c:formatCode>General</c:formatCode>
                <c:ptCount val="20"/>
                <c:pt idx="0">
                  <c:v>68272.570000000007</c:v>
                </c:pt>
                <c:pt idx="1">
                  <c:v>68272.38</c:v>
                </c:pt>
                <c:pt idx="2">
                  <c:v>68266.91</c:v>
                </c:pt>
                <c:pt idx="3">
                  <c:v>68267.06</c:v>
                </c:pt>
                <c:pt idx="4">
                  <c:v>68267.88</c:v>
                </c:pt>
                <c:pt idx="5">
                  <c:v>68254.48</c:v>
                </c:pt>
                <c:pt idx="6">
                  <c:v>68228.350000000006</c:v>
                </c:pt>
                <c:pt idx="7">
                  <c:v>68195.23</c:v>
                </c:pt>
                <c:pt idx="8">
                  <c:v>68162.36</c:v>
                </c:pt>
                <c:pt idx="9">
                  <c:v>68163.72</c:v>
                </c:pt>
                <c:pt idx="10">
                  <c:v>68160.710000000006</c:v>
                </c:pt>
                <c:pt idx="11">
                  <c:v>68159.570000000007</c:v>
                </c:pt>
                <c:pt idx="12">
                  <c:v>68159.100000000006</c:v>
                </c:pt>
                <c:pt idx="13">
                  <c:v>68160.33</c:v>
                </c:pt>
                <c:pt idx="14">
                  <c:v>68152.53</c:v>
                </c:pt>
                <c:pt idx="15">
                  <c:v>68154.509999999995</c:v>
                </c:pt>
                <c:pt idx="16">
                  <c:v>68155.06</c:v>
                </c:pt>
                <c:pt idx="17">
                  <c:v>68154.44</c:v>
                </c:pt>
                <c:pt idx="18">
                  <c:v>68156.39</c:v>
                </c:pt>
                <c:pt idx="19">
                  <c:v>68158.350000000006</c:v>
                </c:pt>
              </c:numCache>
            </c:numRef>
          </c:val>
          <c:smooth val="0"/>
          <c:extLst>
            <c:ext xmlns:c16="http://schemas.microsoft.com/office/drawing/2014/chart" uri="{C3380CC4-5D6E-409C-BE32-E72D297353CC}">
              <c16:uniqueId val="{00000000-6BCC-41B4-B0A5-D66AA3B2C6BC}"/>
            </c:ext>
          </c:extLst>
        </c:ser>
        <c:ser>
          <c:idx val="1"/>
          <c:order val="1"/>
          <c:tx>
            <c:strRef>
              <c:f>'[Project Scratch.xlsx]Nasdaq'!$C$2</c:f>
              <c:strCache>
                <c:ptCount val="1"/>
                <c:pt idx="0">
                  <c:v>SBC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'[Project Scratch.xlsx]Nasdaq'!$C$3:$C$22</c:f>
              <c:numCache>
                <c:formatCode>General</c:formatCode>
                <c:ptCount val="20"/>
                <c:pt idx="0">
                  <c:v>68285.89</c:v>
                </c:pt>
                <c:pt idx="1">
                  <c:v>68292.37</c:v>
                </c:pt>
                <c:pt idx="2">
                  <c:v>68293.56</c:v>
                </c:pt>
                <c:pt idx="3">
                  <c:v>68300.38</c:v>
                </c:pt>
                <c:pt idx="4">
                  <c:v>68307.86</c:v>
                </c:pt>
                <c:pt idx="5">
                  <c:v>68301.119999999995</c:v>
                </c:pt>
                <c:pt idx="6">
                  <c:v>68281.66</c:v>
                </c:pt>
                <c:pt idx="7">
                  <c:v>68255.199999999997</c:v>
                </c:pt>
                <c:pt idx="8">
                  <c:v>68229</c:v>
                </c:pt>
                <c:pt idx="9">
                  <c:v>68237.02</c:v>
                </c:pt>
                <c:pt idx="10">
                  <c:v>68240.67</c:v>
                </c:pt>
                <c:pt idx="11">
                  <c:v>68246.19</c:v>
                </c:pt>
                <c:pt idx="12">
                  <c:v>68252.39</c:v>
                </c:pt>
                <c:pt idx="13">
                  <c:v>68260.28</c:v>
                </c:pt>
                <c:pt idx="14">
                  <c:v>68259.149999999994</c:v>
                </c:pt>
                <c:pt idx="15">
                  <c:v>68267.789999999994</c:v>
                </c:pt>
                <c:pt idx="16">
                  <c:v>68275</c:v>
                </c:pt>
                <c:pt idx="17">
                  <c:v>68281.05</c:v>
                </c:pt>
                <c:pt idx="18">
                  <c:v>68289.66</c:v>
                </c:pt>
                <c:pt idx="19">
                  <c:v>68298.289999999994</c:v>
                </c:pt>
              </c:numCache>
            </c:numRef>
          </c:val>
          <c:smooth val="0"/>
          <c:extLst>
            <c:ext xmlns:c16="http://schemas.microsoft.com/office/drawing/2014/chart" uri="{C3380CC4-5D6E-409C-BE32-E72D297353CC}">
              <c16:uniqueId val="{00000001-6BCC-41B4-B0A5-D66AA3B2C6BC}"/>
            </c:ext>
          </c:extLst>
        </c:ser>
        <c:dLbls>
          <c:showLegendKey val="0"/>
          <c:showVal val="0"/>
          <c:showCatName val="0"/>
          <c:showSerName val="0"/>
          <c:showPercent val="0"/>
          <c:showBubbleSize val="0"/>
        </c:dLbls>
        <c:marker val="1"/>
        <c:smooth val="0"/>
        <c:axId val="786745295"/>
        <c:axId val="787241103"/>
      </c:lineChart>
      <c:catAx>
        <c:axId val="78674529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241103"/>
        <c:crosses val="autoZero"/>
        <c:auto val="1"/>
        <c:lblAlgn val="ctr"/>
        <c:lblOffset val="100"/>
        <c:noMultiLvlLbl val="0"/>
      </c:catAx>
      <c:valAx>
        <c:axId val="787241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745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5: </a:t>
            </a:r>
            <a:r>
              <a:rPr lang="en-US" baseline="0"/>
              <a:t>ARIMA NOINT Information Criterion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'[Project Scratch.xlsx]Nasdaq'!$P$2</c:f>
              <c:strCache>
                <c:ptCount val="1"/>
                <c:pt idx="0">
                  <c:v>AIC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'[Project Scratch.xlsx]Nasdaq'!$P$3:$P$22</c:f>
              <c:numCache>
                <c:formatCode>General</c:formatCode>
                <c:ptCount val="20"/>
                <c:pt idx="0">
                  <c:v>68273.03</c:v>
                </c:pt>
                <c:pt idx="1">
                  <c:v>68272.740000000005</c:v>
                </c:pt>
                <c:pt idx="2">
                  <c:v>68267.45</c:v>
                </c:pt>
                <c:pt idx="3">
                  <c:v>68267.7</c:v>
                </c:pt>
                <c:pt idx="4">
                  <c:v>68268.44</c:v>
                </c:pt>
                <c:pt idx="5">
                  <c:v>68255.320000000007</c:v>
                </c:pt>
                <c:pt idx="6">
                  <c:v>68228.83</c:v>
                </c:pt>
                <c:pt idx="7">
                  <c:v>68196.100000000006</c:v>
                </c:pt>
                <c:pt idx="8">
                  <c:v>68162.84</c:v>
                </c:pt>
                <c:pt idx="9">
                  <c:v>68164.25</c:v>
                </c:pt>
                <c:pt idx="10">
                  <c:v>68161.100000000006</c:v>
                </c:pt>
                <c:pt idx="11">
                  <c:v>68159.850000000006</c:v>
                </c:pt>
                <c:pt idx="12">
                  <c:v>68159.47</c:v>
                </c:pt>
                <c:pt idx="13">
                  <c:v>68160.649999999994</c:v>
                </c:pt>
                <c:pt idx="14">
                  <c:v>68153.039999999994</c:v>
                </c:pt>
                <c:pt idx="15">
                  <c:v>68155.02</c:v>
                </c:pt>
                <c:pt idx="16">
                  <c:v>68155.64</c:v>
                </c:pt>
                <c:pt idx="17">
                  <c:v>68154.91</c:v>
                </c:pt>
                <c:pt idx="18">
                  <c:v>68156.88</c:v>
                </c:pt>
                <c:pt idx="19">
                  <c:v>68158.83</c:v>
                </c:pt>
              </c:numCache>
            </c:numRef>
          </c:val>
          <c:smooth val="0"/>
          <c:extLst>
            <c:ext xmlns:c16="http://schemas.microsoft.com/office/drawing/2014/chart" uri="{C3380CC4-5D6E-409C-BE32-E72D297353CC}">
              <c16:uniqueId val="{00000000-A46F-4F89-91C3-9C6ED99C3A6A}"/>
            </c:ext>
          </c:extLst>
        </c:ser>
        <c:ser>
          <c:idx val="1"/>
          <c:order val="1"/>
          <c:tx>
            <c:strRef>
              <c:f>'[Project Scratch.xlsx]Nasdaq'!$Q$2</c:f>
              <c:strCache>
                <c:ptCount val="1"/>
                <c:pt idx="0">
                  <c:v>SBC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'[Project Scratch.xlsx]Nasdaq'!$Q$3:$Q$22</c:f>
              <c:numCache>
                <c:formatCode>General</c:formatCode>
                <c:ptCount val="20"/>
                <c:pt idx="0">
                  <c:v>68279.69</c:v>
                </c:pt>
                <c:pt idx="1">
                  <c:v>68286.070000000007</c:v>
                </c:pt>
                <c:pt idx="2">
                  <c:v>68287.44</c:v>
                </c:pt>
                <c:pt idx="3">
                  <c:v>68294.350000000006</c:v>
                </c:pt>
                <c:pt idx="4">
                  <c:v>68301.759999999995</c:v>
                </c:pt>
                <c:pt idx="5">
                  <c:v>68295.3</c:v>
                </c:pt>
                <c:pt idx="6">
                  <c:v>68275.47</c:v>
                </c:pt>
                <c:pt idx="7">
                  <c:v>68249.41</c:v>
                </c:pt>
                <c:pt idx="8">
                  <c:v>68222.820000000007</c:v>
                </c:pt>
                <c:pt idx="9">
                  <c:v>68230.880000000005</c:v>
                </c:pt>
                <c:pt idx="10">
                  <c:v>68234.399999999994</c:v>
                </c:pt>
                <c:pt idx="11">
                  <c:v>68239.820000000007</c:v>
                </c:pt>
                <c:pt idx="12">
                  <c:v>68246.100000000006</c:v>
                </c:pt>
                <c:pt idx="13">
                  <c:v>68253.94</c:v>
                </c:pt>
                <c:pt idx="14">
                  <c:v>68253</c:v>
                </c:pt>
                <c:pt idx="15">
                  <c:v>68261.64</c:v>
                </c:pt>
                <c:pt idx="16">
                  <c:v>68268.92</c:v>
                </c:pt>
                <c:pt idx="17">
                  <c:v>68274.86</c:v>
                </c:pt>
                <c:pt idx="18">
                  <c:v>68283.48</c:v>
                </c:pt>
                <c:pt idx="19">
                  <c:v>68292.100000000006</c:v>
                </c:pt>
              </c:numCache>
            </c:numRef>
          </c:val>
          <c:smooth val="0"/>
          <c:extLst>
            <c:ext xmlns:c16="http://schemas.microsoft.com/office/drawing/2014/chart" uri="{C3380CC4-5D6E-409C-BE32-E72D297353CC}">
              <c16:uniqueId val="{00000001-A46F-4F89-91C3-9C6ED99C3A6A}"/>
            </c:ext>
          </c:extLst>
        </c:ser>
        <c:dLbls>
          <c:showLegendKey val="0"/>
          <c:showVal val="0"/>
          <c:showCatName val="0"/>
          <c:showSerName val="0"/>
          <c:showPercent val="0"/>
          <c:showBubbleSize val="0"/>
        </c:dLbls>
        <c:marker val="1"/>
        <c:smooth val="0"/>
        <c:axId val="366801967"/>
        <c:axId val="367437567"/>
      </c:lineChart>
      <c:catAx>
        <c:axId val="36680196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437567"/>
        <c:crosses val="autoZero"/>
        <c:auto val="1"/>
        <c:lblAlgn val="ctr"/>
        <c:lblOffset val="100"/>
        <c:noMultiLvlLbl val="0"/>
      </c:catAx>
      <c:valAx>
        <c:axId val="3674375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801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20</Pages>
  <Words>3967</Words>
  <Characters>22615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Mo</cp:lastModifiedBy>
  <cp:revision>86</cp:revision>
  <dcterms:created xsi:type="dcterms:W3CDTF">2023-12-17T22:20:00Z</dcterms:created>
  <dcterms:modified xsi:type="dcterms:W3CDTF">2023-12-18T01:54:00Z</dcterms:modified>
</cp:coreProperties>
</file>