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E145" w14:textId="04233468" w:rsidR="007D2DE9" w:rsidRDefault="00A24DEB" w:rsidP="00EA7A48">
      <w:pPr>
        <w:pStyle w:val="Title"/>
        <w:spacing w:line="480" w:lineRule="auto"/>
        <w:jc w:val="center"/>
        <w:rPr>
          <w:rStyle w:val="BookTitle"/>
          <w:b w:val="0"/>
          <w:bCs w:val="0"/>
          <w:i w:val="0"/>
          <w:iCs w:val="0"/>
          <w:spacing w:val="-10"/>
        </w:rPr>
      </w:pPr>
      <w:r w:rsidRPr="00B97DB9">
        <w:rPr>
          <w:rStyle w:val="BookTitle"/>
          <w:b w:val="0"/>
          <w:bCs w:val="0"/>
          <w:i w:val="0"/>
          <w:iCs w:val="0"/>
          <w:spacing w:val="-10"/>
        </w:rPr>
        <w:t>Minimum Wages</w:t>
      </w:r>
      <w:r w:rsidR="00907BC8">
        <w:rPr>
          <w:rStyle w:val="BookTitle"/>
          <w:b w:val="0"/>
          <w:bCs w:val="0"/>
          <w:i w:val="0"/>
          <w:iCs w:val="0"/>
          <w:spacing w:val="-10"/>
        </w:rPr>
        <w:t xml:space="preserve"> and the Macroeconomy</w:t>
      </w:r>
      <w:r w:rsidR="006E4ABD">
        <w:rPr>
          <w:rStyle w:val="BookTitle"/>
          <w:b w:val="0"/>
          <w:bCs w:val="0"/>
          <w:i w:val="0"/>
          <w:iCs w:val="0"/>
          <w:spacing w:val="-10"/>
        </w:rPr>
        <w:t xml:space="preserve">: Exploring the Aggregate Effects of </w:t>
      </w:r>
      <w:r w:rsidR="00B623D0">
        <w:rPr>
          <w:rStyle w:val="BookTitle"/>
          <w:b w:val="0"/>
          <w:bCs w:val="0"/>
          <w:i w:val="0"/>
          <w:iCs w:val="0"/>
          <w:spacing w:val="-10"/>
        </w:rPr>
        <w:t xml:space="preserve">State </w:t>
      </w:r>
      <w:r w:rsidR="00BA3A55">
        <w:rPr>
          <w:rStyle w:val="BookTitle"/>
          <w:b w:val="0"/>
          <w:bCs w:val="0"/>
          <w:i w:val="0"/>
          <w:iCs w:val="0"/>
          <w:spacing w:val="-10"/>
        </w:rPr>
        <w:t>Wage</w:t>
      </w:r>
      <w:r w:rsidR="00746449">
        <w:rPr>
          <w:rStyle w:val="BookTitle"/>
          <w:b w:val="0"/>
          <w:bCs w:val="0"/>
          <w:i w:val="0"/>
          <w:iCs w:val="0"/>
          <w:spacing w:val="-10"/>
        </w:rPr>
        <w:t xml:space="preserve"> Floor</w:t>
      </w:r>
      <w:r w:rsidR="00BA3A55">
        <w:rPr>
          <w:rStyle w:val="BookTitle"/>
          <w:b w:val="0"/>
          <w:bCs w:val="0"/>
          <w:i w:val="0"/>
          <w:iCs w:val="0"/>
          <w:spacing w:val="-10"/>
        </w:rPr>
        <w:t xml:space="preserve"> </w:t>
      </w:r>
      <w:r w:rsidR="00B623D0">
        <w:rPr>
          <w:rStyle w:val="BookTitle"/>
          <w:b w:val="0"/>
          <w:bCs w:val="0"/>
          <w:i w:val="0"/>
          <w:iCs w:val="0"/>
          <w:spacing w:val="-10"/>
        </w:rPr>
        <w:t>Divergence</w:t>
      </w:r>
    </w:p>
    <w:p w14:paraId="7C08C92C" w14:textId="77777777" w:rsidR="0035117D" w:rsidRPr="0035117D" w:rsidRDefault="0035117D" w:rsidP="001F01BC">
      <w:pPr>
        <w:spacing w:line="480" w:lineRule="auto"/>
      </w:pPr>
    </w:p>
    <w:p w14:paraId="3DD14587" w14:textId="14590EA1" w:rsidR="001B385B" w:rsidRDefault="001B385B" w:rsidP="001F01BC">
      <w:pPr>
        <w:pStyle w:val="Title"/>
        <w:spacing w:line="480" w:lineRule="auto"/>
        <w:jc w:val="center"/>
        <w:rPr>
          <w:sz w:val="40"/>
          <w:szCs w:val="40"/>
        </w:rPr>
      </w:pPr>
      <w:r w:rsidRPr="0035117D">
        <w:rPr>
          <w:sz w:val="40"/>
          <w:szCs w:val="40"/>
        </w:rPr>
        <w:t>David Mo</w:t>
      </w:r>
    </w:p>
    <w:p w14:paraId="3792F0EF" w14:textId="1B31CE61" w:rsidR="002E2E40" w:rsidRDefault="002E2E40" w:rsidP="001F01BC">
      <w:pPr>
        <w:spacing w:line="480" w:lineRule="auto"/>
      </w:pPr>
    </w:p>
    <w:p w14:paraId="60C712A3" w14:textId="054736C7" w:rsidR="002E2E40" w:rsidRDefault="002E2E40" w:rsidP="001F01BC">
      <w:pPr>
        <w:pStyle w:val="Title"/>
        <w:spacing w:line="480" w:lineRule="auto"/>
        <w:jc w:val="center"/>
        <w:rPr>
          <w:sz w:val="40"/>
          <w:szCs w:val="40"/>
        </w:rPr>
      </w:pPr>
      <w:bookmarkStart w:id="0" w:name="_Hlk71303417"/>
      <w:r>
        <w:rPr>
          <w:sz w:val="40"/>
          <w:szCs w:val="40"/>
        </w:rPr>
        <w:t xml:space="preserve">Department </w:t>
      </w:r>
      <w:r w:rsidR="00CB2E9E">
        <w:rPr>
          <w:sz w:val="40"/>
          <w:szCs w:val="40"/>
        </w:rPr>
        <w:t xml:space="preserve">of Economics at the University of Texas at Austin Senior </w:t>
      </w:r>
      <w:r>
        <w:rPr>
          <w:sz w:val="40"/>
          <w:szCs w:val="40"/>
        </w:rPr>
        <w:t>Honors Thesis</w:t>
      </w:r>
    </w:p>
    <w:p w14:paraId="180D3528" w14:textId="4DBCF03C" w:rsidR="00CB2E9E" w:rsidRDefault="00CB2E9E" w:rsidP="001F01BC">
      <w:pPr>
        <w:spacing w:line="480" w:lineRule="auto"/>
      </w:pPr>
    </w:p>
    <w:p w14:paraId="64590A2E" w14:textId="5A75F771" w:rsidR="00CB2E9E" w:rsidRDefault="00CB2E9E" w:rsidP="001F01BC">
      <w:pPr>
        <w:pStyle w:val="Title"/>
        <w:spacing w:line="480" w:lineRule="auto"/>
        <w:jc w:val="center"/>
        <w:rPr>
          <w:sz w:val="40"/>
          <w:szCs w:val="40"/>
        </w:rPr>
      </w:pPr>
      <w:r>
        <w:rPr>
          <w:sz w:val="40"/>
          <w:szCs w:val="40"/>
        </w:rPr>
        <w:t>Spring 2021</w:t>
      </w:r>
    </w:p>
    <w:p w14:paraId="7AA287A2" w14:textId="3C379931" w:rsidR="00062708" w:rsidRDefault="00062708" w:rsidP="001F01BC">
      <w:pPr>
        <w:spacing w:line="480" w:lineRule="auto"/>
      </w:pPr>
    </w:p>
    <w:p w14:paraId="3BFCC870" w14:textId="6F007C7D" w:rsidR="00062708" w:rsidRDefault="00062708" w:rsidP="001F01BC">
      <w:pPr>
        <w:pStyle w:val="Title"/>
        <w:spacing w:line="480" w:lineRule="auto"/>
        <w:jc w:val="center"/>
        <w:rPr>
          <w:sz w:val="40"/>
          <w:szCs w:val="40"/>
        </w:rPr>
      </w:pPr>
      <w:r>
        <w:rPr>
          <w:sz w:val="40"/>
          <w:szCs w:val="40"/>
        </w:rPr>
        <w:t>Advis</w:t>
      </w:r>
      <w:r w:rsidR="00F44B47">
        <w:rPr>
          <w:sz w:val="40"/>
          <w:szCs w:val="40"/>
        </w:rPr>
        <w:t>or</w:t>
      </w:r>
      <w:r w:rsidR="00D23971">
        <w:rPr>
          <w:sz w:val="40"/>
          <w:szCs w:val="40"/>
        </w:rPr>
        <w:t>:</w:t>
      </w:r>
      <w:r w:rsidR="00F44B47">
        <w:rPr>
          <w:sz w:val="40"/>
          <w:szCs w:val="40"/>
        </w:rPr>
        <w:t xml:space="preserve"> </w:t>
      </w:r>
      <w:r>
        <w:rPr>
          <w:sz w:val="40"/>
          <w:szCs w:val="40"/>
        </w:rPr>
        <w:t xml:space="preserve">Dr. </w:t>
      </w:r>
      <w:r w:rsidR="00491997">
        <w:rPr>
          <w:sz w:val="40"/>
          <w:szCs w:val="40"/>
        </w:rPr>
        <w:t>Andreas Mueller</w:t>
      </w:r>
      <w:r w:rsidR="00A06585">
        <w:rPr>
          <w:sz w:val="40"/>
          <w:szCs w:val="40"/>
        </w:rPr>
        <w:t xml:space="preserve"> </w:t>
      </w:r>
    </w:p>
    <w:p w14:paraId="1EE53919" w14:textId="4C452611" w:rsidR="008F67F6" w:rsidRPr="008F67F6" w:rsidRDefault="00F44B47" w:rsidP="008F67F6">
      <w:pPr>
        <w:pStyle w:val="Title"/>
        <w:spacing w:line="480" w:lineRule="auto"/>
        <w:jc w:val="center"/>
        <w:rPr>
          <w:sz w:val="40"/>
          <w:szCs w:val="40"/>
        </w:rPr>
      </w:pPr>
      <w:r>
        <w:rPr>
          <w:sz w:val="40"/>
          <w:szCs w:val="40"/>
        </w:rPr>
        <w:t xml:space="preserve">Second Reader: Dr. </w:t>
      </w:r>
      <w:r w:rsidR="001F01BC">
        <w:rPr>
          <w:sz w:val="40"/>
          <w:szCs w:val="40"/>
        </w:rPr>
        <w:t>Jason Abrevaya</w:t>
      </w:r>
      <w:bookmarkEnd w:id="0"/>
    </w:p>
    <w:sdt>
      <w:sdtPr>
        <w:rPr>
          <w:rFonts w:asciiTheme="minorHAnsi" w:eastAsiaTheme="minorHAnsi" w:hAnsiTheme="minorHAnsi" w:cstheme="minorBidi"/>
          <w:color w:val="auto"/>
          <w:sz w:val="22"/>
          <w:szCs w:val="22"/>
        </w:rPr>
        <w:id w:val="710455603"/>
        <w:docPartObj>
          <w:docPartGallery w:val="Table of Contents"/>
          <w:docPartUnique/>
        </w:docPartObj>
      </w:sdtPr>
      <w:sdtEndPr>
        <w:rPr>
          <w:b/>
          <w:bCs/>
          <w:noProof/>
        </w:rPr>
      </w:sdtEndPr>
      <w:sdtContent>
        <w:p w14:paraId="3953B2FD" w14:textId="4499A75F" w:rsidR="008F67F6" w:rsidRDefault="008F67F6">
          <w:pPr>
            <w:pStyle w:val="TOCHeading"/>
            <w:rPr>
              <w:sz w:val="56"/>
              <w:szCs w:val="56"/>
            </w:rPr>
          </w:pPr>
          <w:r w:rsidRPr="00E74D98">
            <w:rPr>
              <w:sz w:val="56"/>
              <w:szCs w:val="56"/>
            </w:rPr>
            <w:t>Contents</w:t>
          </w:r>
        </w:p>
        <w:p w14:paraId="55B6B1D7" w14:textId="77777777" w:rsidR="002724A1" w:rsidRPr="002724A1" w:rsidRDefault="002724A1" w:rsidP="002724A1"/>
        <w:p w14:paraId="02258F3F" w14:textId="207C7AE8" w:rsidR="00386F6A" w:rsidRPr="00054DEA" w:rsidRDefault="008F67F6">
          <w:pPr>
            <w:pStyle w:val="TOC1"/>
            <w:tabs>
              <w:tab w:val="right" w:leader="dot" w:pos="8990"/>
            </w:tabs>
            <w:rPr>
              <w:rFonts w:eastAsiaTheme="minorEastAsia"/>
              <w:noProof/>
              <w:sz w:val="28"/>
              <w:szCs w:val="28"/>
            </w:rPr>
          </w:pPr>
          <w:r w:rsidRPr="00054DEA">
            <w:rPr>
              <w:sz w:val="28"/>
              <w:szCs w:val="28"/>
            </w:rPr>
            <w:fldChar w:fldCharType="begin"/>
          </w:r>
          <w:r w:rsidRPr="00054DEA">
            <w:rPr>
              <w:sz w:val="28"/>
              <w:szCs w:val="28"/>
            </w:rPr>
            <w:instrText xml:space="preserve"> TOC \o "1-3" \h \z \u </w:instrText>
          </w:r>
          <w:r w:rsidRPr="00054DEA">
            <w:rPr>
              <w:sz w:val="28"/>
              <w:szCs w:val="28"/>
            </w:rPr>
            <w:fldChar w:fldCharType="separate"/>
          </w:r>
          <w:hyperlink w:anchor="_Toc71466041" w:history="1">
            <w:r w:rsidR="00386F6A" w:rsidRPr="00054DEA">
              <w:rPr>
                <w:rStyle w:val="Hyperlink"/>
                <w:noProof/>
                <w:sz w:val="28"/>
                <w:szCs w:val="28"/>
              </w:rPr>
              <w:t>Abstract</w:t>
            </w:r>
            <w:r w:rsidR="00386F6A" w:rsidRPr="00054DEA">
              <w:rPr>
                <w:noProof/>
                <w:webHidden/>
                <w:sz w:val="28"/>
                <w:szCs w:val="28"/>
              </w:rPr>
              <w:tab/>
            </w:r>
            <w:r w:rsidR="00386F6A" w:rsidRPr="00054DEA">
              <w:rPr>
                <w:noProof/>
                <w:webHidden/>
                <w:sz w:val="28"/>
                <w:szCs w:val="28"/>
              </w:rPr>
              <w:fldChar w:fldCharType="begin"/>
            </w:r>
            <w:r w:rsidR="00386F6A" w:rsidRPr="00054DEA">
              <w:rPr>
                <w:noProof/>
                <w:webHidden/>
                <w:sz w:val="28"/>
                <w:szCs w:val="28"/>
              </w:rPr>
              <w:instrText xml:space="preserve"> PAGEREF _Toc71466041 \h </w:instrText>
            </w:r>
            <w:r w:rsidR="00386F6A" w:rsidRPr="00054DEA">
              <w:rPr>
                <w:noProof/>
                <w:webHidden/>
                <w:sz w:val="28"/>
                <w:szCs w:val="28"/>
              </w:rPr>
            </w:r>
            <w:r w:rsidR="00386F6A" w:rsidRPr="00054DEA">
              <w:rPr>
                <w:noProof/>
                <w:webHidden/>
                <w:sz w:val="28"/>
                <w:szCs w:val="28"/>
              </w:rPr>
              <w:fldChar w:fldCharType="separate"/>
            </w:r>
            <w:r w:rsidR="00C46159">
              <w:rPr>
                <w:noProof/>
                <w:webHidden/>
                <w:sz w:val="28"/>
                <w:szCs w:val="28"/>
              </w:rPr>
              <w:t>3</w:t>
            </w:r>
            <w:r w:rsidR="00386F6A" w:rsidRPr="00054DEA">
              <w:rPr>
                <w:noProof/>
                <w:webHidden/>
                <w:sz w:val="28"/>
                <w:szCs w:val="28"/>
              </w:rPr>
              <w:fldChar w:fldCharType="end"/>
            </w:r>
          </w:hyperlink>
        </w:p>
        <w:p w14:paraId="75F521C6" w14:textId="65B54892" w:rsidR="00386F6A" w:rsidRPr="006E525D" w:rsidRDefault="00000000">
          <w:pPr>
            <w:pStyle w:val="TOC1"/>
            <w:tabs>
              <w:tab w:val="left" w:pos="440"/>
              <w:tab w:val="right" w:leader="dot" w:pos="8990"/>
            </w:tabs>
            <w:rPr>
              <w:rFonts w:eastAsiaTheme="minorEastAsia"/>
              <w:noProof/>
              <w:sz w:val="32"/>
              <w:szCs w:val="32"/>
            </w:rPr>
          </w:pPr>
          <w:hyperlink w:anchor="_Toc71466042" w:history="1">
            <w:r w:rsidR="00386F6A" w:rsidRPr="006E525D">
              <w:rPr>
                <w:rStyle w:val="Hyperlink"/>
                <w:noProof/>
                <w:sz w:val="32"/>
                <w:szCs w:val="32"/>
              </w:rPr>
              <w:t>1.</w:t>
            </w:r>
            <w:r w:rsidR="00386F6A" w:rsidRPr="006E525D">
              <w:rPr>
                <w:rFonts w:eastAsiaTheme="minorEastAsia"/>
                <w:noProof/>
                <w:sz w:val="32"/>
                <w:szCs w:val="32"/>
              </w:rPr>
              <w:tab/>
            </w:r>
            <w:r w:rsidR="00386F6A" w:rsidRPr="006E525D">
              <w:rPr>
                <w:rStyle w:val="Hyperlink"/>
                <w:noProof/>
                <w:sz w:val="32"/>
                <w:szCs w:val="32"/>
              </w:rPr>
              <w:t>Introduction</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_Toc71466042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3</w:t>
            </w:r>
            <w:r w:rsidR="00386F6A" w:rsidRPr="006E525D">
              <w:rPr>
                <w:noProof/>
                <w:webHidden/>
                <w:sz w:val="32"/>
                <w:szCs w:val="32"/>
              </w:rPr>
              <w:fldChar w:fldCharType="end"/>
            </w:r>
          </w:hyperlink>
        </w:p>
        <w:p w14:paraId="581DAA7B" w14:textId="0CEA899B" w:rsidR="00386F6A" w:rsidRPr="006E525D" w:rsidRDefault="00000000">
          <w:pPr>
            <w:pStyle w:val="TOC1"/>
            <w:tabs>
              <w:tab w:val="left" w:pos="440"/>
              <w:tab w:val="right" w:leader="dot" w:pos="8990"/>
            </w:tabs>
            <w:rPr>
              <w:rFonts w:eastAsiaTheme="minorEastAsia"/>
              <w:noProof/>
              <w:sz w:val="32"/>
              <w:szCs w:val="32"/>
            </w:rPr>
          </w:pPr>
          <w:hyperlink w:anchor="_Toc71466043" w:history="1">
            <w:r w:rsidR="00386F6A" w:rsidRPr="006E525D">
              <w:rPr>
                <w:rStyle w:val="Hyperlink"/>
                <w:noProof/>
                <w:sz w:val="32"/>
                <w:szCs w:val="32"/>
              </w:rPr>
              <w:t>2.</w:t>
            </w:r>
            <w:r w:rsidR="00386F6A" w:rsidRPr="006E525D">
              <w:rPr>
                <w:rFonts w:eastAsiaTheme="minorEastAsia"/>
                <w:noProof/>
                <w:sz w:val="32"/>
                <w:szCs w:val="32"/>
              </w:rPr>
              <w:tab/>
            </w:r>
            <w:r w:rsidR="00386F6A" w:rsidRPr="006E525D">
              <w:rPr>
                <w:rStyle w:val="Hyperlink"/>
                <w:noProof/>
                <w:sz w:val="32"/>
                <w:szCs w:val="32"/>
              </w:rPr>
              <w:t>Theoretical Discussion</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_Toc71466043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7</w:t>
            </w:r>
            <w:r w:rsidR="00386F6A" w:rsidRPr="006E525D">
              <w:rPr>
                <w:noProof/>
                <w:webHidden/>
                <w:sz w:val="32"/>
                <w:szCs w:val="32"/>
              </w:rPr>
              <w:fldChar w:fldCharType="end"/>
            </w:r>
          </w:hyperlink>
        </w:p>
        <w:p w14:paraId="052223B4" w14:textId="4E885C80" w:rsidR="00386F6A" w:rsidRPr="006E525D" w:rsidRDefault="00000000">
          <w:pPr>
            <w:pStyle w:val="TOC1"/>
            <w:tabs>
              <w:tab w:val="left" w:pos="440"/>
              <w:tab w:val="right" w:leader="dot" w:pos="8990"/>
            </w:tabs>
            <w:rPr>
              <w:rFonts w:eastAsiaTheme="minorEastAsia"/>
              <w:noProof/>
              <w:sz w:val="32"/>
              <w:szCs w:val="32"/>
            </w:rPr>
          </w:pPr>
          <w:hyperlink w:anchor="_Toc71466044" w:history="1">
            <w:r w:rsidR="00386F6A" w:rsidRPr="006E525D">
              <w:rPr>
                <w:rStyle w:val="Hyperlink"/>
                <w:noProof/>
                <w:sz w:val="32"/>
                <w:szCs w:val="32"/>
              </w:rPr>
              <w:t>3.</w:t>
            </w:r>
            <w:r w:rsidR="00386F6A" w:rsidRPr="006E525D">
              <w:rPr>
                <w:rFonts w:eastAsiaTheme="minorEastAsia"/>
                <w:noProof/>
                <w:sz w:val="32"/>
                <w:szCs w:val="32"/>
              </w:rPr>
              <w:tab/>
            </w:r>
            <w:r w:rsidR="00386F6A" w:rsidRPr="006E525D">
              <w:rPr>
                <w:rStyle w:val="Hyperlink"/>
                <w:noProof/>
                <w:sz w:val="32"/>
                <w:szCs w:val="32"/>
              </w:rPr>
              <w:t>Literature Review</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_Toc71466044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14</w:t>
            </w:r>
            <w:r w:rsidR="00386F6A" w:rsidRPr="006E525D">
              <w:rPr>
                <w:noProof/>
                <w:webHidden/>
                <w:sz w:val="32"/>
                <w:szCs w:val="32"/>
              </w:rPr>
              <w:fldChar w:fldCharType="end"/>
            </w:r>
          </w:hyperlink>
        </w:p>
        <w:p w14:paraId="09C05CE7" w14:textId="32BD5EB0" w:rsidR="00386F6A" w:rsidRPr="006E525D" w:rsidRDefault="00000000">
          <w:pPr>
            <w:pStyle w:val="TOC2"/>
            <w:tabs>
              <w:tab w:val="left" w:pos="660"/>
              <w:tab w:val="right" w:leader="dot" w:pos="8990"/>
            </w:tabs>
            <w:rPr>
              <w:rFonts w:eastAsiaTheme="minorEastAsia"/>
              <w:noProof/>
              <w:sz w:val="32"/>
              <w:szCs w:val="32"/>
            </w:rPr>
          </w:pPr>
          <w:hyperlink w:anchor="_Toc71466045" w:history="1">
            <w:r w:rsidR="00386F6A" w:rsidRPr="006E525D">
              <w:rPr>
                <w:rStyle w:val="Hyperlink"/>
                <w:noProof/>
                <w:sz w:val="32"/>
                <w:szCs w:val="32"/>
              </w:rPr>
              <w:t>A.</w:t>
            </w:r>
            <w:r w:rsidR="00386F6A" w:rsidRPr="006E525D">
              <w:rPr>
                <w:rFonts w:eastAsiaTheme="minorEastAsia"/>
                <w:noProof/>
                <w:sz w:val="32"/>
                <w:szCs w:val="32"/>
              </w:rPr>
              <w:tab/>
            </w:r>
            <w:r w:rsidR="00386F6A" w:rsidRPr="006E525D">
              <w:rPr>
                <w:rStyle w:val="Hyperlink"/>
                <w:noProof/>
                <w:sz w:val="32"/>
                <w:szCs w:val="32"/>
              </w:rPr>
              <w:t>Price Effects</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_Toc71466045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14</w:t>
            </w:r>
            <w:r w:rsidR="00386F6A" w:rsidRPr="006E525D">
              <w:rPr>
                <w:noProof/>
                <w:webHidden/>
                <w:sz w:val="32"/>
                <w:szCs w:val="32"/>
              </w:rPr>
              <w:fldChar w:fldCharType="end"/>
            </w:r>
          </w:hyperlink>
        </w:p>
        <w:p w14:paraId="33B8B959" w14:textId="117C6C66" w:rsidR="00386F6A" w:rsidRPr="006E525D" w:rsidRDefault="00000000">
          <w:pPr>
            <w:pStyle w:val="TOC2"/>
            <w:tabs>
              <w:tab w:val="left" w:pos="660"/>
              <w:tab w:val="right" w:leader="dot" w:pos="8990"/>
            </w:tabs>
            <w:rPr>
              <w:rFonts w:eastAsiaTheme="minorEastAsia"/>
              <w:noProof/>
              <w:sz w:val="32"/>
              <w:szCs w:val="32"/>
            </w:rPr>
          </w:pPr>
          <w:hyperlink w:anchor="_Toc71466046" w:history="1">
            <w:r w:rsidR="00386F6A" w:rsidRPr="006E525D">
              <w:rPr>
                <w:rStyle w:val="Hyperlink"/>
                <w:noProof/>
                <w:sz w:val="32"/>
                <w:szCs w:val="32"/>
              </w:rPr>
              <w:t>B.</w:t>
            </w:r>
            <w:r w:rsidR="00386F6A" w:rsidRPr="006E525D">
              <w:rPr>
                <w:rFonts w:eastAsiaTheme="minorEastAsia"/>
                <w:noProof/>
                <w:sz w:val="32"/>
                <w:szCs w:val="32"/>
              </w:rPr>
              <w:tab/>
            </w:r>
            <w:r w:rsidR="00386F6A" w:rsidRPr="006E525D">
              <w:rPr>
                <w:rStyle w:val="Hyperlink"/>
                <w:noProof/>
                <w:sz w:val="32"/>
                <w:szCs w:val="32"/>
              </w:rPr>
              <w:t>Labor Market Effects</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_Toc71466046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16</w:t>
            </w:r>
            <w:r w:rsidR="00386F6A" w:rsidRPr="006E525D">
              <w:rPr>
                <w:noProof/>
                <w:webHidden/>
                <w:sz w:val="32"/>
                <w:szCs w:val="32"/>
              </w:rPr>
              <w:fldChar w:fldCharType="end"/>
            </w:r>
          </w:hyperlink>
        </w:p>
        <w:p w14:paraId="50AB6459" w14:textId="490069F8" w:rsidR="00386F6A" w:rsidRPr="006E525D" w:rsidRDefault="00000000">
          <w:pPr>
            <w:pStyle w:val="TOC1"/>
            <w:tabs>
              <w:tab w:val="left" w:pos="440"/>
              <w:tab w:val="right" w:leader="dot" w:pos="8990"/>
            </w:tabs>
            <w:rPr>
              <w:rFonts w:eastAsiaTheme="minorEastAsia"/>
              <w:noProof/>
              <w:sz w:val="32"/>
              <w:szCs w:val="32"/>
            </w:rPr>
          </w:pPr>
          <w:hyperlink w:anchor="_Toc71466047" w:history="1">
            <w:r w:rsidR="00386F6A" w:rsidRPr="006E525D">
              <w:rPr>
                <w:rStyle w:val="Hyperlink"/>
                <w:noProof/>
                <w:sz w:val="32"/>
                <w:szCs w:val="32"/>
              </w:rPr>
              <w:t>4.</w:t>
            </w:r>
            <w:r w:rsidR="00386F6A" w:rsidRPr="006E525D">
              <w:rPr>
                <w:rFonts w:eastAsiaTheme="minorEastAsia"/>
                <w:noProof/>
                <w:sz w:val="32"/>
                <w:szCs w:val="32"/>
              </w:rPr>
              <w:tab/>
            </w:r>
            <w:r w:rsidR="00386F6A" w:rsidRPr="006E525D">
              <w:rPr>
                <w:rStyle w:val="Hyperlink"/>
                <w:noProof/>
                <w:sz w:val="32"/>
                <w:szCs w:val="32"/>
              </w:rPr>
              <w:t>Data</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_Toc71466047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19</w:t>
            </w:r>
            <w:r w:rsidR="00386F6A" w:rsidRPr="006E525D">
              <w:rPr>
                <w:noProof/>
                <w:webHidden/>
                <w:sz w:val="32"/>
                <w:szCs w:val="32"/>
              </w:rPr>
              <w:fldChar w:fldCharType="end"/>
            </w:r>
          </w:hyperlink>
        </w:p>
        <w:p w14:paraId="5A357C14" w14:textId="617989E7" w:rsidR="00386F6A" w:rsidRPr="006E525D" w:rsidRDefault="00000000">
          <w:pPr>
            <w:pStyle w:val="TOC2"/>
            <w:tabs>
              <w:tab w:val="left" w:pos="660"/>
              <w:tab w:val="right" w:leader="dot" w:pos="8990"/>
            </w:tabs>
            <w:rPr>
              <w:rFonts w:eastAsiaTheme="minorEastAsia"/>
              <w:noProof/>
              <w:sz w:val="32"/>
              <w:szCs w:val="32"/>
            </w:rPr>
          </w:pPr>
          <w:hyperlink w:anchor="_Toc71466048" w:history="1">
            <w:r w:rsidR="00386F6A" w:rsidRPr="006E525D">
              <w:rPr>
                <w:rStyle w:val="Hyperlink"/>
                <w:noProof/>
                <w:sz w:val="32"/>
                <w:szCs w:val="32"/>
              </w:rPr>
              <w:t>A.</w:t>
            </w:r>
            <w:r w:rsidR="00386F6A" w:rsidRPr="006E525D">
              <w:rPr>
                <w:rFonts w:eastAsiaTheme="minorEastAsia"/>
                <w:noProof/>
                <w:sz w:val="32"/>
                <w:szCs w:val="32"/>
              </w:rPr>
              <w:tab/>
            </w:r>
            <w:r w:rsidR="00386F6A" w:rsidRPr="006E525D">
              <w:rPr>
                <w:rStyle w:val="Hyperlink"/>
                <w:noProof/>
                <w:sz w:val="32"/>
                <w:szCs w:val="32"/>
              </w:rPr>
              <w:t>Minimum Wage Data</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_Toc71466048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22</w:t>
            </w:r>
            <w:r w:rsidR="00386F6A" w:rsidRPr="006E525D">
              <w:rPr>
                <w:noProof/>
                <w:webHidden/>
                <w:sz w:val="32"/>
                <w:szCs w:val="32"/>
              </w:rPr>
              <w:fldChar w:fldCharType="end"/>
            </w:r>
          </w:hyperlink>
        </w:p>
        <w:p w14:paraId="50E5EB9F" w14:textId="05EAB35E" w:rsidR="00386F6A" w:rsidRPr="006E525D" w:rsidRDefault="00000000">
          <w:pPr>
            <w:pStyle w:val="TOC2"/>
            <w:tabs>
              <w:tab w:val="left" w:pos="660"/>
              <w:tab w:val="right" w:leader="dot" w:pos="8990"/>
            </w:tabs>
            <w:rPr>
              <w:rFonts w:eastAsiaTheme="minorEastAsia"/>
              <w:noProof/>
              <w:sz w:val="32"/>
              <w:szCs w:val="32"/>
            </w:rPr>
          </w:pPr>
          <w:hyperlink w:anchor="_Toc71466049" w:history="1">
            <w:r w:rsidR="00386F6A" w:rsidRPr="006E525D">
              <w:rPr>
                <w:rStyle w:val="Hyperlink"/>
                <w:noProof/>
                <w:sz w:val="32"/>
                <w:szCs w:val="32"/>
              </w:rPr>
              <w:t>B.</w:t>
            </w:r>
            <w:r w:rsidR="00386F6A" w:rsidRPr="006E525D">
              <w:rPr>
                <w:rFonts w:eastAsiaTheme="minorEastAsia"/>
                <w:noProof/>
                <w:sz w:val="32"/>
                <w:szCs w:val="32"/>
              </w:rPr>
              <w:tab/>
            </w:r>
            <w:r w:rsidR="00386F6A" w:rsidRPr="006E525D">
              <w:rPr>
                <w:rStyle w:val="Hyperlink"/>
                <w:noProof/>
                <w:sz w:val="32"/>
                <w:szCs w:val="32"/>
              </w:rPr>
              <w:t>Dependent Variable Data</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_Toc71466049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23</w:t>
            </w:r>
            <w:r w:rsidR="00386F6A" w:rsidRPr="006E525D">
              <w:rPr>
                <w:noProof/>
                <w:webHidden/>
                <w:sz w:val="32"/>
                <w:szCs w:val="32"/>
              </w:rPr>
              <w:fldChar w:fldCharType="end"/>
            </w:r>
          </w:hyperlink>
        </w:p>
        <w:p w14:paraId="1F8D233B" w14:textId="69033AB0" w:rsidR="00386F6A" w:rsidRPr="006E525D" w:rsidRDefault="00000000">
          <w:pPr>
            <w:pStyle w:val="TOC1"/>
            <w:tabs>
              <w:tab w:val="left" w:pos="440"/>
              <w:tab w:val="right" w:leader="dot" w:pos="8990"/>
            </w:tabs>
            <w:rPr>
              <w:rFonts w:eastAsiaTheme="minorEastAsia"/>
              <w:noProof/>
              <w:sz w:val="32"/>
              <w:szCs w:val="32"/>
            </w:rPr>
          </w:pPr>
          <w:hyperlink w:anchor="_Toc71466050" w:history="1">
            <w:r w:rsidR="00386F6A" w:rsidRPr="006E525D">
              <w:rPr>
                <w:rStyle w:val="Hyperlink"/>
                <w:noProof/>
                <w:sz w:val="32"/>
                <w:szCs w:val="32"/>
              </w:rPr>
              <w:t>5.</w:t>
            </w:r>
            <w:r w:rsidR="00386F6A" w:rsidRPr="006E525D">
              <w:rPr>
                <w:rFonts w:eastAsiaTheme="minorEastAsia"/>
                <w:noProof/>
                <w:sz w:val="32"/>
                <w:szCs w:val="32"/>
              </w:rPr>
              <w:tab/>
            </w:r>
            <w:r w:rsidR="00386F6A" w:rsidRPr="006E525D">
              <w:rPr>
                <w:rStyle w:val="Hyperlink"/>
                <w:noProof/>
                <w:sz w:val="32"/>
                <w:szCs w:val="32"/>
              </w:rPr>
              <w:t>Empirical Model</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_Toc71466050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25</w:t>
            </w:r>
            <w:r w:rsidR="00386F6A" w:rsidRPr="006E525D">
              <w:rPr>
                <w:noProof/>
                <w:webHidden/>
                <w:sz w:val="32"/>
                <w:szCs w:val="32"/>
              </w:rPr>
              <w:fldChar w:fldCharType="end"/>
            </w:r>
          </w:hyperlink>
        </w:p>
        <w:p w14:paraId="048D5A91" w14:textId="690982A2" w:rsidR="00386F6A" w:rsidRPr="006E525D" w:rsidRDefault="00000000">
          <w:pPr>
            <w:pStyle w:val="TOC2"/>
            <w:tabs>
              <w:tab w:val="left" w:pos="660"/>
              <w:tab w:val="right" w:leader="dot" w:pos="8990"/>
            </w:tabs>
            <w:rPr>
              <w:rFonts w:eastAsiaTheme="minorEastAsia"/>
              <w:noProof/>
              <w:sz w:val="32"/>
              <w:szCs w:val="32"/>
            </w:rPr>
          </w:pPr>
          <w:hyperlink w:anchor="_Toc71466051" w:history="1">
            <w:r w:rsidR="00386F6A" w:rsidRPr="006E525D">
              <w:rPr>
                <w:rStyle w:val="Hyperlink"/>
                <w:noProof/>
                <w:sz w:val="32"/>
                <w:szCs w:val="32"/>
              </w:rPr>
              <w:t>A.</w:t>
            </w:r>
            <w:r w:rsidR="00386F6A" w:rsidRPr="006E525D">
              <w:rPr>
                <w:rFonts w:eastAsiaTheme="minorEastAsia"/>
                <w:noProof/>
                <w:sz w:val="32"/>
                <w:szCs w:val="32"/>
              </w:rPr>
              <w:tab/>
            </w:r>
            <w:r w:rsidR="00386F6A" w:rsidRPr="006E525D">
              <w:rPr>
                <w:rStyle w:val="Hyperlink"/>
                <w:noProof/>
                <w:sz w:val="32"/>
                <w:szCs w:val="32"/>
              </w:rPr>
              <w:t>Baseline:</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_Toc71466051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26</w:t>
            </w:r>
            <w:r w:rsidR="00386F6A" w:rsidRPr="006E525D">
              <w:rPr>
                <w:noProof/>
                <w:webHidden/>
                <w:sz w:val="32"/>
                <w:szCs w:val="32"/>
              </w:rPr>
              <w:fldChar w:fldCharType="end"/>
            </w:r>
          </w:hyperlink>
        </w:p>
        <w:p w14:paraId="3DD80EC5" w14:textId="7698812D" w:rsidR="00386F6A" w:rsidRPr="006E525D" w:rsidRDefault="00000000">
          <w:pPr>
            <w:pStyle w:val="TOC2"/>
            <w:tabs>
              <w:tab w:val="left" w:pos="660"/>
              <w:tab w:val="right" w:leader="dot" w:pos="8990"/>
            </w:tabs>
            <w:rPr>
              <w:rFonts w:eastAsiaTheme="minorEastAsia"/>
              <w:noProof/>
              <w:sz w:val="32"/>
              <w:szCs w:val="32"/>
            </w:rPr>
          </w:pPr>
          <w:hyperlink w:anchor="_Toc71466052" w:history="1">
            <w:r w:rsidR="00386F6A" w:rsidRPr="006E525D">
              <w:rPr>
                <w:rStyle w:val="Hyperlink"/>
                <w:noProof/>
                <w:sz w:val="32"/>
                <w:szCs w:val="32"/>
              </w:rPr>
              <w:t>B.</w:t>
            </w:r>
            <w:r w:rsidR="00386F6A" w:rsidRPr="006E525D">
              <w:rPr>
                <w:rFonts w:eastAsiaTheme="minorEastAsia"/>
                <w:noProof/>
                <w:sz w:val="32"/>
                <w:szCs w:val="32"/>
              </w:rPr>
              <w:tab/>
            </w:r>
            <w:r w:rsidR="00386F6A" w:rsidRPr="006E525D">
              <w:rPr>
                <w:rStyle w:val="Hyperlink"/>
                <w:noProof/>
                <w:sz w:val="32"/>
                <w:szCs w:val="32"/>
              </w:rPr>
              <w:t>GDP Controlled:</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_Toc71466052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26</w:t>
            </w:r>
            <w:r w:rsidR="00386F6A" w:rsidRPr="006E525D">
              <w:rPr>
                <w:noProof/>
                <w:webHidden/>
                <w:sz w:val="32"/>
                <w:szCs w:val="32"/>
              </w:rPr>
              <w:fldChar w:fldCharType="end"/>
            </w:r>
          </w:hyperlink>
        </w:p>
        <w:p w14:paraId="24BB67D8" w14:textId="51AA96EB" w:rsidR="00386F6A" w:rsidRPr="006E525D" w:rsidRDefault="00000000">
          <w:pPr>
            <w:pStyle w:val="TOC2"/>
            <w:tabs>
              <w:tab w:val="left" w:pos="660"/>
              <w:tab w:val="right" w:leader="dot" w:pos="8990"/>
            </w:tabs>
            <w:rPr>
              <w:rFonts w:eastAsiaTheme="minorEastAsia"/>
              <w:noProof/>
              <w:sz w:val="32"/>
              <w:szCs w:val="32"/>
            </w:rPr>
          </w:pPr>
          <w:hyperlink w:anchor="_Toc71466053" w:history="1">
            <w:r w:rsidR="00386F6A" w:rsidRPr="006E525D">
              <w:rPr>
                <w:rStyle w:val="Hyperlink"/>
                <w:noProof/>
                <w:sz w:val="32"/>
                <w:szCs w:val="32"/>
              </w:rPr>
              <w:t>C.</w:t>
            </w:r>
            <w:r w:rsidR="00386F6A" w:rsidRPr="006E525D">
              <w:rPr>
                <w:rFonts w:eastAsiaTheme="minorEastAsia"/>
                <w:noProof/>
                <w:sz w:val="32"/>
                <w:szCs w:val="32"/>
              </w:rPr>
              <w:tab/>
            </w:r>
            <w:r w:rsidR="00386F6A" w:rsidRPr="006E525D">
              <w:rPr>
                <w:rStyle w:val="Hyperlink"/>
                <w:noProof/>
                <w:sz w:val="32"/>
                <w:szCs w:val="32"/>
              </w:rPr>
              <w:t>Time-variant State Heterogeneity</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_Toc71466053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27</w:t>
            </w:r>
            <w:r w:rsidR="00386F6A" w:rsidRPr="006E525D">
              <w:rPr>
                <w:noProof/>
                <w:webHidden/>
                <w:sz w:val="32"/>
                <w:szCs w:val="32"/>
              </w:rPr>
              <w:fldChar w:fldCharType="end"/>
            </w:r>
          </w:hyperlink>
        </w:p>
        <w:p w14:paraId="448B9FDC" w14:textId="1B091666" w:rsidR="00386F6A" w:rsidRPr="006E525D" w:rsidRDefault="00000000">
          <w:pPr>
            <w:pStyle w:val="TOC2"/>
            <w:tabs>
              <w:tab w:val="left" w:pos="660"/>
              <w:tab w:val="right" w:leader="dot" w:pos="8990"/>
            </w:tabs>
            <w:rPr>
              <w:rFonts w:eastAsiaTheme="minorEastAsia"/>
              <w:noProof/>
              <w:sz w:val="32"/>
              <w:szCs w:val="32"/>
            </w:rPr>
          </w:pPr>
          <w:hyperlink w:anchor="_Toc71466054" w:history="1">
            <w:r w:rsidR="00386F6A" w:rsidRPr="006E525D">
              <w:rPr>
                <w:rStyle w:val="Hyperlink"/>
                <w:noProof/>
                <w:sz w:val="32"/>
                <w:szCs w:val="32"/>
              </w:rPr>
              <w:t>D.</w:t>
            </w:r>
            <w:r w:rsidR="00386F6A" w:rsidRPr="006E525D">
              <w:rPr>
                <w:rFonts w:eastAsiaTheme="minorEastAsia"/>
                <w:noProof/>
                <w:sz w:val="32"/>
                <w:szCs w:val="32"/>
              </w:rPr>
              <w:tab/>
            </w:r>
            <w:r w:rsidR="00386F6A" w:rsidRPr="006E525D">
              <w:rPr>
                <w:rStyle w:val="Hyperlink"/>
                <w:noProof/>
                <w:sz w:val="32"/>
                <w:szCs w:val="32"/>
              </w:rPr>
              <w:t>Full Specification</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_Toc71466054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27</w:t>
            </w:r>
            <w:r w:rsidR="00386F6A" w:rsidRPr="006E525D">
              <w:rPr>
                <w:noProof/>
                <w:webHidden/>
                <w:sz w:val="32"/>
                <w:szCs w:val="32"/>
              </w:rPr>
              <w:fldChar w:fldCharType="end"/>
            </w:r>
          </w:hyperlink>
        </w:p>
        <w:p w14:paraId="3B80A552" w14:textId="78080310" w:rsidR="00386F6A" w:rsidRPr="006E525D" w:rsidRDefault="00000000">
          <w:pPr>
            <w:pStyle w:val="TOC1"/>
            <w:tabs>
              <w:tab w:val="left" w:pos="440"/>
              <w:tab w:val="right" w:leader="dot" w:pos="8990"/>
            </w:tabs>
            <w:rPr>
              <w:rFonts w:eastAsiaTheme="minorEastAsia"/>
              <w:noProof/>
              <w:sz w:val="32"/>
              <w:szCs w:val="32"/>
            </w:rPr>
          </w:pPr>
          <w:hyperlink w:anchor="_Toc71466055" w:history="1">
            <w:r w:rsidR="00386F6A" w:rsidRPr="006E525D">
              <w:rPr>
                <w:rStyle w:val="Hyperlink"/>
                <w:noProof/>
                <w:sz w:val="32"/>
                <w:szCs w:val="32"/>
              </w:rPr>
              <w:t>6.</w:t>
            </w:r>
            <w:r w:rsidR="00386F6A" w:rsidRPr="006E525D">
              <w:rPr>
                <w:rFonts w:eastAsiaTheme="minorEastAsia"/>
                <w:noProof/>
                <w:sz w:val="32"/>
                <w:szCs w:val="32"/>
              </w:rPr>
              <w:tab/>
            </w:r>
            <w:r w:rsidR="00386F6A" w:rsidRPr="006E525D">
              <w:rPr>
                <w:rStyle w:val="Hyperlink"/>
                <w:noProof/>
                <w:sz w:val="32"/>
                <w:szCs w:val="32"/>
              </w:rPr>
              <w:t>Empirical Results</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_Toc71466055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27</w:t>
            </w:r>
            <w:r w:rsidR="00386F6A" w:rsidRPr="006E525D">
              <w:rPr>
                <w:noProof/>
                <w:webHidden/>
                <w:sz w:val="32"/>
                <w:szCs w:val="32"/>
              </w:rPr>
              <w:fldChar w:fldCharType="end"/>
            </w:r>
          </w:hyperlink>
        </w:p>
        <w:p w14:paraId="515311EE" w14:textId="1CC6C596" w:rsidR="00386F6A" w:rsidRPr="006E525D" w:rsidRDefault="00000000">
          <w:pPr>
            <w:pStyle w:val="TOC2"/>
            <w:tabs>
              <w:tab w:val="left" w:pos="660"/>
              <w:tab w:val="right" w:leader="dot" w:pos="8990"/>
            </w:tabs>
            <w:rPr>
              <w:rFonts w:eastAsiaTheme="minorEastAsia"/>
              <w:noProof/>
              <w:sz w:val="32"/>
              <w:szCs w:val="32"/>
            </w:rPr>
          </w:pPr>
          <w:hyperlink w:anchor="_Toc71466056" w:history="1">
            <w:r w:rsidR="00386F6A" w:rsidRPr="006E525D">
              <w:rPr>
                <w:rStyle w:val="Hyperlink"/>
                <w:noProof/>
                <w:sz w:val="32"/>
                <w:szCs w:val="32"/>
              </w:rPr>
              <w:t>A.</w:t>
            </w:r>
            <w:r w:rsidR="00386F6A" w:rsidRPr="006E525D">
              <w:rPr>
                <w:rFonts w:eastAsiaTheme="minorEastAsia"/>
                <w:noProof/>
                <w:sz w:val="32"/>
                <w:szCs w:val="32"/>
              </w:rPr>
              <w:tab/>
            </w:r>
            <w:r w:rsidR="00386F6A" w:rsidRPr="006E525D">
              <w:rPr>
                <w:rStyle w:val="Hyperlink"/>
                <w:noProof/>
                <w:sz w:val="32"/>
                <w:szCs w:val="32"/>
              </w:rPr>
              <w:t>Price Effects</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_Toc71466056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28</w:t>
            </w:r>
            <w:r w:rsidR="00386F6A" w:rsidRPr="006E525D">
              <w:rPr>
                <w:noProof/>
                <w:webHidden/>
                <w:sz w:val="32"/>
                <w:szCs w:val="32"/>
              </w:rPr>
              <w:fldChar w:fldCharType="end"/>
            </w:r>
          </w:hyperlink>
        </w:p>
        <w:p w14:paraId="7AE3BAD0" w14:textId="04FA814F" w:rsidR="00386F6A" w:rsidRPr="006E525D" w:rsidRDefault="00000000">
          <w:pPr>
            <w:pStyle w:val="TOC2"/>
            <w:tabs>
              <w:tab w:val="left" w:pos="660"/>
              <w:tab w:val="right" w:leader="dot" w:pos="8990"/>
            </w:tabs>
            <w:rPr>
              <w:rFonts w:eastAsiaTheme="minorEastAsia"/>
              <w:noProof/>
              <w:sz w:val="32"/>
              <w:szCs w:val="32"/>
            </w:rPr>
          </w:pPr>
          <w:hyperlink w:anchor="_Toc71466057" w:history="1">
            <w:r w:rsidR="00386F6A" w:rsidRPr="006E525D">
              <w:rPr>
                <w:rStyle w:val="Hyperlink"/>
                <w:noProof/>
                <w:sz w:val="32"/>
                <w:szCs w:val="32"/>
              </w:rPr>
              <w:t>B.</w:t>
            </w:r>
            <w:r w:rsidR="00386F6A" w:rsidRPr="006E525D">
              <w:rPr>
                <w:rFonts w:eastAsiaTheme="minorEastAsia"/>
                <w:noProof/>
                <w:sz w:val="32"/>
                <w:szCs w:val="32"/>
              </w:rPr>
              <w:tab/>
            </w:r>
            <w:r w:rsidR="00386F6A" w:rsidRPr="006E525D">
              <w:rPr>
                <w:rStyle w:val="Hyperlink"/>
                <w:noProof/>
                <w:sz w:val="32"/>
                <w:szCs w:val="32"/>
              </w:rPr>
              <w:t>Employment Effects</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_Toc71466057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30</w:t>
            </w:r>
            <w:r w:rsidR="00386F6A" w:rsidRPr="006E525D">
              <w:rPr>
                <w:noProof/>
                <w:webHidden/>
                <w:sz w:val="32"/>
                <w:szCs w:val="32"/>
              </w:rPr>
              <w:fldChar w:fldCharType="end"/>
            </w:r>
          </w:hyperlink>
        </w:p>
        <w:p w14:paraId="0D82B839" w14:textId="308B5957" w:rsidR="00386F6A" w:rsidRPr="006E525D" w:rsidRDefault="00000000">
          <w:pPr>
            <w:pStyle w:val="TOC1"/>
            <w:tabs>
              <w:tab w:val="left" w:pos="440"/>
              <w:tab w:val="right" w:leader="dot" w:pos="8990"/>
            </w:tabs>
            <w:rPr>
              <w:rFonts w:eastAsiaTheme="minorEastAsia"/>
              <w:noProof/>
              <w:sz w:val="32"/>
              <w:szCs w:val="32"/>
            </w:rPr>
          </w:pPr>
          <w:hyperlink w:anchor="_Toc71466058" w:history="1">
            <w:r w:rsidR="00386F6A" w:rsidRPr="006E525D">
              <w:rPr>
                <w:rStyle w:val="Hyperlink"/>
                <w:noProof/>
                <w:sz w:val="32"/>
                <w:szCs w:val="32"/>
              </w:rPr>
              <w:t>7.</w:t>
            </w:r>
            <w:r w:rsidR="00386F6A" w:rsidRPr="006E525D">
              <w:rPr>
                <w:rFonts w:eastAsiaTheme="minorEastAsia"/>
                <w:noProof/>
                <w:sz w:val="32"/>
                <w:szCs w:val="32"/>
              </w:rPr>
              <w:tab/>
            </w:r>
            <w:r w:rsidR="00386F6A" w:rsidRPr="006E525D">
              <w:rPr>
                <w:rStyle w:val="Hyperlink"/>
                <w:noProof/>
                <w:sz w:val="32"/>
                <w:szCs w:val="32"/>
              </w:rPr>
              <w:t>Conclusion</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_Toc71466058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36</w:t>
            </w:r>
            <w:r w:rsidR="00386F6A" w:rsidRPr="006E525D">
              <w:rPr>
                <w:noProof/>
                <w:webHidden/>
                <w:sz w:val="32"/>
                <w:szCs w:val="32"/>
              </w:rPr>
              <w:fldChar w:fldCharType="end"/>
            </w:r>
          </w:hyperlink>
        </w:p>
        <w:p w14:paraId="6AE22385" w14:textId="2DFC7A1E" w:rsidR="00386F6A" w:rsidRPr="006E525D" w:rsidRDefault="00000000">
          <w:pPr>
            <w:pStyle w:val="TOC1"/>
            <w:tabs>
              <w:tab w:val="left" w:pos="440"/>
              <w:tab w:val="right" w:leader="dot" w:pos="8990"/>
            </w:tabs>
            <w:rPr>
              <w:rFonts w:eastAsiaTheme="minorEastAsia"/>
              <w:noProof/>
              <w:sz w:val="32"/>
              <w:szCs w:val="32"/>
            </w:rPr>
          </w:pPr>
          <w:hyperlink w:anchor="_Toc71466059" w:history="1">
            <w:r w:rsidR="00386F6A" w:rsidRPr="006E525D">
              <w:rPr>
                <w:rStyle w:val="Hyperlink"/>
                <w:noProof/>
                <w:sz w:val="32"/>
                <w:szCs w:val="32"/>
              </w:rPr>
              <w:t>8.</w:t>
            </w:r>
            <w:r w:rsidR="00386F6A" w:rsidRPr="006E525D">
              <w:rPr>
                <w:rFonts w:eastAsiaTheme="minorEastAsia"/>
                <w:noProof/>
                <w:sz w:val="32"/>
                <w:szCs w:val="32"/>
              </w:rPr>
              <w:tab/>
            </w:r>
            <w:r w:rsidR="00386F6A" w:rsidRPr="006E525D">
              <w:rPr>
                <w:rStyle w:val="Hyperlink"/>
                <w:noProof/>
                <w:sz w:val="32"/>
                <w:szCs w:val="32"/>
              </w:rPr>
              <w:t>References</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_Toc71466059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38</w:t>
            </w:r>
            <w:r w:rsidR="00386F6A" w:rsidRPr="006E525D">
              <w:rPr>
                <w:noProof/>
                <w:webHidden/>
                <w:sz w:val="32"/>
                <w:szCs w:val="32"/>
              </w:rPr>
              <w:fldChar w:fldCharType="end"/>
            </w:r>
          </w:hyperlink>
        </w:p>
        <w:p w14:paraId="007983BB" w14:textId="079DCB53" w:rsidR="00386F6A" w:rsidRPr="006E525D" w:rsidRDefault="00000000">
          <w:pPr>
            <w:pStyle w:val="TOC1"/>
            <w:tabs>
              <w:tab w:val="left" w:pos="440"/>
              <w:tab w:val="right" w:leader="dot" w:pos="8990"/>
            </w:tabs>
            <w:rPr>
              <w:rFonts w:eastAsiaTheme="minorEastAsia"/>
              <w:noProof/>
              <w:sz w:val="32"/>
              <w:szCs w:val="32"/>
            </w:rPr>
          </w:pPr>
          <w:hyperlink w:anchor="_Toc71466060" w:history="1">
            <w:r w:rsidR="00386F6A" w:rsidRPr="006E525D">
              <w:rPr>
                <w:rStyle w:val="Hyperlink"/>
                <w:noProof/>
                <w:sz w:val="32"/>
                <w:szCs w:val="32"/>
              </w:rPr>
              <w:t>9.</w:t>
            </w:r>
            <w:r w:rsidR="00386F6A" w:rsidRPr="006E525D">
              <w:rPr>
                <w:rFonts w:eastAsiaTheme="minorEastAsia"/>
                <w:noProof/>
                <w:sz w:val="32"/>
                <w:szCs w:val="32"/>
              </w:rPr>
              <w:tab/>
            </w:r>
            <w:r w:rsidR="00386F6A" w:rsidRPr="006E525D">
              <w:rPr>
                <w:rStyle w:val="Hyperlink"/>
                <w:noProof/>
                <w:sz w:val="32"/>
                <w:szCs w:val="32"/>
              </w:rPr>
              <w:t>Appendix</w:t>
            </w:r>
            <w:r w:rsidR="00386F6A" w:rsidRPr="006E525D">
              <w:rPr>
                <w:noProof/>
                <w:webHidden/>
                <w:sz w:val="32"/>
                <w:szCs w:val="32"/>
              </w:rPr>
              <w:tab/>
            </w:r>
            <w:r w:rsidR="00386F6A" w:rsidRPr="006E525D">
              <w:rPr>
                <w:noProof/>
                <w:webHidden/>
                <w:sz w:val="32"/>
                <w:szCs w:val="32"/>
              </w:rPr>
              <w:fldChar w:fldCharType="begin"/>
            </w:r>
            <w:r w:rsidR="00386F6A" w:rsidRPr="006E525D">
              <w:rPr>
                <w:noProof/>
                <w:webHidden/>
                <w:sz w:val="32"/>
                <w:szCs w:val="32"/>
              </w:rPr>
              <w:instrText xml:space="preserve"> PAGEREF _Toc71466060 \h </w:instrText>
            </w:r>
            <w:r w:rsidR="00386F6A" w:rsidRPr="006E525D">
              <w:rPr>
                <w:noProof/>
                <w:webHidden/>
                <w:sz w:val="32"/>
                <w:szCs w:val="32"/>
              </w:rPr>
            </w:r>
            <w:r w:rsidR="00386F6A" w:rsidRPr="006E525D">
              <w:rPr>
                <w:noProof/>
                <w:webHidden/>
                <w:sz w:val="32"/>
                <w:szCs w:val="32"/>
              </w:rPr>
              <w:fldChar w:fldCharType="separate"/>
            </w:r>
            <w:r w:rsidR="00C46159">
              <w:rPr>
                <w:noProof/>
                <w:webHidden/>
                <w:sz w:val="32"/>
                <w:szCs w:val="32"/>
              </w:rPr>
              <w:t>41</w:t>
            </w:r>
            <w:r w:rsidR="00386F6A" w:rsidRPr="006E525D">
              <w:rPr>
                <w:noProof/>
                <w:webHidden/>
                <w:sz w:val="32"/>
                <w:szCs w:val="32"/>
              </w:rPr>
              <w:fldChar w:fldCharType="end"/>
            </w:r>
          </w:hyperlink>
        </w:p>
        <w:p w14:paraId="13618BC9" w14:textId="77777777" w:rsidR="00386F6A" w:rsidRDefault="008F67F6" w:rsidP="001A6927">
          <w:pPr>
            <w:spacing w:line="276" w:lineRule="auto"/>
            <w:rPr>
              <w:b/>
              <w:bCs/>
              <w:noProof/>
              <w:sz w:val="32"/>
              <w:szCs w:val="32"/>
            </w:rPr>
          </w:pPr>
          <w:r w:rsidRPr="00054DEA">
            <w:rPr>
              <w:b/>
              <w:bCs/>
              <w:noProof/>
              <w:sz w:val="28"/>
              <w:szCs w:val="28"/>
            </w:rPr>
            <w:fldChar w:fldCharType="end"/>
          </w:r>
        </w:p>
        <w:p w14:paraId="458241A3" w14:textId="77777777" w:rsidR="00386F6A" w:rsidRDefault="00386F6A" w:rsidP="001A6927">
          <w:pPr>
            <w:spacing w:line="276" w:lineRule="auto"/>
            <w:rPr>
              <w:b/>
              <w:bCs/>
              <w:noProof/>
              <w:sz w:val="32"/>
              <w:szCs w:val="32"/>
            </w:rPr>
          </w:pPr>
        </w:p>
        <w:p w14:paraId="10D993EB" w14:textId="74591FD5" w:rsidR="00386F6A" w:rsidRDefault="00000000" w:rsidP="00386F6A">
          <w:pPr>
            <w:spacing w:line="276" w:lineRule="auto"/>
          </w:pPr>
        </w:p>
      </w:sdtContent>
    </w:sdt>
    <w:p w14:paraId="4F24DF1E" w14:textId="1A2733D4" w:rsidR="00CA3082" w:rsidRPr="004C0E35" w:rsidRDefault="00CA3082" w:rsidP="00E74D98">
      <w:pPr>
        <w:pStyle w:val="Heading1"/>
        <w:spacing w:line="480" w:lineRule="auto"/>
      </w:pPr>
      <w:bookmarkStart w:id="1" w:name="_Toc71466041"/>
      <w:r w:rsidRPr="004C0E35">
        <w:t>Abstract</w:t>
      </w:r>
      <w:bookmarkEnd w:id="1"/>
    </w:p>
    <w:p w14:paraId="232E8334" w14:textId="36E54FE6" w:rsidR="00171FDB" w:rsidRPr="00046872" w:rsidRDefault="00CA3082" w:rsidP="00046872">
      <w:pPr>
        <w:spacing w:line="480" w:lineRule="auto"/>
        <w:rPr>
          <w:sz w:val="24"/>
          <w:szCs w:val="24"/>
        </w:rPr>
      </w:pPr>
      <w:r>
        <w:rPr>
          <w:sz w:val="24"/>
          <w:szCs w:val="24"/>
        </w:rPr>
        <w:tab/>
        <w:t>Following widespread local-level wage floor legislation in the past decade</w:t>
      </w:r>
      <w:r w:rsidR="005607AF">
        <w:rPr>
          <w:sz w:val="24"/>
          <w:szCs w:val="24"/>
        </w:rPr>
        <w:t xml:space="preserve"> and </w:t>
      </w:r>
      <w:r w:rsidR="00B64B9B">
        <w:rPr>
          <w:sz w:val="24"/>
          <w:szCs w:val="24"/>
        </w:rPr>
        <w:t xml:space="preserve">a </w:t>
      </w:r>
      <w:r w:rsidR="005607AF">
        <w:rPr>
          <w:sz w:val="24"/>
          <w:szCs w:val="24"/>
        </w:rPr>
        <w:t xml:space="preserve">continued </w:t>
      </w:r>
      <w:r w:rsidR="00B64B9B">
        <w:rPr>
          <w:sz w:val="24"/>
          <w:szCs w:val="24"/>
        </w:rPr>
        <w:t xml:space="preserve">debate </w:t>
      </w:r>
      <w:r w:rsidR="00465613">
        <w:rPr>
          <w:sz w:val="24"/>
          <w:szCs w:val="24"/>
        </w:rPr>
        <w:t xml:space="preserve">on </w:t>
      </w:r>
      <w:r w:rsidR="00EB3F5E">
        <w:rPr>
          <w:sz w:val="24"/>
          <w:szCs w:val="24"/>
        </w:rPr>
        <w:t>whether or not to increase the federal minimum wage</w:t>
      </w:r>
      <w:r>
        <w:rPr>
          <w:sz w:val="24"/>
          <w:szCs w:val="24"/>
        </w:rPr>
        <w:t xml:space="preserve">, this study looks to exploit the increase in minimum wage variation to revisit the </w:t>
      </w:r>
      <w:r w:rsidR="00D33839">
        <w:rPr>
          <w:sz w:val="24"/>
          <w:szCs w:val="24"/>
        </w:rPr>
        <w:t xml:space="preserve">macroeconomic </w:t>
      </w:r>
      <w:r w:rsidR="0094003E">
        <w:rPr>
          <w:sz w:val="24"/>
          <w:szCs w:val="24"/>
        </w:rPr>
        <w:t>effect</w:t>
      </w:r>
      <w:r w:rsidR="002F7BAB">
        <w:rPr>
          <w:sz w:val="24"/>
          <w:szCs w:val="24"/>
        </w:rPr>
        <w:t>s</w:t>
      </w:r>
      <w:r>
        <w:rPr>
          <w:sz w:val="24"/>
          <w:szCs w:val="24"/>
        </w:rPr>
        <w:t xml:space="preserve"> </w:t>
      </w:r>
      <w:r w:rsidR="00AF480D">
        <w:rPr>
          <w:sz w:val="24"/>
          <w:szCs w:val="24"/>
        </w:rPr>
        <w:t xml:space="preserve">of </w:t>
      </w:r>
      <w:r>
        <w:rPr>
          <w:sz w:val="24"/>
          <w:szCs w:val="24"/>
        </w:rPr>
        <w:t>minimum wages</w:t>
      </w:r>
      <w:r w:rsidR="00AF480D">
        <w:rPr>
          <w:sz w:val="24"/>
          <w:szCs w:val="24"/>
        </w:rPr>
        <w:t xml:space="preserve"> on</w:t>
      </w:r>
      <w:r w:rsidR="0019365E">
        <w:rPr>
          <w:sz w:val="24"/>
          <w:szCs w:val="24"/>
        </w:rPr>
        <w:t xml:space="preserve"> inflation and</w:t>
      </w:r>
      <w:r>
        <w:rPr>
          <w:sz w:val="24"/>
          <w:szCs w:val="24"/>
        </w:rPr>
        <w:t xml:space="preserve"> labor market outcomes. </w:t>
      </w:r>
      <w:r w:rsidR="006609BC">
        <w:rPr>
          <w:sz w:val="24"/>
          <w:szCs w:val="24"/>
        </w:rPr>
        <w:t>S</w:t>
      </w:r>
      <w:r>
        <w:rPr>
          <w:sz w:val="24"/>
          <w:szCs w:val="24"/>
        </w:rPr>
        <w:t>tate level panel</w:t>
      </w:r>
      <w:r w:rsidR="006609BC">
        <w:rPr>
          <w:sz w:val="24"/>
          <w:szCs w:val="24"/>
        </w:rPr>
        <w:t>s</w:t>
      </w:r>
      <w:r>
        <w:rPr>
          <w:sz w:val="24"/>
          <w:szCs w:val="24"/>
        </w:rPr>
        <w:t xml:space="preserve"> spanning </w:t>
      </w:r>
      <w:r w:rsidR="00043A96">
        <w:rPr>
          <w:sz w:val="24"/>
          <w:szCs w:val="24"/>
        </w:rPr>
        <w:t>31</w:t>
      </w:r>
      <w:r>
        <w:rPr>
          <w:sz w:val="24"/>
          <w:szCs w:val="24"/>
        </w:rPr>
        <w:t xml:space="preserve"> years from 19</w:t>
      </w:r>
      <w:r w:rsidR="00043A96">
        <w:rPr>
          <w:sz w:val="24"/>
          <w:szCs w:val="24"/>
        </w:rPr>
        <w:t>89</w:t>
      </w:r>
      <w:r>
        <w:rPr>
          <w:sz w:val="24"/>
          <w:szCs w:val="24"/>
        </w:rPr>
        <w:t xml:space="preserve"> to 2019 </w:t>
      </w:r>
      <w:r w:rsidR="00FF7965">
        <w:rPr>
          <w:sz w:val="24"/>
          <w:szCs w:val="24"/>
        </w:rPr>
        <w:t>are</w:t>
      </w:r>
      <w:r>
        <w:rPr>
          <w:sz w:val="24"/>
          <w:szCs w:val="24"/>
        </w:rPr>
        <w:t xml:space="preserve"> used to examine </w:t>
      </w:r>
      <w:r w:rsidR="00C04AAB">
        <w:rPr>
          <w:sz w:val="24"/>
          <w:szCs w:val="24"/>
        </w:rPr>
        <w:t>this relationship</w:t>
      </w:r>
      <w:r w:rsidR="008F4B88">
        <w:rPr>
          <w:sz w:val="24"/>
          <w:szCs w:val="24"/>
        </w:rPr>
        <w:t>, which is</w:t>
      </w:r>
      <w:r w:rsidR="00277312">
        <w:rPr>
          <w:sz w:val="24"/>
          <w:szCs w:val="24"/>
        </w:rPr>
        <w:t xml:space="preserve"> </w:t>
      </w:r>
      <w:r w:rsidR="00525F9D">
        <w:rPr>
          <w:sz w:val="24"/>
          <w:szCs w:val="24"/>
        </w:rPr>
        <w:t>estimated using a</w:t>
      </w:r>
      <w:r w:rsidR="001B3CF1">
        <w:rPr>
          <w:sz w:val="24"/>
          <w:szCs w:val="24"/>
        </w:rPr>
        <w:t xml:space="preserve"> </w:t>
      </w:r>
      <w:r>
        <w:rPr>
          <w:sz w:val="24"/>
          <w:szCs w:val="24"/>
        </w:rPr>
        <w:t xml:space="preserve">fixed effects regression model. </w:t>
      </w:r>
      <w:r w:rsidR="003D5F0B">
        <w:rPr>
          <w:sz w:val="24"/>
          <w:szCs w:val="24"/>
        </w:rPr>
        <w:t xml:space="preserve">571 discrete minimum wage changes are examined in this way. </w:t>
      </w:r>
      <w:r w:rsidR="000727B9">
        <w:rPr>
          <w:sz w:val="24"/>
          <w:szCs w:val="24"/>
        </w:rPr>
        <w:t xml:space="preserve">The empirical results </w:t>
      </w:r>
      <w:r w:rsidR="00CA3FD2">
        <w:rPr>
          <w:sz w:val="24"/>
          <w:szCs w:val="24"/>
        </w:rPr>
        <w:t xml:space="preserve">suggest statistically insignificant price effects that are </w:t>
      </w:r>
      <w:r w:rsidR="0032569B">
        <w:rPr>
          <w:sz w:val="24"/>
          <w:szCs w:val="24"/>
        </w:rPr>
        <w:t xml:space="preserve">directionally consistent with previous studies, and </w:t>
      </w:r>
      <w:r w:rsidR="007C025E">
        <w:rPr>
          <w:sz w:val="24"/>
          <w:szCs w:val="24"/>
        </w:rPr>
        <w:t xml:space="preserve">negligible </w:t>
      </w:r>
      <w:r w:rsidR="0032569B">
        <w:rPr>
          <w:sz w:val="24"/>
          <w:szCs w:val="24"/>
        </w:rPr>
        <w:t xml:space="preserve">employment </w:t>
      </w:r>
      <w:r w:rsidR="005000CE">
        <w:rPr>
          <w:sz w:val="24"/>
          <w:szCs w:val="24"/>
        </w:rPr>
        <w:t xml:space="preserve">effects </w:t>
      </w:r>
      <w:r w:rsidR="007C025E">
        <w:rPr>
          <w:sz w:val="24"/>
          <w:szCs w:val="24"/>
        </w:rPr>
        <w:t xml:space="preserve">for a comprehensive </w:t>
      </w:r>
      <w:r w:rsidR="00F1255C">
        <w:rPr>
          <w:sz w:val="24"/>
          <w:szCs w:val="24"/>
        </w:rPr>
        <w:t xml:space="preserve">labor market </w:t>
      </w:r>
      <w:r w:rsidR="00A63F56">
        <w:rPr>
          <w:sz w:val="24"/>
          <w:szCs w:val="24"/>
        </w:rPr>
        <w:t>vector of unemployment, labor force participation, and employment to population ratio</w:t>
      </w:r>
      <w:r w:rsidR="00A22D16">
        <w:rPr>
          <w:sz w:val="24"/>
          <w:szCs w:val="24"/>
        </w:rPr>
        <w:t>,</w:t>
      </w:r>
      <w:r w:rsidR="0081617C">
        <w:rPr>
          <w:sz w:val="24"/>
          <w:szCs w:val="24"/>
        </w:rPr>
        <w:t xml:space="preserve"> that are less </w:t>
      </w:r>
      <w:r w:rsidR="00A22D16">
        <w:rPr>
          <w:sz w:val="24"/>
          <w:szCs w:val="24"/>
        </w:rPr>
        <w:t>directionally stable.</w:t>
      </w:r>
      <w:r w:rsidR="001D607D">
        <w:rPr>
          <w:sz w:val="24"/>
          <w:szCs w:val="24"/>
        </w:rPr>
        <w:t xml:space="preserve"> </w:t>
      </w:r>
      <w:r w:rsidR="00EA0D08">
        <w:rPr>
          <w:sz w:val="24"/>
          <w:szCs w:val="24"/>
        </w:rPr>
        <w:t xml:space="preserve">Overall, </w:t>
      </w:r>
      <w:r w:rsidR="00DB54A5">
        <w:rPr>
          <w:sz w:val="24"/>
          <w:szCs w:val="24"/>
        </w:rPr>
        <w:t xml:space="preserve">imprecision of the estimation method leads to a conclusion that </w:t>
      </w:r>
      <w:r w:rsidR="00A112D5">
        <w:rPr>
          <w:sz w:val="24"/>
          <w:szCs w:val="24"/>
        </w:rPr>
        <w:t xml:space="preserve">minimum wages are not an aggregate economic concern and are most </w:t>
      </w:r>
      <w:r w:rsidR="00DE24D6">
        <w:rPr>
          <w:sz w:val="24"/>
          <w:szCs w:val="24"/>
        </w:rPr>
        <w:t>appropriately discussed in terms of affected subsections.</w:t>
      </w:r>
    </w:p>
    <w:p w14:paraId="05AD79ED" w14:textId="1EE07E2D" w:rsidR="00CA3082" w:rsidRPr="00143C62" w:rsidRDefault="00CA3082" w:rsidP="00070A9C">
      <w:pPr>
        <w:pStyle w:val="Heading1"/>
        <w:numPr>
          <w:ilvl w:val="0"/>
          <w:numId w:val="18"/>
        </w:numPr>
        <w:spacing w:line="480" w:lineRule="auto"/>
      </w:pPr>
      <w:bookmarkStart w:id="2" w:name="_Toc71466042"/>
      <w:r w:rsidRPr="00143C62">
        <w:t>Introduction</w:t>
      </w:r>
      <w:bookmarkEnd w:id="2"/>
    </w:p>
    <w:p w14:paraId="7FEC3411" w14:textId="7844DA75" w:rsidR="004124C7" w:rsidRDefault="00CA3082" w:rsidP="00BF4A40">
      <w:pPr>
        <w:spacing w:line="480" w:lineRule="auto"/>
        <w:ind w:firstLine="720"/>
        <w:rPr>
          <w:sz w:val="24"/>
          <w:szCs w:val="24"/>
        </w:rPr>
      </w:pPr>
      <w:r>
        <w:rPr>
          <w:sz w:val="24"/>
          <w:szCs w:val="24"/>
        </w:rPr>
        <w:t xml:space="preserve">First introduced </w:t>
      </w:r>
      <w:r w:rsidR="00840BB5">
        <w:rPr>
          <w:sz w:val="24"/>
          <w:szCs w:val="24"/>
        </w:rPr>
        <w:t>across the nation</w:t>
      </w:r>
      <w:r w:rsidR="008714B0">
        <w:rPr>
          <w:sz w:val="24"/>
          <w:szCs w:val="24"/>
        </w:rPr>
        <w:t xml:space="preserve"> </w:t>
      </w:r>
      <w:r>
        <w:rPr>
          <w:sz w:val="24"/>
          <w:szCs w:val="24"/>
        </w:rPr>
        <w:t>in 1938 under the Fair Labor Standards Act, minimum wage</w:t>
      </w:r>
      <w:r w:rsidR="00B96F0B">
        <w:rPr>
          <w:sz w:val="24"/>
          <w:szCs w:val="24"/>
        </w:rPr>
        <w:t>s</w:t>
      </w:r>
      <w:r>
        <w:rPr>
          <w:sz w:val="24"/>
          <w:szCs w:val="24"/>
        </w:rPr>
        <w:t xml:space="preserve"> </w:t>
      </w:r>
      <w:r w:rsidR="00B06263">
        <w:rPr>
          <w:sz w:val="24"/>
          <w:szCs w:val="24"/>
        </w:rPr>
        <w:t xml:space="preserve">mandate </w:t>
      </w:r>
      <w:r w:rsidR="006D28A4">
        <w:rPr>
          <w:sz w:val="24"/>
          <w:szCs w:val="24"/>
        </w:rPr>
        <w:t>a</w:t>
      </w:r>
      <w:r w:rsidR="00FF4805">
        <w:rPr>
          <w:sz w:val="24"/>
          <w:szCs w:val="24"/>
        </w:rPr>
        <w:t xml:space="preserve"> minimum</w:t>
      </w:r>
      <w:r w:rsidR="00814C90">
        <w:rPr>
          <w:sz w:val="24"/>
          <w:szCs w:val="24"/>
        </w:rPr>
        <w:t xml:space="preserve"> </w:t>
      </w:r>
      <w:r w:rsidR="006D28A4">
        <w:rPr>
          <w:sz w:val="24"/>
          <w:szCs w:val="24"/>
        </w:rPr>
        <w:t xml:space="preserve">hourly rate that </w:t>
      </w:r>
      <w:r w:rsidR="00691661">
        <w:rPr>
          <w:sz w:val="24"/>
          <w:szCs w:val="24"/>
        </w:rPr>
        <w:t>an</w:t>
      </w:r>
      <w:r w:rsidR="006D28A4">
        <w:rPr>
          <w:sz w:val="24"/>
          <w:szCs w:val="24"/>
        </w:rPr>
        <w:t xml:space="preserve"> </w:t>
      </w:r>
      <w:r w:rsidR="00295E3E">
        <w:rPr>
          <w:sz w:val="24"/>
          <w:szCs w:val="24"/>
        </w:rPr>
        <w:t>employee</w:t>
      </w:r>
      <w:r w:rsidR="000B72BA">
        <w:rPr>
          <w:sz w:val="24"/>
          <w:szCs w:val="24"/>
        </w:rPr>
        <w:t xml:space="preserve"> in the </w:t>
      </w:r>
      <w:r w:rsidR="00110B0E">
        <w:rPr>
          <w:sz w:val="24"/>
          <w:szCs w:val="24"/>
        </w:rPr>
        <w:t xml:space="preserve">bounded area </w:t>
      </w:r>
      <w:r w:rsidR="006D28A4">
        <w:rPr>
          <w:sz w:val="24"/>
          <w:szCs w:val="24"/>
        </w:rPr>
        <w:t>can</w:t>
      </w:r>
      <w:r w:rsidR="000B72BA">
        <w:rPr>
          <w:sz w:val="24"/>
          <w:szCs w:val="24"/>
        </w:rPr>
        <w:t xml:space="preserve"> legally</w:t>
      </w:r>
      <w:r w:rsidR="006D28A4">
        <w:rPr>
          <w:sz w:val="24"/>
          <w:szCs w:val="24"/>
        </w:rPr>
        <w:t xml:space="preserve"> be </w:t>
      </w:r>
      <w:r w:rsidR="000B72BA">
        <w:rPr>
          <w:sz w:val="24"/>
          <w:szCs w:val="24"/>
        </w:rPr>
        <w:t xml:space="preserve">compensated </w:t>
      </w:r>
      <w:r w:rsidR="00AC1A59">
        <w:rPr>
          <w:sz w:val="24"/>
          <w:szCs w:val="24"/>
        </w:rPr>
        <w:t>for their work</w:t>
      </w:r>
      <w:r w:rsidR="008651F0">
        <w:rPr>
          <w:sz w:val="24"/>
          <w:szCs w:val="24"/>
        </w:rPr>
        <w:t>,</w:t>
      </w:r>
      <w:r w:rsidR="00AC1A59">
        <w:rPr>
          <w:sz w:val="24"/>
          <w:szCs w:val="24"/>
        </w:rPr>
        <w:t xml:space="preserve"> and ha</w:t>
      </w:r>
      <w:r w:rsidR="003C741A">
        <w:rPr>
          <w:sz w:val="24"/>
          <w:szCs w:val="24"/>
        </w:rPr>
        <w:t>ve</w:t>
      </w:r>
      <w:r w:rsidR="00AC1A59">
        <w:rPr>
          <w:sz w:val="24"/>
          <w:szCs w:val="24"/>
        </w:rPr>
        <w:t xml:space="preserve"> long</w:t>
      </w:r>
      <w:r>
        <w:rPr>
          <w:sz w:val="24"/>
          <w:szCs w:val="24"/>
        </w:rPr>
        <w:t xml:space="preserve"> been used as a tool for maintaining an acceptable standard of living for those at the bottom of the income distribution. </w:t>
      </w:r>
      <w:r w:rsidR="00110B0E">
        <w:rPr>
          <w:sz w:val="24"/>
          <w:szCs w:val="24"/>
        </w:rPr>
        <w:t>These wage floors exist at</w:t>
      </w:r>
      <w:r w:rsidR="00E27C4B">
        <w:rPr>
          <w:sz w:val="24"/>
          <w:szCs w:val="24"/>
        </w:rPr>
        <w:t xml:space="preserve"> both </w:t>
      </w:r>
      <w:r w:rsidR="00110B0E">
        <w:rPr>
          <w:sz w:val="24"/>
          <w:szCs w:val="24"/>
        </w:rPr>
        <w:t>the federal and the state level</w:t>
      </w:r>
      <w:r w:rsidR="00340C00">
        <w:rPr>
          <w:sz w:val="24"/>
          <w:szCs w:val="24"/>
        </w:rPr>
        <w:t xml:space="preserve">, </w:t>
      </w:r>
      <w:r>
        <w:rPr>
          <w:sz w:val="24"/>
          <w:szCs w:val="24"/>
        </w:rPr>
        <w:t xml:space="preserve">with the higher of the two being the effective rate in any given state. Historically, increases in the federal </w:t>
      </w:r>
      <w:r>
        <w:rPr>
          <w:sz w:val="24"/>
          <w:szCs w:val="24"/>
        </w:rPr>
        <w:lastRenderedPageBreak/>
        <w:t xml:space="preserve">minimum wage have been small and infrequent, which has sometimes led to states taking a proactive stance in setting their own wage floors based on the needs of their local economies. Such has been the case over the last decade. As the current federal minimum wage </w:t>
      </w:r>
      <w:r w:rsidR="007D462C">
        <w:rPr>
          <w:sz w:val="24"/>
          <w:szCs w:val="24"/>
        </w:rPr>
        <w:t xml:space="preserve">of </w:t>
      </w:r>
      <w:r>
        <w:rPr>
          <w:sz w:val="24"/>
          <w:szCs w:val="24"/>
        </w:rPr>
        <w:t>$7.25 has not moved since 2009, a decade of inflation has eroded approximately 17% of its real value</w:t>
      </w:r>
      <w:r w:rsidR="00E811DF">
        <w:rPr>
          <w:sz w:val="24"/>
          <w:szCs w:val="24"/>
        </w:rPr>
        <w:t>, which</w:t>
      </w:r>
      <w:r w:rsidR="00883135">
        <w:rPr>
          <w:sz w:val="24"/>
          <w:szCs w:val="24"/>
        </w:rPr>
        <w:t xml:space="preserve"> has prompted </w:t>
      </w:r>
      <w:r w:rsidR="00F95995">
        <w:rPr>
          <w:sz w:val="24"/>
          <w:szCs w:val="24"/>
        </w:rPr>
        <w:t>s</w:t>
      </w:r>
      <w:r>
        <w:rPr>
          <w:sz w:val="24"/>
          <w:szCs w:val="24"/>
        </w:rPr>
        <w:t xml:space="preserve">tates </w:t>
      </w:r>
      <w:r w:rsidR="00F95995">
        <w:rPr>
          <w:sz w:val="24"/>
          <w:szCs w:val="24"/>
        </w:rPr>
        <w:t xml:space="preserve">to </w:t>
      </w:r>
      <w:r>
        <w:rPr>
          <w:sz w:val="24"/>
          <w:szCs w:val="24"/>
        </w:rPr>
        <w:t>respond with an unprecedented volume of minimum wage legislation</w:t>
      </w:r>
      <w:r w:rsidR="00F95995">
        <w:rPr>
          <w:sz w:val="24"/>
          <w:szCs w:val="24"/>
        </w:rPr>
        <w:t xml:space="preserve">. </w:t>
      </w:r>
      <w:r w:rsidR="005A3A89">
        <w:rPr>
          <w:sz w:val="24"/>
          <w:szCs w:val="24"/>
        </w:rPr>
        <w:t>Since 2009,</w:t>
      </w:r>
      <w:r>
        <w:rPr>
          <w:sz w:val="24"/>
          <w:szCs w:val="24"/>
        </w:rPr>
        <w:t xml:space="preserve"> 29 states plus the District of Columbia </w:t>
      </w:r>
      <w:r w:rsidR="005A3A89">
        <w:rPr>
          <w:sz w:val="24"/>
          <w:szCs w:val="24"/>
        </w:rPr>
        <w:t>have mandated</w:t>
      </w:r>
      <w:r>
        <w:rPr>
          <w:sz w:val="24"/>
          <w:szCs w:val="24"/>
        </w:rPr>
        <w:t xml:space="preserve"> wage floors exceeding that of the federal level (Cooper et al 2019). </w:t>
      </w:r>
      <w:r w:rsidR="00803236">
        <w:rPr>
          <w:sz w:val="24"/>
          <w:szCs w:val="24"/>
        </w:rPr>
        <w:t xml:space="preserve">Figure 1 </w:t>
      </w:r>
      <w:r w:rsidR="001F7E5C">
        <w:rPr>
          <w:sz w:val="24"/>
          <w:szCs w:val="24"/>
        </w:rPr>
        <w:t xml:space="preserve">shows </w:t>
      </w:r>
      <w:r w:rsidR="00E559EB">
        <w:rPr>
          <w:sz w:val="24"/>
          <w:szCs w:val="24"/>
        </w:rPr>
        <w:t xml:space="preserve">this increase in variation, in which the </w:t>
      </w:r>
      <w:r w:rsidR="00AD5530">
        <w:rPr>
          <w:sz w:val="24"/>
          <w:szCs w:val="24"/>
        </w:rPr>
        <w:t xml:space="preserve">maximum, minimum, and average state minimum wage </w:t>
      </w:r>
      <w:r w:rsidR="00A13A11">
        <w:rPr>
          <w:sz w:val="24"/>
          <w:szCs w:val="24"/>
        </w:rPr>
        <w:t xml:space="preserve">visibly </w:t>
      </w:r>
      <w:r w:rsidR="00422294">
        <w:rPr>
          <w:sz w:val="24"/>
          <w:szCs w:val="24"/>
        </w:rPr>
        <w:t>diverge</w:t>
      </w:r>
      <w:r w:rsidR="00A13A11">
        <w:rPr>
          <w:sz w:val="24"/>
          <w:szCs w:val="24"/>
        </w:rPr>
        <w:t>.</w:t>
      </w:r>
      <w:r w:rsidR="00430801">
        <w:rPr>
          <w:sz w:val="24"/>
          <w:szCs w:val="24"/>
        </w:rPr>
        <w:t xml:space="preserve"> </w:t>
      </w:r>
      <w:r w:rsidR="005A4412">
        <w:rPr>
          <w:sz w:val="24"/>
          <w:szCs w:val="24"/>
        </w:rPr>
        <w:t xml:space="preserve">622 state minimum wages are recorded, with 571 </w:t>
      </w:r>
      <w:r w:rsidR="00C611EB">
        <w:rPr>
          <w:sz w:val="24"/>
          <w:szCs w:val="24"/>
        </w:rPr>
        <w:t xml:space="preserve">occurrences of </w:t>
      </w:r>
      <w:r w:rsidR="005A4412">
        <w:rPr>
          <w:sz w:val="24"/>
          <w:szCs w:val="24"/>
        </w:rPr>
        <w:t>minimum wage increase</w:t>
      </w:r>
      <w:r w:rsidR="00C611EB">
        <w:rPr>
          <w:sz w:val="24"/>
          <w:szCs w:val="24"/>
        </w:rPr>
        <w:t>s</w:t>
      </w:r>
      <w:r w:rsidR="005A4412">
        <w:rPr>
          <w:sz w:val="24"/>
          <w:szCs w:val="24"/>
        </w:rPr>
        <w:t>.</w:t>
      </w:r>
    </w:p>
    <w:p w14:paraId="7B91DF31" w14:textId="2F69A9BA" w:rsidR="00BF4A40" w:rsidRDefault="00BF4A40" w:rsidP="001F7E5C">
      <w:pPr>
        <w:spacing w:line="480" w:lineRule="auto"/>
        <w:rPr>
          <w:sz w:val="24"/>
          <w:szCs w:val="24"/>
        </w:rPr>
      </w:pPr>
      <w:r w:rsidRPr="00BF4A40">
        <w:rPr>
          <w:noProof/>
          <w:sz w:val="24"/>
          <w:szCs w:val="24"/>
        </w:rPr>
        <w:drawing>
          <wp:inline distT="0" distB="0" distL="0" distR="0" wp14:anchorId="7C4568AD" wp14:editId="2F0B8142">
            <wp:extent cx="5660533" cy="4108450"/>
            <wp:effectExtent l="19050" t="19050" r="1651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 r="-22"/>
                    <a:stretch/>
                  </pic:blipFill>
                  <pic:spPr bwMode="auto">
                    <a:xfrm>
                      <a:off x="0" y="0"/>
                      <a:ext cx="5681799" cy="4123885"/>
                    </a:xfrm>
                    <a:prstGeom prst="rect">
                      <a:avLst/>
                    </a:prstGeom>
                    <a:noFill/>
                    <a:ln>
                      <a:solidFill>
                        <a:schemeClr val="tx1"/>
                      </a:solidFill>
                    </a:ln>
                  </pic:spPr>
                </pic:pic>
              </a:graphicData>
            </a:graphic>
          </wp:inline>
        </w:drawing>
      </w:r>
    </w:p>
    <w:p w14:paraId="6F9F547F" w14:textId="1D3AA5D3" w:rsidR="00CA3082" w:rsidRDefault="00CA3082" w:rsidP="00BC1DCE">
      <w:pPr>
        <w:spacing w:line="480" w:lineRule="auto"/>
        <w:ind w:firstLine="720"/>
        <w:rPr>
          <w:sz w:val="24"/>
          <w:szCs w:val="24"/>
        </w:rPr>
      </w:pPr>
      <w:r>
        <w:rPr>
          <w:sz w:val="24"/>
          <w:szCs w:val="24"/>
        </w:rPr>
        <w:lastRenderedPageBreak/>
        <w:t>Coinciding with this heightened activity in minimum wages, the United States experienced a period of robust economic growth that had produced remarkably consistent wage growth across the entire income distribution prior to the Covid-19 pandemic. Such evenly distributed gains have been rare in the past forty years, as since around the late 1970s wage growth patterns have been characterized as chronically inadequate and unequal</w:t>
      </w:r>
      <w:r w:rsidR="00C72FE1">
        <w:rPr>
          <w:sz w:val="24"/>
          <w:szCs w:val="24"/>
        </w:rPr>
        <w:t>. F</w:t>
      </w:r>
      <w:r w:rsidR="00677F21">
        <w:rPr>
          <w:sz w:val="24"/>
          <w:szCs w:val="24"/>
        </w:rPr>
        <w:t>or reference,</w:t>
      </w:r>
      <w:r w:rsidR="00E14EF4">
        <w:rPr>
          <w:sz w:val="24"/>
          <w:szCs w:val="24"/>
        </w:rPr>
        <w:t xml:space="preserve"> </w:t>
      </w:r>
      <w:r w:rsidR="0019011E">
        <w:rPr>
          <w:sz w:val="24"/>
          <w:szCs w:val="24"/>
        </w:rPr>
        <w:t>real wages increased 138% for the top 1% as compared to only 15% for the bottom 90%</w:t>
      </w:r>
      <w:r w:rsidR="00E14EF4">
        <w:rPr>
          <w:sz w:val="24"/>
          <w:szCs w:val="24"/>
        </w:rPr>
        <w:t xml:space="preserve"> between the years 1979 and 2013</w:t>
      </w:r>
      <w:r w:rsidR="0019011E">
        <w:rPr>
          <w:sz w:val="24"/>
          <w:szCs w:val="24"/>
        </w:rPr>
        <w:t xml:space="preserve"> (Mishel et al 2015).</w:t>
      </w:r>
      <w:r w:rsidR="00BC1DCE">
        <w:rPr>
          <w:sz w:val="24"/>
          <w:szCs w:val="24"/>
        </w:rPr>
        <w:t xml:space="preserve"> The re</w:t>
      </w:r>
      <w:r w:rsidR="00366500">
        <w:rPr>
          <w:sz w:val="24"/>
          <w:szCs w:val="24"/>
        </w:rPr>
        <w:t xml:space="preserve">sult is </w:t>
      </w:r>
      <w:r>
        <w:rPr>
          <w:sz w:val="24"/>
          <w:szCs w:val="24"/>
        </w:rPr>
        <w:t>that real mean hourly wages in 2018 were no higher than those in 1978 (</w:t>
      </w:r>
      <w:proofErr w:type="spellStart"/>
      <w:r>
        <w:rPr>
          <w:sz w:val="24"/>
          <w:szCs w:val="24"/>
        </w:rPr>
        <w:t>Desilver</w:t>
      </w:r>
      <w:proofErr w:type="spellEnd"/>
      <w:r>
        <w:rPr>
          <w:sz w:val="24"/>
          <w:szCs w:val="24"/>
        </w:rPr>
        <w:t xml:space="preserve"> 2018). Th</w:t>
      </w:r>
      <w:r w:rsidR="00366500">
        <w:rPr>
          <w:sz w:val="24"/>
          <w:szCs w:val="24"/>
        </w:rPr>
        <w:t>is</w:t>
      </w:r>
      <w:r>
        <w:rPr>
          <w:sz w:val="24"/>
          <w:szCs w:val="24"/>
        </w:rPr>
        <w:t xml:space="preserve"> trend w</w:t>
      </w:r>
      <w:r w:rsidR="00366500">
        <w:rPr>
          <w:sz w:val="24"/>
          <w:szCs w:val="24"/>
        </w:rPr>
        <w:t>as</w:t>
      </w:r>
      <w:r>
        <w:rPr>
          <w:sz w:val="24"/>
          <w:szCs w:val="24"/>
        </w:rPr>
        <w:t xml:space="preserve"> exacerbated by the Great Recession, which further depleted prospects for most, while minimally impacting those at the top. However, beginning around 2014, the post-recession labor market started producing wage gains that, unlike previous years, favored those at the bottom. Following a widened gap between low and high earners during the recession, median percentage wage gains for those in the 1</w:t>
      </w:r>
      <w:r w:rsidRPr="00272435">
        <w:rPr>
          <w:sz w:val="24"/>
          <w:szCs w:val="24"/>
          <w:vertAlign w:val="superscript"/>
        </w:rPr>
        <w:t>st</w:t>
      </w:r>
      <w:r>
        <w:rPr>
          <w:sz w:val="24"/>
          <w:szCs w:val="24"/>
        </w:rPr>
        <w:t xml:space="preserve"> quartile sharply increased in 2014 and overtook the overall growth rate in 2015 (</w:t>
      </w:r>
      <w:proofErr w:type="spellStart"/>
      <w:r>
        <w:rPr>
          <w:sz w:val="24"/>
          <w:szCs w:val="24"/>
        </w:rPr>
        <w:t>frbatlanta</w:t>
      </w:r>
      <w:proofErr w:type="spellEnd"/>
      <w:r>
        <w:rPr>
          <w:sz w:val="24"/>
          <w:szCs w:val="24"/>
        </w:rPr>
        <w:t xml:space="preserve"> 2019). Economists have partially explained this anomaly as a product of tightening labor markets, as similarly low unemployment rates in the late 1990s lead to mirrored labor market outcomes. Yet it is unlikely that these low-income gains are unrelated to the abundance of local minimum wage increases that they </w:t>
      </w:r>
      <w:r w:rsidR="00E82ABB">
        <w:rPr>
          <w:sz w:val="24"/>
          <w:szCs w:val="24"/>
        </w:rPr>
        <w:t>occurred in tandem</w:t>
      </w:r>
      <w:r>
        <w:rPr>
          <w:sz w:val="24"/>
          <w:szCs w:val="24"/>
        </w:rPr>
        <w:t xml:space="preserve"> with. </w:t>
      </w:r>
    </w:p>
    <w:p w14:paraId="4E798FEF" w14:textId="20D4180E" w:rsidR="00CA3082" w:rsidRDefault="00CA3082" w:rsidP="007F6F8B">
      <w:pPr>
        <w:spacing w:line="480" w:lineRule="auto"/>
        <w:ind w:firstLine="720"/>
        <w:rPr>
          <w:sz w:val="24"/>
          <w:szCs w:val="24"/>
        </w:rPr>
      </w:pPr>
      <w:r>
        <w:rPr>
          <w:sz w:val="24"/>
          <w:szCs w:val="24"/>
        </w:rPr>
        <w:t xml:space="preserve">A possible positive relationship between minimum wages and wage growth is apparent when separating and comparing the different quartiles of income distribution. While wages grew in general after the recession, those at the bottom quartile, who are most directly affected by minimum wages, saw the largest percentage income gains </w:t>
      </w:r>
      <w:r>
        <w:rPr>
          <w:sz w:val="24"/>
          <w:szCs w:val="24"/>
        </w:rPr>
        <w:lastRenderedPageBreak/>
        <w:t>(</w:t>
      </w:r>
      <w:proofErr w:type="spellStart"/>
      <w:r>
        <w:rPr>
          <w:sz w:val="24"/>
          <w:szCs w:val="24"/>
        </w:rPr>
        <w:t>frbatlanta</w:t>
      </w:r>
      <w:proofErr w:type="spellEnd"/>
      <w:r>
        <w:rPr>
          <w:sz w:val="24"/>
          <w:szCs w:val="24"/>
        </w:rPr>
        <w:t xml:space="preserve"> 2019). Wage data from 2010 to 2018 showed that growth for the 10</w:t>
      </w:r>
      <w:r w:rsidRPr="00EB5A14">
        <w:rPr>
          <w:sz w:val="24"/>
          <w:szCs w:val="24"/>
          <w:vertAlign w:val="superscript"/>
        </w:rPr>
        <w:t>th</w:t>
      </w:r>
      <w:r>
        <w:rPr>
          <w:sz w:val="24"/>
          <w:szCs w:val="24"/>
        </w:rPr>
        <w:t xml:space="preserve"> percentile (5.1%) outpaced that of the 50</w:t>
      </w:r>
      <w:r w:rsidRPr="00255B0C">
        <w:rPr>
          <w:sz w:val="24"/>
          <w:szCs w:val="24"/>
          <w:vertAlign w:val="superscript"/>
        </w:rPr>
        <w:t>th</w:t>
      </w:r>
      <w:r>
        <w:rPr>
          <w:sz w:val="24"/>
          <w:szCs w:val="24"/>
        </w:rPr>
        <w:t xml:space="preserve"> percentile (2.5%) by a factor of 2 to 1, as would be expected from a policy targeted towards uplifting those at the bottom (Nunn and Shambaugh 2020). </w:t>
      </w:r>
      <w:r w:rsidR="00824593">
        <w:rPr>
          <w:sz w:val="24"/>
          <w:szCs w:val="24"/>
        </w:rPr>
        <w:t>Disaggregating</w:t>
      </w:r>
      <w:r>
        <w:rPr>
          <w:sz w:val="24"/>
          <w:szCs w:val="24"/>
        </w:rPr>
        <w:t xml:space="preserve"> into states with and without minimum wage increases</w:t>
      </w:r>
      <w:r w:rsidR="00C864AC">
        <w:rPr>
          <w:sz w:val="24"/>
          <w:szCs w:val="24"/>
        </w:rPr>
        <w:t xml:space="preserve"> shows that</w:t>
      </w:r>
      <w:r>
        <w:rPr>
          <w:sz w:val="24"/>
          <w:szCs w:val="24"/>
        </w:rPr>
        <w:t xml:space="preserve"> in 2019, states that mandated an elevated wage floor experienced 1.5 times faster bottom quartile growth than those that did not (Siegel and Van Dam 2020). Even more insight is found when separating the 29 states plus DC </w:t>
      </w:r>
      <w:r w:rsidR="007F6F8B">
        <w:rPr>
          <w:sz w:val="24"/>
          <w:szCs w:val="24"/>
        </w:rPr>
        <w:t xml:space="preserve">that had raised their minimum wages between </w:t>
      </w:r>
      <w:r w:rsidR="00B9623D">
        <w:rPr>
          <w:sz w:val="24"/>
          <w:szCs w:val="24"/>
        </w:rPr>
        <w:t xml:space="preserve">the years end of </w:t>
      </w:r>
      <w:r w:rsidR="007F6F8B">
        <w:rPr>
          <w:sz w:val="24"/>
          <w:szCs w:val="24"/>
        </w:rPr>
        <w:t xml:space="preserve">2009-2018 </w:t>
      </w:r>
      <w:r>
        <w:rPr>
          <w:sz w:val="24"/>
          <w:szCs w:val="24"/>
        </w:rPr>
        <w:t>into those with a larger and those with a smaller increase than the median</w:t>
      </w:r>
      <w:r w:rsidR="00B3683B">
        <w:rPr>
          <w:sz w:val="24"/>
          <w:szCs w:val="24"/>
        </w:rPr>
        <w:t xml:space="preserve"> amount</w:t>
      </w:r>
      <w:r>
        <w:rPr>
          <w:sz w:val="24"/>
          <w:szCs w:val="24"/>
        </w:rPr>
        <w:t>. While small increases in the minimum wage correlated with varied results, states with larger increases experienced superior wage growth below the 20</w:t>
      </w:r>
      <w:r w:rsidRPr="00E75C6C">
        <w:rPr>
          <w:sz w:val="24"/>
          <w:szCs w:val="24"/>
          <w:vertAlign w:val="superscript"/>
        </w:rPr>
        <w:t>th</w:t>
      </w:r>
      <w:r>
        <w:rPr>
          <w:sz w:val="24"/>
          <w:szCs w:val="24"/>
        </w:rPr>
        <w:t xml:space="preserve"> percentile, while casting doubt upon the influence of tight labor markets due to their lower overall percentage gains at the 50</w:t>
      </w:r>
      <w:r w:rsidRPr="00E715EE">
        <w:rPr>
          <w:sz w:val="24"/>
          <w:szCs w:val="24"/>
          <w:vertAlign w:val="superscript"/>
        </w:rPr>
        <w:t>th</w:t>
      </w:r>
      <w:r>
        <w:rPr>
          <w:sz w:val="24"/>
          <w:szCs w:val="24"/>
        </w:rPr>
        <w:t xml:space="preserve"> and 90</w:t>
      </w:r>
      <w:r w:rsidRPr="009C4561">
        <w:rPr>
          <w:sz w:val="24"/>
          <w:szCs w:val="24"/>
          <w:vertAlign w:val="superscript"/>
        </w:rPr>
        <w:t>th</w:t>
      </w:r>
      <w:r>
        <w:rPr>
          <w:sz w:val="24"/>
          <w:szCs w:val="24"/>
        </w:rPr>
        <w:t xml:space="preserve"> percentiles compared to states without any raised wage floors (Nunn and Shambaugh 2020). </w:t>
      </w:r>
    </w:p>
    <w:p w14:paraId="3A30A39E" w14:textId="701F05DE" w:rsidR="001610F1" w:rsidRPr="002C3EE3" w:rsidRDefault="00CA3082" w:rsidP="0019081D">
      <w:pPr>
        <w:spacing w:line="480" w:lineRule="auto"/>
        <w:ind w:firstLine="720"/>
        <w:rPr>
          <w:sz w:val="24"/>
          <w:szCs w:val="24"/>
        </w:rPr>
      </w:pPr>
      <w:r>
        <w:rPr>
          <w:sz w:val="24"/>
          <w:szCs w:val="24"/>
        </w:rPr>
        <w:t xml:space="preserve">These results seem to suggest that local level minimum wage legislation is correlated with superior </w:t>
      </w:r>
      <w:r w:rsidR="00343F51">
        <w:rPr>
          <w:sz w:val="24"/>
          <w:szCs w:val="24"/>
        </w:rPr>
        <w:t>labor market</w:t>
      </w:r>
      <w:r>
        <w:rPr>
          <w:sz w:val="24"/>
          <w:szCs w:val="24"/>
        </w:rPr>
        <w:t xml:space="preserve"> outcomes, but it would be premature to draw any </w:t>
      </w:r>
      <w:r w:rsidR="00254466">
        <w:rPr>
          <w:sz w:val="24"/>
          <w:szCs w:val="24"/>
        </w:rPr>
        <w:t xml:space="preserve">meaningful </w:t>
      </w:r>
      <w:r>
        <w:rPr>
          <w:sz w:val="24"/>
          <w:szCs w:val="24"/>
        </w:rPr>
        <w:t>conclusions from this alone. Fully understanding the efficacy of these wage floor policies involves more than just a casual analysis of nominal wage trends and requires that we study the</w:t>
      </w:r>
      <w:r w:rsidR="00B72AF8">
        <w:rPr>
          <w:sz w:val="24"/>
          <w:szCs w:val="24"/>
        </w:rPr>
        <w:t xml:space="preserve"> price and employment effects as well</w:t>
      </w:r>
      <w:r w:rsidR="00254466">
        <w:rPr>
          <w:sz w:val="24"/>
          <w:szCs w:val="24"/>
        </w:rPr>
        <w:t>, as they</w:t>
      </w:r>
      <w:r w:rsidR="00FF50C7">
        <w:rPr>
          <w:sz w:val="24"/>
          <w:szCs w:val="24"/>
        </w:rPr>
        <w:t xml:space="preserve"> have significant implications for whether or not</w:t>
      </w:r>
      <w:r w:rsidR="000267FC">
        <w:rPr>
          <w:sz w:val="24"/>
          <w:szCs w:val="24"/>
        </w:rPr>
        <w:t xml:space="preserve"> </w:t>
      </w:r>
      <w:r w:rsidR="00B7754C">
        <w:rPr>
          <w:sz w:val="24"/>
          <w:szCs w:val="24"/>
        </w:rPr>
        <w:t xml:space="preserve">minimum wages can actually improve the material conditions of </w:t>
      </w:r>
      <w:r w:rsidR="00C41883">
        <w:rPr>
          <w:sz w:val="24"/>
          <w:szCs w:val="24"/>
        </w:rPr>
        <w:t>low-income earners</w:t>
      </w:r>
      <w:r w:rsidR="008A044D">
        <w:rPr>
          <w:sz w:val="24"/>
          <w:szCs w:val="24"/>
        </w:rPr>
        <w:t xml:space="preserve">. </w:t>
      </w:r>
      <w:r w:rsidR="001A7AA9">
        <w:rPr>
          <w:sz w:val="24"/>
          <w:szCs w:val="24"/>
        </w:rPr>
        <w:t xml:space="preserve">In the case of inflation, </w:t>
      </w:r>
      <w:r w:rsidR="00AA4C7A">
        <w:rPr>
          <w:sz w:val="24"/>
          <w:szCs w:val="24"/>
        </w:rPr>
        <w:t>increas</w:t>
      </w:r>
      <w:r w:rsidR="00A12B19">
        <w:rPr>
          <w:sz w:val="24"/>
          <w:szCs w:val="24"/>
        </w:rPr>
        <w:t>es in</w:t>
      </w:r>
      <w:r w:rsidR="00AA4C7A">
        <w:rPr>
          <w:sz w:val="24"/>
          <w:szCs w:val="24"/>
        </w:rPr>
        <w:t xml:space="preserve"> the labor costs that minimum wage employers face </w:t>
      </w:r>
      <w:r w:rsidR="00F17C34">
        <w:rPr>
          <w:sz w:val="24"/>
          <w:szCs w:val="24"/>
        </w:rPr>
        <w:t>could potentially lead to increases in prices to compensate</w:t>
      </w:r>
      <w:r w:rsidR="007A70C4">
        <w:rPr>
          <w:sz w:val="24"/>
          <w:szCs w:val="24"/>
        </w:rPr>
        <w:t xml:space="preserve">. </w:t>
      </w:r>
      <w:r w:rsidR="00A94E32">
        <w:rPr>
          <w:sz w:val="24"/>
          <w:szCs w:val="24"/>
        </w:rPr>
        <w:t>Th</w:t>
      </w:r>
      <w:r w:rsidR="002271F6">
        <w:rPr>
          <w:sz w:val="24"/>
          <w:szCs w:val="24"/>
        </w:rPr>
        <w:t xml:space="preserve">e result would be an </w:t>
      </w:r>
      <w:r w:rsidR="00E44260">
        <w:rPr>
          <w:sz w:val="24"/>
          <w:szCs w:val="24"/>
        </w:rPr>
        <w:t>effect</w:t>
      </w:r>
      <w:r w:rsidR="002271F6">
        <w:rPr>
          <w:sz w:val="24"/>
          <w:szCs w:val="24"/>
        </w:rPr>
        <w:t xml:space="preserve"> </w:t>
      </w:r>
      <w:r w:rsidR="00E44260">
        <w:rPr>
          <w:sz w:val="24"/>
          <w:szCs w:val="24"/>
        </w:rPr>
        <w:t>o</w:t>
      </w:r>
      <w:r w:rsidR="002271F6">
        <w:rPr>
          <w:sz w:val="24"/>
          <w:szCs w:val="24"/>
        </w:rPr>
        <w:t xml:space="preserve">n real wages </w:t>
      </w:r>
      <w:r w:rsidR="00E44260">
        <w:rPr>
          <w:sz w:val="24"/>
          <w:szCs w:val="24"/>
        </w:rPr>
        <w:t>smaller than that of the legislated nominal wage increase.</w:t>
      </w:r>
      <w:r w:rsidR="00945174">
        <w:rPr>
          <w:sz w:val="24"/>
          <w:szCs w:val="24"/>
        </w:rPr>
        <w:t xml:space="preserve"> Loss of employment </w:t>
      </w:r>
      <w:r w:rsidR="00AF1AE1">
        <w:rPr>
          <w:sz w:val="24"/>
          <w:szCs w:val="24"/>
        </w:rPr>
        <w:lastRenderedPageBreak/>
        <w:t xml:space="preserve">could also occur as a result of </w:t>
      </w:r>
      <w:r w:rsidR="00AD30B1">
        <w:rPr>
          <w:sz w:val="24"/>
          <w:szCs w:val="24"/>
        </w:rPr>
        <w:t>the increased labor costs</w:t>
      </w:r>
      <w:r w:rsidR="007739C3">
        <w:rPr>
          <w:sz w:val="24"/>
          <w:szCs w:val="24"/>
        </w:rPr>
        <w:t>,</w:t>
      </w:r>
      <w:r w:rsidR="00277565">
        <w:rPr>
          <w:sz w:val="24"/>
          <w:szCs w:val="24"/>
        </w:rPr>
        <w:t xml:space="preserve"> </w:t>
      </w:r>
      <w:r w:rsidR="00140FEA">
        <w:rPr>
          <w:sz w:val="24"/>
          <w:szCs w:val="24"/>
        </w:rPr>
        <w:t>as</w:t>
      </w:r>
      <w:r w:rsidR="00277565">
        <w:rPr>
          <w:sz w:val="24"/>
          <w:szCs w:val="24"/>
        </w:rPr>
        <w:t xml:space="preserve"> firms </w:t>
      </w:r>
      <w:r w:rsidR="00140FEA">
        <w:rPr>
          <w:sz w:val="24"/>
          <w:szCs w:val="24"/>
        </w:rPr>
        <w:t xml:space="preserve">that are unwilling to </w:t>
      </w:r>
      <w:r w:rsidR="00981DFB">
        <w:rPr>
          <w:sz w:val="24"/>
          <w:szCs w:val="24"/>
        </w:rPr>
        <w:t xml:space="preserve">accept losses to their profit margins would need to adjust their </w:t>
      </w:r>
      <w:r w:rsidR="00622070">
        <w:rPr>
          <w:sz w:val="24"/>
          <w:szCs w:val="24"/>
        </w:rPr>
        <w:t>cost</w:t>
      </w:r>
      <w:r w:rsidR="00981DFB">
        <w:rPr>
          <w:sz w:val="24"/>
          <w:szCs w:val="24"/>
        </w:rPr>
        <w:t xml:space="preserve"> </w:t>
      </w:r>
      <w:r w:rsidR="00622070">
        <w:rPr>
          <w:sz w:val="24"/>
          <w:szCs w:val="24"/>
        </w:rPr>
        <w:t>structures to include fewer employees.</w:t>
      </w:r>
      <w:r w:rsidR="006C6478">
        <w:rPr>
          <w:sz w:val="24"/>
          <w:szCs w:val="24"/>
        </w:rPr>
        <w:t xml:space="preserve"> </w:t>
      </w:r>
      <w:r w:rsidR="00DC7D4B">
        <w:rPr>
          <w:sz w:val="24"/>
          <w:szCs w:val="24"/>
        </w:rPr>
        <w:t xml:space="preserve">Both of these possibilities have some basis in the theoretical and empirical literature, </w:t>
      </w:r>
      <w:bookmarkStart w:id="3" w:name="_Hlk70046681"/>
      <w:r w:rsidR="008A044D">
        <w:rPr>
          <w:sz w:val="24"/>
          <w:szCs w:val="24"/>
        </w:rPr>
        <w:t xml:space="preserve">and </w:t>
      </w:r>
      <w:r w:rsidR="00646450">
        <w:rPr>
          <w:sz w:val="24"/>
          <w:szCs w:val="24"/>
        </w:rPr>
        <w:t xml:space="preserve">thus </w:t>
      </w:r>
      <w:r w:rsidR="00D56FF8">
        <w:rPr>
          <w:sz w:val="24"/>
          <w:szCs w:val="24"/>
        </w:rPr>
        <w:t xml:space="preserve">are </w:t>
      </w:r>
      <w:r w:rsidR="00646450">
        <w:rPr>
          <w:sz w:val="24"/>
          <w:szCs w:val="24"/>
        </w:rPr>
        <w:t xml:space="preserve">crucial questions in </w:t>
      </w:r>
      <w:r w:rsidR="002A66DB">
        <w:rPr>
          <w:sz w:val="24"/>
          <w:szCs w:val="24"/>
        </w:rPr>
        <w:t xml:space="preserve">determining the </w:t>
      </w:r>
      <w:r w:rsidR="00AE2D92">
        <w:rPr>
          <w:sz w:val="24"/>
          <w:szCs w:val="24"/>
        </w:rPr>
        <w:t>welfare-increasing potential of minimum wages</w:t>
      </w:r>
      <w:r w:rsidR="002A66DB">
        <w:rPr>
          <w:sz w:val="24"/>
          <w:szCs w:val="24"/>
        </w:rPr>
        <w:t>.</w:t>
      </w:r>
      <w:r w:rsidR="00133024">
        <w:rPr>
          <w:sz w:val="24"/>
          <w:szCs w:val="24"/>
        </w:rPr>
        <w:t xml:space="preserve"> </w:t>
      </w:r>
      <w:bookmarkEnd w:id="3"/>
      <w:r>
        <w:rPr>
          <w:sz w:val="24"/>
          <w:szCs w:val="24"/>
        </w:rPr>
        <w:t xml:space="preserve">This paper seeks to add to the existing literature on the </w:t>
      </w:r>
      <w:r w:rsidR="009948FA">
        <w:rPr>
          <w:sz w:val="24"/>
          <w:szCs w:val="24"/>
        </w:rPr>
        <w:t xml:space="preserve">price and employment </w:t>
      </w:r>
      <w:r>
        <w:rPr>
          <w:sz w:val="24"/>
          <w:szCs w:val="24"/>
        </w:rPr>
        <w:t>effects of minimum wages</w:t>
      </w:r>
      <w:r w:rsidR="0013137C">
        <w:rPr>
          <w:sz w:val="24"/>
          <w:szCs w:val="24"/>
        </w:rPr>
        <w:t xml:space="preserve"> </w:t>
      </w:r>
      <w:r>
        <w:rPr>
          <w:sz w:val="24"/>
          <w:szCs w:val="24"/>
        </w:rPr>
        <w:t>by</w:t>
      </w:r>
      <w:r w:rsidR="0093634D">
        <w:rPr>
          <w:sz w:val="24"/>
          <w:szCs w:val="24"/>
        </w:rPr>
        <w:t xml:space="preserve"> </w:t>
      </w:r>
      <w:r>
        <w:rPr>
          <w:sz w:val="24"/>
          <w:szCs w:val="24"/>
        </w:rPr>
        <w:t xml:space="preserve">exploiting the recent increase in minimum wage variation to improve precision </w:t>
      </w:r>
      <w:r w:rsidR="00DB2C3B">
        <w:rPr>
          <w:sz w:val="24"/>
          <w:szCs w:val="24"/>
        </w:rPr>
        <w:t>o</w:t>
      </w:r>
      <w:r w:rsidR="00A04254">
        <w:rPr>
          <w:sz w:val="24"/>
          <w:szCs w:val="24"/>
        </w:rPr>
        <w:t>f</w:t>
      </w:r>
      <w:r>
        <w:rPr>
          <w:sz w:val="24"/>
          <w:szCs w:val="24"/>
        </w:rPr>
        <w:t xml:space="preserve"> estimation</w:t>
      </w:r>
      <w:r w:rsidR="00856088">
        <w:rPr>
          <w:sz w:val="24"/>
          <w:szCs w:val="24"/>
        </w:rPr>
        <w:t xml:space="preserve"> and explore these effects in the aggregate economy</w:t>
      </w:r>
      <w:r>
        <w:rPr>
          <w:sz w:val="24"/>
          <w:szCs w:val="24"/>
        </w:rPr>
        <w:t>. Specifically, the effects of interest are the</w:t>
      </w:r>
      <w:r w:rsidR="00B14204">
        <w:rPr>
          <w:sz w:val="24"/>
          <w:szCs w:val="24"/>
        </w:rPr>
        <w:t xml:space="preserve"> </w:t>
      </w:r>
      <w:r w:rsidR="00F64D99">
        <w:rPr>
          <w:sz w:val="24"/>
          <w:szCs w:val="24"/>
        </w:rPr>
        <w:t>all-industry-inclusive</w:t>
      </w:r>
      <w:r>
        <w:rPr>
          <w:sz w:val="24"/>
          <w:szCs w:val="24"/>
        </w:rPr>
        <w:t xml:space="preserve"> </w:t>
      </w:r>
      <w:r w:rsidR="00276B0D">
        <w:rPr>
          <w:sz w:val="24"/>
          <w:szCs w:val="24"/>
        </w:rPr>
        <w:t xml:space="preserve">minimum wage </w:t>
      </w:r>
      <w:r w:rsidR="006A2574">
        <w:rPr>
          <w:sz w:val="24"/>
          <w:szCs w:val="24"/>
        </w:rPr>
        <w:t>semi-</w:t>
      </w:r>
      <w:r>
        <w:rPr>
          <w:sz w:val="24"/>
          <w:szCs w:val="24"/>
        </w:rPr>
        <w:t>elasticities of inflation</w:t>
      </w:r>
      <w:r w:rsidR="00276B0D">
        <w:rPr>
          <w:sz w:val="24"/>
          <w:szCs w:val="24"/>
        </w:rPr>
        <w:t xml:space="preserve"> and </w:t>
      </w:r>
      <w:r w:rsidR="00C70F9E">
        <w:rPr>
          <w:sz w:val="24"/>
          <w:szCs w:val="24"/>
        </w:rPr>
        <w:t xml:space="preserve">a </w:t>
      </w:r>
      <w:r w:rsidR="00276B0D">
        <w:rPr>
          <w:sz w:val="24"/>
          <w:szCs w:val="24"/>
        </w:rPr>
        <w:t>comprehensive set o</w:t>
      </w:r>
      <w:r w:rsidR="00C70F9E">
        <w:rPr>
          <w:sz w:val="24"/>
          <w:szCs w:val="24"/>
        </w:rPr>
        <w:t xml:space="preserve">f employment measures including </w:t>
      </w:r>
      <w:r w:rsidR="004C003F">
        <w:rPr>
          <w:sz w:val="24"/>
          <w:szCs w:val="24"/>
        </w:rPr>
        <w:t xml:space="preserve">unemployment, </w:t>
      </w:r>
      <w:r>
        <w:rPr>
          <w:sz w:val="24"/>
          <w:szCs w:val="24"/>
        </w:rPr>
        <w:t>labor force participation, a</w:t>
      </w:r>
      <w:r w:rsidR="00864B58">
        <w:rPr>
          <w:sz w:val="24"/>
          <w:szCs w:val="24"/>
        </w:rPr>
        <w:t>nd the employment to population ratio</w:t>
      </w:r>
      <w:r w:rsidR="00851888">
        <w:rPr>
          <w:sz w:val="24"/>
          <w:szCs w:val="24"/>
        </w:rPr>
        <w:t xml:space="preserve"> at </w:t>
      </w:r>
      <w:r w:rsidR="001F1D45">
        <w:rPr>
          <w:sz w:val="24"/>
          <w:szCs w:val="24"/>
        </w:rPr>
        <w:t>the</w:t>
      </w:r>
      <w:r w:rsidR="0081069D">
        <w:rPr>
          <w:sz w:val="24"/>
          <w:szCs w:val="24"/>
        </w:rPr>
        <w:t xml:space="preserve"> </w:t>
      </w:r>
      <w:r w:rsidR="00851888">
        <w:rPr>
          <w:sz w:val="24"/>
          <w:szCs w:val="24"/>
        </w:rPr>
        <w:t>state</w:t>
      </w:r>
      <w:r w:rsidR="0081069D">
        <w:rPr>
          <w:sz w:val="24"/>
          <w:szCs w:val="24"/>
        </w:rPr>
        <w:t xml:space="preserve"> level</w:t>
      </w:r>
      <w:r>
        <w:rPr>
          <w:sz w:val="24"/>
          <w:szCs w:val="24"/>
        </w:rPr>
        <w:t xml:space="preserve">. </w:t>
      </w:r>
      <w:r w:rsidR="00C1001D">
        <w:rPr>
          <w:sz w:val="24"/>
          <w:szCs w:val="24"/>
        </w:rPr>
        <w:t xml:space="preserve">All of these effects </w:t>
      </w:r>
      <w:r w:rsidR="00B14204">
        <w:rPr>
          <w:sz w:val="24"/>
          <w:szCs w:val="24"/>
        </w:rPr>
        <w:t xml:space="preserve">are found to be statistically identical to zero but </w:t>
      </w:r>
      <w:r w:rsidR="00586539">
        <w:rPr>
          <w:sz w:val="24"/>
          <w:szCs w:val="24"/>
        </w:rPr>
        <w:t>are imprecisely estimated with wide confidence interval</w:t>
      </w:r>
      <w:r w:rsidR="00B96930">
        <w:rPr>
          <w:sz w:val="24"/>
          <w:szCs w:val="24"/>
        </w:rPr>
        <w:t xml:space="preserve">s </w:t>
      </w:r>
      <w:r w:rsidR="00301829">
        <w:rPr>
          <w:sz w:val="24"/>
          <w:szCs w:val="24"/>
        </w:rPr>
        <w:t xml:space="preserve">that </w:t>
      </w:r>
      <w:r w:rsidR="000E22E4">
        <w:rPr>
          <w:sz w:val="24"/>
          <w:szCs w:val="24"/>
        </w:rPr>
        <w:t xml:space="preserve">range </w:t>
      </w:r>
      <w:r w:rsidR="00130BF7">
        <w:rPr>
          <w:sz w:val="24"/>
          <w:szCs w:val="24"/>
        </w:rPr>
        <w:t xml:space="preserve">in both the positive and negative directions. </w:t>
      </w:r>
      <w:r w:rsidR="009972E6">
        <w:rPr>
          <w:sz w:val="24"/>
          <w:szCs w:val="24"/>
        </w:rPr>
        <w:t xml:space="preserve">The general conclusion is that </w:t>
      </w:r>
      <w:r w:rsidR="00F41BA6">
        <w:rPr>
          <w:sz w:val="24"/>
          <w:szCs w:val="24"/>
        </w:rPr>
        <w:t xml:space="preserve">only certain </w:t>
      </w:r>
      <w:r w:rsidR="00E13597">
        <w:rPr>
          <w:sz w:val="24"/>
          <w:szCs w:val="24"/>
        </w:rPr>
        <w:t>low-income</w:t>
      </w:r>
      <w:r w:rsidR="001E23AF">
        <w:rPr>
          <w:sz w:val="24"/>
          <w:szCs w:val="24"/>
        </w:rPr>
        <w:t xml:space="preserve"> population groups or minimum wage intensive industries experience any effects, </w:t>
      </w:r>
      <w:r w:rsidR="00295BB7">
        <w:rPr>
          <w:sz w:val="24"/>
          <w:szCs w:val="24"/>
        </w:rPr>
        <w:t xml:space="preserve">with little to no </w:t>
      </w:r>
      <w:r w:rsidR="00A93D4B">
        <w:rPr>
          <w:sz w:val="24"/>
          <w:szCs w:val="24"/>
        </w:rPr>
        <w:t xml:space="preserve">spillover </w:t>
      </w:r>
      <w:r w:rsidR="009972E6">
        <w:rPr>
          <w:sz w:val="24"/>
          <w:szCs w:val="24"/>
        </w:rPr>
        <w:t xml:space="preserve">across the </w:t>
      </w:r>
      <w:r w:rsidR="00F41BA6">
        <w:rPr>
          <w:sz w:val="24"/>
          <w:szCs w:val="24"/>
        </w:rPr>
        <w:t>aggregate economy</w:t>
      </w:r>
      <w:r w:rsidR="00A93D4B">
        <w:rPr>
          <w:sz w:val="24"/>
          <w:szCs w:val="24"/>
        </w:rPr>
        <w:t>.</w:t>
      </w:r>
      <w:r w:rsidR="00F64D99">
        <w:rPr>
          <w:sz w:val="24"/>
          <w:szCs w:val="24"/>
        </w:rPr>
        <w:t xml:space="preserve"> </w:t>
      </w:r>
    </w:p>
    <w:p w14:paraId="0C079B68" w14:textId="7575D75F" w:rsidR="00BA3F0B" w:rsidRDefault="00BA3F0B" w:rsidP="00BA3F0B">
      <w:pPr>
        <w:pStyle w:val="Heading1"/>
        <w:numPr>
          <w:ilvl w:val="0"/>
          <w:numId w:val="18"/>
        </w:numPr>
        <w:spacing w:line="480" w:lineRule="auto"/>
      </w:pPr>
      <w:bookmarkStart w:id="4" w:name="_Toc71466043"/>
      <w:r>
        <w:t>Theoretical Discussion</w:t>
      </w:r>
      <w:bookmarkEnd w:id="4"/>
    </w:p>
    <w:p w14:paraId="1BD7A8D5" w14:textId="6E8FC775" w:rsidR="00845898" w:rsidRDefault="00BA3F0B" w:rsidP="00152F06">
      <w:pPr>
        <w:spacing w:line="480" w:lineRule="auto"/>
        <w:ind w:firstLine="580"/>
        <w:rPr>
          <w:sz w:val="24"/>
          <w:szCs w:val="24"/>
        </w:rPr>
      </w:pPr>
      <w:r>
        <w:rPr>
          <w:sz w:val="24"/>
          <w:szCs w:val="24"/>
        </w:rPr>
        <w:t xml:space="preserve">In this section I will </w:t>
      </w:r>
      <w:r w:rsidR="00A86F17">
        <w:rPr>
          <w:sz w:val="24"/>
          <w:szCs w:val="24"/>
        </w:rPr>
        <w:t>explore</w:t>
      </w:r>
      <w:r>
        <w:rPr>
          <w:sz w:val="24"/>
          <w:szCs w:val="24"/>
        </w:rPr>
        <w:t xml:space="preserve"> </w:t>
      </w:r>
      <w:r w:rsidR="00427BEB">
        <w:rPr>
          <w:sz w:val="24"/>
          <w:szCs w:val="24"/>
        </w:rPr>
        <w:t xml:space="preserve">the </w:t>
      </w:r>
      <w:r w:rsidR="00B92344">
        <w:rPr>
          <w:sz w:val="24"/>
          <w:szCs w:val="24"/>
        </w:rPr>
        <w:t>mechanics through which</w:t>
      </w:r>
      <w:r w:rsidR="00031C5B">
        <w:rPr>
          <w:sz w:val="24"/>
          <w:szCs w:val="24"/>
        </w:rPr>
        <w:t xml:space="preserve"> </w:t>
      </w:r>
      <w:r w:rsidR="001A33EF">
        <w:rPr>
          <w:sz w:val="24"/>
          <w:szCs w:val="24"/>
        </w:rPr>
        <w:t xml:space="preserve">price and employment effects of </w:t>
      </w:r>
      <w:r w:rsidR="00952304">
        <w:rPr>
          <w:sz w:val="24"/>
          <w:szCs w:val="24"/>
        </w:rPr>
        <w:t>minimum wage</w:t>
      </w:r>
      <w:r w:rsidR="001A33EF">
        <w:rPr>
          <w:sz w:val="24"/>
          <w:szCs w:val="24"/>
        </w:rPr>
        <w:t>s</w:t>
      </w:r>
      <w:r w:rsidR="00952304">
        <w:rPr>
          <w:sz w:val="24"/>
          <w:szCs w:val="24"/>
        </w:rPr>
        <w:t xml:space="preserve"> </w:t>
      </w:r>
      <w:r w:rsidR="00B92344">
        <w:rPr>
          <w:sz w:val="24"/>
          <w:szCs w:val="24"/>
        </w:rPr>
        <w:t xml:space="preserve">can occur. </w:t>
      </w:r>
      <w:r w:rsidR="00B76C15">
        <w:rPr>
          <w:sz w:val="24"/>
          <w:szCs w:val="24"/>
        </w:rPr>
        <w:t>The</w:t>
      </w:r>
      <w:r w:rsidR="00E01B6C">
        <w:rPr>
          <w:sz w:val="24"/>
          <w:szCs w:val="24"/>
        </w:rPr>
        <w:t xml:space="preserve"> </w:t>
      </w:r>
      <w:r w:rsidR="005547D8">
        <w:rPr>
          <w:sz w:val="24"/>
          <w:szCs w:val="24"/>
        </w:rPr>
        <w:t>n</w:t>
      </w:r>
      <w:r w:rsidR="00E01B6C">
        <w:rPr>
          <w:sz w:val="24"/>
          <w:szCs w:val="24"/>
        </w:rPr>
        <w:t xml:space="preserve">eoclassical and </w:t>
      </w:r>
      <w:r w:rsidR="005547D8">
        <w:rPr>
          <w:sz w:val="24"/>
          <w:szCs w:val="24"/>
        </w:rPr>
        <w:t>Keynesian</w:t>
      </w:r>
      <w:r w:rsidR="00E01B6C">
        <w:rPr>
          <w:sz w:val="24"/>
          <w:szCs w:val="24"/>
        </w:rPr>
        <w:t xml:space="preserve"> models</w:t>
      </w:r>
      <w:r w:rsidR="005C6138">
        <w:rPr>
          <w:sz w:val="24"/>
          <w:szCs w:val="24"/>
        </w:rPr>
        <w:t xml:space="preserve"> are </w:t>
      </w:r>
      <w:r w:rsidR="00083DD1">
        <w:rPr>
          <w:sz w:val="24"/>
          <w:szCs w:val="24"/>
        </w:rPr>
        <w:t xml:space="preserve">the </w:t>
      </w:r>
      <w:r w:rsidR="00A86F17">
        <w:rPr>
          <w:sz w:val="24"/>
          <w:szCs w:val="24"/>
        </w:rPr>
        <w:t>primary</w:t>
      </w:r>
      <w:r w:rsidR="00083DD1">
        <w:rPr>
          <w:sz w:val="24"/>
          <w:szCs w:val="24"/>
        </w:rPr>
        <w:t xml:space="preserve"> </w:t>
      </w:r>
      <w:r w:rsidR="00B92344">
        <w:rPr>
          <w:sz w:val="24"/>
          <w:szCs w:val="24"/>
        </w:rPr>
        <w:t xml:space="preserve">theoretical </w:t>
      </w:r>
      <w:r w:rsidR="00083DD1">
        <w:rPr>
          <w:sz w:val="24"/>
          <w:szCs w:val="24"/>
        </w:rPr>
        <w:t xml:space="preserve">frameworks </w:t>
      </w:r>
      <w:r w:rsidR="00732B52">
        <w:rPr>
          <w:sz w:val="24"/>
          <w:szCs w:val="24"/>
        </w:rPr>
        <w:t xml:space="preserve">used in the literature for this task </w:t>
      </w:r>
      <w:r w:rsidR="00B76C15">
        <w:rPr>
          <w:sz w:val="24"/>
          <w:szCs w:val="24"/>
        </w:rPr>
        <w:t xml:space="preserve">and will </w:t>
      </w:r>
      <w:r w:rsidR="00A86F17">
        <w:rPr>
          <w:sz w:val="24"/>
          <w:szCs w:val="24"/>
        </w:rPr>
        <w:t>frame this discussion</w:t>
      </w:r>
      <w:r w:rsidR="00083DD1">
        <w:rPr>
          <w:sz w:val="24"/>
          <w:szCs w:val="24"/>
        </w:rPr>
        <w:t xml:space="preserve">. </w:t>
      </w:r>
      <w:r w:rsidR="000811F5">
        <w:rPr>
          <w:sz w:val="24"/>
          <w:szCs w:val="24"/>
        </w:rPr>
        <w:t>Firm profit maximization will be assumed</w:t>
      </w:r>
      <w:r w:rsidR="00843139">
        <w:rPr>
          <w:sz w:val="24"/>
          <w:szCs w:val="24"/>
        </w:rPr>
        <w:t xml:space="preserve"> in both cases</w:t>
      </w:r>
      <w:r w:rsidR="00E76FB9">
        <w:rPr>
          <w:sz w:val="24"/>
          <w:szCs w:val="24"/>
        </w:rPr>
        <w:t>.</w:t>
      </w:r>
    </w:p>
    <w:p w14:paraId="195230E5" w14:textId="6FAD8E15" w:rsidR="00E03377" w:rsidRDefault="0062521B" w:rsidP="007858AD">
      <w:pPr>
        <w:spacing w:line="480" w:lineRule="auto"/>
        <w:ind w:firstLine="580"/>
        <w:rPr>
          <w:sz w:val="24"/>
          <w:szCs w:val="24"/>
        </w:rPr>
      </w:pPr>
      <w:r w:rsidRPr="0062521B">
        <w:rPr>
          <w:sz w:val="24"/>
          <w:szCs w:val="24"/>
        </w:rPr>
        <w:lastRenderedPageBreak/>
        <w:t xml:space="preserve">The </w:t>
      </w:r>
      <w:r w:rsidR="006256EC">
        <w:rPr>
          <w:sz w:val="24"/>
          <w:szCs w:val="24"/>
        </w:rPr>
        <w:t>n</w:t>
      </w:r>
      <w:r w:rsidRPr="0062521B">
        <w:rPr>
          <w:sz w:val="24"/>
          <w:szCs w:val="24"/>
        </w:rPr>
        <w:t xml:space="preserve">eoclassical model </w:t>
      </w:r>
      <w:r w:rsidR="006256EC">
        <w:rPr>
          <w:sz w:val="24"/>
          <w:szCs w:val="24"/>
        </w:rPr>
        <w:t xml:space="preserve">has been the most widely accepted </w:t>
      </w:r>
      <w:r w:rsidR="00AA4DB5">
        <w:rPr>
          <w:sz w:val="24"/>
          <w:szCs w:val="24"/>
        </w:rPr>
        <w:t xml:space="preserve">paradigm through which minimum wage effects are </w:t>
      </w:r>
      <w:r w:rsidR="00EC2849">
        <w:rPr>
          <w:sz w:val="24"/>
          <w:szCs w:val="24"/>
        </w:rPr>
        <w:t>identified and</w:t>
      </w:r>
      <w:r w:rsidR="00AA4DB5">
        <w:rPr>
          <w:sz w:val="24"/>
          <w:szCs w:val="24"/>
        </w:rPr>
        <w:t xml:space="preserve"> </w:t>
      </w:r>
      <w:r w:rsidR="00711BCC">
        <w:rPr>
          <w:sz w:val="24"/>
          <w:szCs w:val="24"/>
        </w:rPr>
        <w:t>concludes</w:t>
      </w:r>
      <w:r w:rsidR="00D61302">
        <w:rPr>
          <w:sz w:val="24"/>
          <w:szCs w:val="24"/>
        </w:rPr>
        <w:t xml:space="preserve"> that </w:t>
      </w:r>
      <w:r w:rsidR="002E58CC">
        <w:rPr>
          <w:sz w:val="24"/>
          <w:szCs w:val="24"/>
        </w:rPr>
        <w:t>minimum wages are a destabilizing force to the market equilibrated wage rate</w:t>
      </w:r>
      <w:r w:rsidR="005D3EE8">
        <w:rPr>
          <w:sz w:val="24"/>
          <w:szCs w:val="24"/>
        </w:rPr>
        <w:t xml:space="preserve"> (</w:t>
      </w:r>
      <w:r w:rsidR="00396258">
        <w:rPr>
          <w:sz w:val="24"/>
          <w:szCs w:val="24"/>
        </w:rPr>
        <w:t>Herr et al 2009)</w:t>
      </w:r>
      <w:r w:rsidR="00451EA5">
        <w:rPr>
          <w:sz w:val="24"/>
          <w:szCs w:val="24"/>
        </w:rPr>
        <w:t xml:space="preserve">. </w:t>
      </w:r>
      <w:r w:rsidR="00DF08FE">
        <w:rPr>
          <w:sz w:val="24"/>
          <w:szCs w:val="24"/>
        </w:rPr>
        <w:t>Therefore,</w:t>
      </w:r>
      <w:r w:rsidR="00451EA5">
        <w:rPr>
          <w:sz w:val="24"/>
          <w:szCs w:val="24"/>
        </w:rPr>
        <w:t xml:space="preserve"> increasing minimum wages would</w:t>
      </w:r>
      <w:r w:rsidR="00C7735B">
        <w:rPr>
          <w:sz w:val="24"/>
          <w:szCs w:val="24"/>
        </w:rPr>
        <w:t xml:space="preserve"> </w:t>
      </w:r>
      <w:r w:rsidR="00F25931">
        <w:rPr>
          <w:sz w:val="24"/>
          <w:szCs w:val="24"/>
        </w:rPr>
        <w:t xml:space="preserve">result in </w:t>
      </w:r>
      <w:r w:rsidR="00C7735B">
        <w:rPr>
          <w:sz w:val="24"/>
          <w:szCs w:val="24"/>
        </w:rPr>
        <w:t>reduce</w:t>
      </w:r>
      <w:r w:rsidR="00F25931">
        <w:rPr>
          <w:sz w:val="24"/>
          <w:szCs w:val="24"/>
        </w:rPr>
        <w:t>d</w:t>
      </w:r>
      <w:r w:rsidR="00C7735B">
        <w:rPr>
          <w:sz w:val="24"/>
          <w:szCs w:val="24"/>
        </w:rPr>
        <w:t xml:space="preserve"> employment</w:t>
      </w:r>
      <w:r w:rsidR="003C6824">
        <w:rPr>
          <w:sz w:val="24"/>
          <w:szCs w:val="24"/>
        </w:rPr>
        <w:t xml:space="preserve">. </w:t>
      </w:r>
      <w:r w:rsidR="00DE6C96">
        <w:rPr>
          <w:sz w:val="24"/>
          <w:szCs w:val="24"/>
        </w:rPr>
        <w:t>U</w:t>
      </w:r>
      <w:r w:rsidR="00324E19">
        <w:rPr>
          <w:sz w:val="24"/>
          <w:szCs w:val="24"/>
        </w:rPr>
        <w:t>nderlying</w:t>
      </w:r>
      <w:r w:rsidR="00DE6C96">
        <w:rPr>
          <w:sz w:val="24"/>
          <w:szCs w:val="24"/>
        </w:rPr>
        <w:t xml:space="preserve"> this conclusion are the</w:t>
      </w:r>
      <w:r w:rsidR="00DA7B0A">
        <w:rPr>
          <w:sz w:val="24"/>
          <w:szCs w:val="24"/>
        </w:rPr>
        <w:t xml:space="preserve"> assumption</w:t>
      </w:r>
      <w:r w:rsidR="00324E19">
        <w:rPr>
          <w:sz w:val="24"/>
          <w:szCs w:val="24"/>
        </w:rPr>
        <w:t>s</w:t>
      </w:r>
      <w:r w:rsidR="0065552C">
        <w:rPr>
          <w:sz w:val="24"/>
          <w:szCs w:val="24"/>
        </w:rPr>
        <w:t xml:space="preserve"> </w:t>
      </w:r>
      <w:r w:rsidR="00DA7B0A">
        <w:rPr>
          <w:sz w:val="24"/>
          <w:szCs w:val="24"/>
        </w:rPr>
        <w:t xml:space="preserve">that </w:t>
      </w:r>
      <w:r w:rsidR="009527B7">
        <w:rPr>
          <w:sz w:val="24"/>
          <w:szCs w:val="24"/>
        </w:rPr>
        <w:t xml:space="preserve">low-skilled </w:t>
      </w:r>
      <w:r w:rsidR="00DA7B0A">
        <w:rPr>
          <w:sz w:val="24"/>
          <w:szCs w:val="24"/>
        </w:rPr>
        <w:t>labor markets</w:t>
      </w:r>
      <w:r w:rsidR="00BB416A">
        <w:rPr>
          <w:sz w:val="24"/>
          <w:szCs w:val="24"/>
        </w:rPr>
        <w:t>, which minimum wages are effective in,</w:t>
      </w:r>
      <w:r w:rsidR="0002007F">
        <w:rPr>
          <w:sz w:val="24"/>
          <w:szCs w:val="24"/>
        </w:rPr>
        <w:t xml:space="preserve"> </w:t>
      </w:r>
      <w:r w:rsidR="00384743">
        <w:rPr>
          <w:sz w:val="24"/>
          <w:szCs w:val="24"/>
        </w:rPr>
        <w:t xml:space="preserve">exhibit similar dynamics </w:t>
      </w:r>
      <w:r w:rsidR="00305A68">
        <w:rPr>
          <w:sz w:val="24"/>
          <w:szCs w:val="24"/>
        </w:rPr>
        <w:t>to</w:t>
      </w:r>
      <w:r w:rsidR="00384743">
        <w:rPr>
          <w:sz w:val="24"/>
          <w:szCs w:val="24"/>
        </w:rPr>
        <w:t xml:space="preserve"> normal product markets</w:t>
      </w:r>
      <w:r w:rsidR="005A24EA">
        <w:rPr>
          <w:sz w:val="24"/>
          <w:szCs w:val="24"/>
        </w:rPr>
        <w:t xml:space="preserve"> and are </w:t>
      </w:r>
      <w:r w:rsidR="00C01C92">
        <w:rPr>
          <w:sz w:val="24"/>
          <w:szCs w:val="24"/>
        </w:rPr>
        <w:t>competitive in nature</w:t>
      </w:r>
      <w:r w:rsidR="00324E19">
        <w:rPr>
          <w:sz w:val="24"/>
          <w:szCs w:val="24"/>
        </w:rPr>
        <w:t>.</w:t>
      </w:r>
      <w:r w:rsidR="00664342">
        <w:rPr>
          <w:sz w:val="24"/>
          <w:szCs w:val="24"/>
        </w:rPr>
        <w:t xml:space="preserve"> This means that the</w:t>
      </w:r>
      <w:r w:rsidR="00497A67">
        <w:rPr>
          <w:sz w:val="24"/>
          <w:szCs w:val="24"/>
        </w:rPr>
        <w:t xml:space="preserve"> sum total of wage bargaining between employers</w:t>
      </w:r>
      <w:r w:rsidR="00D65244">
        <w:rPr>
          <w:sz w:val="24"/>
          <w:szCs w:val="24"/>
        </w:rPr>
        <w:t xml:space="preserve"> (labor demand)</w:t>
      </w:r>
      <w:r w:rsidR="00497A67">
        <w:rPr>
          <w:sz w:val="24"/>
          <w:szCs w:val="24"/>
        </w:rPr>
        <w:t xml:space="preserve"> and workers </w:t>
      </w:r>
      <w:r w:rsidR="00D65244">
        <w:rPr>
          <w:sz w:val="24"/>
          <w:szCs w:val="24"/>
        </w:rPr>
        <w:t xml:space="preserve">(labor supply) </w:t>
      </w:r>
      <w:r w:rsidR="0021545D">
        <w:rPr>
          <w:sz w:val="24"/>
          <w:szCs w:val="24"/>
        </w:rPr>
        <w:t xml:space="preserve">would </w:t>
      </w:r>
      <w:r w:rsidR="00497A67">
        <w:rPr>
          <w:sz w:val="24"/>
          <w:szCs w:val="24"/>
        </w:rPr>
        <w:t xml:space="preserve">set the market clearing </w:t>
      </w:r>
      <w:r w:rsidR="007D0962">
        <w:rPr>
          <w:sz w:val="24"/>
          <w:szCs w:val="24"/>
        </w:rPr>
        <w:t>wage rate</w:t>
      </w:r>
      <w:r w:rsidR="00664342">
        <w:rPr>
          <w:sz w:val="24"/>
          <w:szCs w:val="24"/>
        </w:rPr>
        <w:t xml:space="preserve">, and </w:t>
      </w:r>
      <w:r w:rsidR="0052275D">
        <w:rPr>
          <w:sz w:val="24"/>
          <w:szCs w:val="24"/>
        </w:rPr>
        <w:t>n</w:t>
      </w:r>
      <w:r w:rsidR="006363FC">
        <w:rPr>
          <w:sz w:val="24"/>
          <w:szCs w:val="24"/>
        </w:rPr>
        <w:t xml:space="preserve">either party </w:t>
      </w:r>
      <w:r w:rsidR="00455B46">
        <w:rPr>
          <w:sz w:val="24"/>
          <w:szCs w:val="24"/>
        </w:rPr>
        <w:t xml:space="preserve">would </w:t>
      </w:r>
      <w:r w:rsidR="006363FC">
        <w:rPr>
          <w:sz w:val="24"/>
          <w:szCs w:val="24"/>
        </w:rPr>
        <w:t xml:space="preserve">possess </w:t>
      </w:r>
      <w:r w:rsidR="00EE0552">
        <w:rPr>
          <w:sz w:val="24"/>
          <w:szCs w:val="24"/>
        </w:rPr>
        <w:t xml:space="preserve">significant </w:t>
      </w:r>
      <w:r w:rsidR="006363FC">
        <w:rPr>
          <w:sz w:val="24"/>
          <w:szCs w:val="24"/>
        </w:rPr>
        <w:t xml:space="preserve">market power over the </w:t>
      </w:r>
      <w:r w:rsidR="00EE0552">
        <w:rPr>
          <w:sz w:val="24"/>
          <w:szCs w:val="24"/>
        </w:rPr>
        <w:t>other</w:t>
      </w:r>
      <w:r w:rsidR="00324E19">
        <w:rPr>
          <w:sz w:val="24"/>
          <w:szCs w:val="24"/>
        </w:rPr>
        <w:t xml:space="preserve">. </w:t>
      </w:r>
      <w:r w:rsidR="0052614C">
        <w:rPr>
          <w:sz w:val="24"/>
          <w:szCs w:val="24"/>
        </w:rPr>
        <w:t>Individual f</w:t>
      </w:r>
      <w:r w:rsidR="002A6E64">
        <w:rPr>
          <w:sz w:val="24"/>
          <w:szCs w:val="24"/>
        </w:rPr>
        <w:t xml:space="preserve">irms </w:t>
      </w:r>
      <w:r w:rsidR="005E5527">
        <w:rPr>
          <w:sz w:val="24"/>
          <w:szCs w:val="24"/>
        </w:rPr>
        <w:t>and</w:t>
      </w:r>
      <w:r w:rsidR="002A6E64">
        <w:rPr>
          <w:sz w:val="24"/>
          <w:szCs w:val="24"/>
        </w:rPr>
        <w:t xml:space="preserve"> employees</w:t>
      </w:r>
      <w:r w:rsidR="001A3B2E">
        <w:rPr>
          <w:sz w:val="24"/>
          <w:szCs w:val="24"/>
        </w:rPr>
        <w:t xml:space="preserve"> </w:t>
      </w:r>
      <w:r w:rsidR="005E5527">
        <w:rPr>
          <w:sz w:val="24"/>
          <w:szCs w:val="24"/>
        </w:rPr>
        <w:t>would</w:t>
      </w:r>
      <w:r w:rsidR="001C7E43">
        <w:rPr>
          <w:sz w:val="24"/>
          <w:szCs w:val="24"/>
        </w:rPr>
        <w:t xml:space="preserve"> both be forced to accept the </w:t>
      </w:r>
      <w:r w:rsidR="007858AD">
        <w:rPr>
          <w:sz w:val="24"/>
          <w:szCs w:val="24"/>
        </w:rPr>
        <w:t xml:space="preserve">market wage, </w:t>
      </w:r>
      <w:r w:rsidR="0052614C">
        <w:rPr>
          <w:sz w:val="24"/>
          <w:szCs w:val="24"/>
        </w:rPr>
        <w:t>which would be equal to the</w:t>
      </w:r>
      <w:r w:rsidR="002561CA">
        <w:rPr>
          <w:sz w:val="24"/>
          <w:szCs w:val="24"/>
        </w:rPr>
        <w:t xml:space="preserve"> marginal product of labor</w:t>
      </w:r>
      <w:r w:rsidR="0052614C">
        <w:rPr>
          <w:sz w:val="24"/>
          <w:szCs w:val="24"/>
        </w:rPr>
        <w:t>.</w:t>
      </w:r>
      <w:r w:rsidR="007858AD">
        <w:rPr>
          <w:sz w:val="24"/>
          <w:szCs w:val="24"/>
        </w:rPr>
        <w:t xml:space="preserve"> </w:t>
      </w:r>
      <w:r w:rsidR="00F633E0">
        <w:rPr>
          <w:sz w:val="24"/>
          <w:szCs w:val="24"/>
        </w:rPr>
        <w:t>Thus,</w:t>
      </w:r>
      <w:r w:rsidR="00B542BD">
        <w:rPr>
          <w:sz w:val="24"/>
          <w:szCs w:val="24"/>
        </w:rPr>
        <w:t xml:space="preserve"> t</w:t>
      </w:r>
      <w:r w:rsidR="006F66BB">
        <w:rPr>
          <w:sz w:val="24"/>
          <w:szCs w:val="24"/>
        </w:rPr>
        <w:t xml:space="preserve">he most efficient employment and wage outcomes </w:t>
      </w:r>
      <w:r w:rsidR="00476AE3">
        <w:rPr>
          <w:sz w:val="24"/>
          <w:szCs w:val="24"/>
        </w:rPr>
        <w:t>would be</w:t>
      </w:r>
      <w:r w:rsidR="003900AC">
        <w:rPr>
          <w:sz w:val="24"/>
          <w:szCs w:val="24"/>
        </w:rPr>
        <w:t xml:space="preserve"> </w:t>
      </w:r>
      <w:r w:rsidR="006F66BB">
        <w:rPr>
          <w:sz w:val="24"/>
          <w:szCs w:val="24"/>
        </w:rPr>
        <w:t>naturally arrived upon absent any external disturbances or market imperfections.</w:t>
      </w:r>
      <w:r w:rsidR="00021997">
        <w:rPr>
          <w:sz w:val="24"/>
          <w:szCs w:val="24"/>
        </w:rPr>
        <w:t xml:space="preserve"> </w:t>
      </w:r>
      <w:r w:rsidR="00255F93">
        <w:rPr>
          <w:sz w:val="24"/>
          <w:szCs w:val="24"/>
        </w:rPr>
        <w:t xml:space="preserve">This implies that the model </w:t>
      </w:r>
      <w:r w:rsidR="00DB5EEF">
        <w:rPr>
          <w:sz w:val="24"/>
          <w:szCs w:val="24"/>
        </w:rPr>
        <w:t xml:space="preserve">conclusively </w:t>
      </w:r>
      <w:r w:rsidR="00255F93">
        <w:rPr>
          <w:sz w:val="24"/>
          <w:szCs w:val="24"/>
        </w:rPr>
        <w:t xml:space="preserve">predicts </w:t>
      </w:r>
      <w:r w:rsidR="00DB5EEF">
        <w:rPr>
          <w:sz w:val="24"/>
          <w:szCs w:val="24"/>
        </w:rPr>
        <w:t>a</w:t>
      </w:r>
      <w:r w:rsidR="00383483">
        <w:rPr>
          <w:sz w:val="24"/>
          <w:szCs w:val="24"/>
        </w:rPr>
        <w:t xml:space="preserve"> disemployment effect</w:t>
      </w:r>
      <w:r w:rsidR="00305A68">
        <w:rPr>
          <w:sz w:val="24"/>
          <w:szCs w:val="24"/>
        </w:rPr>
        <w:t xml:space="preserve"> </w:t>
      </w:r>
      <w:r w:rsidR="001E0538">
        <w:rPr>
          <w:sz w:val="24"/>
          <w:szCs w:val="24"/>
        </w:rPr>
        <w:t>if the minimum wage is higher than the market wage rate</w:t>
      </w:r>
      <w:r w:rsidR="00A81606">
        <w:rPr>
          <w:sz w:val="24"/>
          <w:szCs w:val="24"/>
        </w:rPr>
        <w:t>.</w:t>
      </w:r>
      <w:r w:rsidR="00D4140E">
        <w:rPr>
          <w:sz w:val="24"/>
          <w:szCs w:val="24"/>
        </w:rPr>
        <w:t xml:space="preserve"> </w:t>
      </w:r>
      <w:r w:rsidR="00416510">
        <w:rPr>
          <w:sz w:val="24"/>
          <w:szCs w:val="24"/>
        </w:rPr>
        <w:t xml:space="preserve">When a new minimum wage rate is introduced that is higher than the equilibrium wage rate, firms </w:t>
      </w:r>
      <w:r w:rsidR="009965EE">
        <w:rPr>
          <w:sz w:val="24"/>
          <w:szCs w:val="24"/>
        </w:rPr>
        <w:t xml:space="preserve">that experience this increase </w:t>
      </w:r>
      <w:r w:rsidR="00970271">
        <w:rPr>
          <w:sz w:val="24"/>
          <w:szCs w:val="24"/>
        </w:rPr>
        <w:t>to their</w:t>
      </w:r>
      <w:r w:rsidR="009965EE">
        <w:rPr>
          <w:sz w:val="24"/>
          <w:szCs w:val="24"/>
        </w:rPr>
        <w:t xml:space="preserve"> labor costs will reduce their demand for labor </w:t>
      </w:r>
      <w:r w:rsidR="001B521D">
        <w:rPr>
          <w:sz w:val="24"/>
          <w:szCs w:val="24"/>
        </w:rPr>
        <w:t xml:space="preserve">just </w:t>
      </w:r>
      <w:r w:rsidR="009965EE">
        <w:rPr>
          <w:sz w:val="24"/>
          <w:szCs w:val="24"/>
        </w:rPr>
        <w:t xml:space="preserve">as </w:t>
      </w:r>
      <w:r w:rsidR="001B521D">
        <w:rPr>
          <w:sz w:val="24"/>
          <w:szCs w:val="24"/>
        </w:rPr>
        <w:t xml:space="preserve">consumers would in a regular product market. </w:t>
      </w:r>
      <w:r w:rsidR="00214592">
        <w:rPr>
          <w:sz w:val="24"/>
          <w:szCs w:val="24"/>
        </w:rPr>
        <w:t>The magnitude of th</w:t>
      </w:r>
      <w:r w:rsidR="00DB5EEF">
        <w:rPr>
          <w:sz w:val="24"/>
          <w:szCs w:val="24"/>
        </w:rPr>
        <w:t xml:space="preserve">is </w:t>
      </w:r>
      <w:r w:rsidR="00214592">
        <w:rPr>
          <w:sz w:val="24"/>
          <w:szCs w:val="24"/>
        </w:rPr>
        <w:t xml:space="preserve">effect would depend upon the slope of the </w:t>
      </w:r>
      <w:r w:rsidR="00574F88">
        <w:rPr>
          <w:sz w:val="24"/>
          <w:szCs w:val="24"/>
        </w:rPr>
        <w:t xml:space="preserve">labor </w:t>
      </w:r>
      <w:r w:rsidR="00214592">
        <w:rPr>
          <w:sz w:val="24"/>
          <w:szCs w:val="24"/>
        </w:rPr>
        <w:t>demand curve</w:t>
      </w:r>
      <w:r w:rsidR="00AD7F98">
        <w:rPr>
          <w:sz w:val="24"/>
          <w:szCs w:val="24"/>
        </w:rPr>
        <w:t xml:space="preserve">, but </w:t>
      </w:r>
      <w:r w:rsidR="00A779FD">
        <w:rPr>
          <w:sz w:val="24"/>
          <w:szCs w:val="24"/>
        </w:rPr>
        <w:t>the sign would be</w:t>
      </w:r>
      <w:r w:rsidR="00DB5EEF">
        <w:rPr>
          <w:sz w:val="24"/>
          <w:szCs w:val="24"/>
        </w:rPr>
        <w:t xml:space="preserve"> unambiguously</w:t>
      </w:r>
      <w:r w:rsidR="00A779FD">
        <w:rPr>
          <w:sz w:val="24"/>
          <w:szCs w:val="24"/>
        </w:rPr>
        <w:t xml:space="preserve"> negative. </w:t>
      </w:r>
      <w:r w:rsidR="008A3D26">
        <w:rPr>
          <w:sz w:val="24"/>
          <w:szCs w:val="24"/>
        </w:rPr>
        <w:t xml:space="preserve">Figure </w:t>
      </w:r>
      <w:r w:rsidR="00E03377">
        <w:rPr>
          <w:sz w:val="24"/>
          <w:szCs w:val="24"/>
        </w:rPr>
        <w:t>2</w:t>
      </w:r>
      <w:r w:rsidR="008A3D26">
        <w:rPr>
          <w:sz w:val="24"/>
          <w:szCs w:val="24"/>
        </w:rPr>
        <w:t xml:space="preserve"> illustrates th</w:t>
      </w:r>
      <w:r w:rsidR="00E03377">
        <w:rPr>
          <w:sz w:val="24"/>
          <w:szCs w:val="24"/>
        </w:rPr>
        <w:t>is.</w:t>
      </w:r>
      <w:r w:rsidR="006E2746">
        <w:rPr>
          <w:sz w:val="24"/>
          <w:szCs w:val="24"/>
        </w:rPr>
        <w:t xml:space="preserve"> </w:t>
      </w:r>
    </w:p>
    <w:p w14:paraId="567122C8" w14:textId="77777777" w:rsidR="00E03377" w:rsidRDefault="00EA5411" w:rsidP="00EA5411">
      <w:pPr>
        <w:spacing w:line="480" w:lineRule="auto"/>
        <w:rPr>
          <w:sz w:val="24"/>
          <w:szCs w:val="24"/>
        </w:rPr>
      </w:pPr>
      <w:r>
        <w:rPr>
          <w:noProof/>
          <w:sz w:val="24"/>
          <w:szCs w:val="24"/>
        </w:rPr>
        <w:lastRenderedPageBreak/>
        <w:drawing>
          <wp:inline distT="0" distB="0" distL="0" distR="0" wp14:anchorId="4180F4B7" wp14:editId="6138AB29">
            <wp:extent cx="5645150" cy="3773170"/>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408918" w14:textId="10422A84" w:rsidR="00E83684" w:rsidRDefault="0004748C" w:rsidP="001D2097">
      <w:pPr>
        <w:spacing w:line="480" w:lineRule="auto"/>
        <w:ind w:firstLine="580"/>
        <w:rPr>
          <w:sz w:val="24"/>
          <w:szCs w:val="24"/>
        </w:rPr>
      </w:pPr>
      <w:r>
        <w:rPr>
          <w:sz w:val="24"/>
          <w:szCs w:val="24"/>
        </w:rPr>
        <w:t xml:space="preserve">At equilibrium, the </w:t>
      </w:r>
      <w:r w:rsidR="00442BB5">
        <w:rPr>
          <w:sz w:val="24"/>
          <w:szCs w:val="24"/>
        </w:rPr>
        <w:t xml:space="preserve">wage rate is found at the intersection of the labor supply and demand curves and is denoted by point A. </w:t>
      </w:r>
      <w:r w:rsidR="00F72206">
        <w:rPr>
          <w:sz w:val="24"/>
          <w:szCs w:val="24"/>
        </w:rPr>
        <w:t xml:space="preserve">The imposition of a new minimum wage that exceeds the equilibrium wage </w:t>
      </w:r>
      <w:r w:rsidR="00213838">
        <w:rPr>
          <w:sz w:val="24"/>
          <w:szCs w:val="24"/>
        </w:rPr>
        <w:t xml:space="preserve">will therefore </w:t>
      </w:r>
      <w:r w:rsidR="000E4DFD">
        <w:rPr>
          <w:sz w:val="24"/>
          <w:szCs w:val="24"/>
        </w:rPr>
        <w:t>disrupt thi</w:t>
      </w:r>
      <w:r w:rsidR="00463885">
        <w:rPr>
          <w:sz w:val="24"/>
          <w:szCs w:val="24"/>
        </w:rPr>
        <w:t xml:space="preserve">s equilibrium and create an imbalance between quantity of labor supplied and </w:t>
      </w:r>
      <w:r w:rsidR="00FC6DAB">
        <w:rPr>
          <w:sz w:val="24"/>
          <w:szCs w:val="24"/>
        </w:rPr>
        <w:t xml:space="preserve">quantity of labor demanded. The difference between these two, (point C – point B), is the </w:t>
      </w:r>
      <w:r w:rsidR="001D2097">
        <w:rPr>
          <w:sz w:val="24"/>
          <w:szCs w:val="24"/>
        </w:rPr>
        <w:t xml:space="preserve">unemployment effect. </w:t>
      </w:r>
      <w:r w:rsidR="00A4161A">
        <w:rPr>
          <w:sz w:val="24"/>
          <w:szCs w:val="24"/>
        </w:rPr>
        <w:t>Proponents</w:t>
      </w:r>
      <w:r w:rsidR="008277BF">
        <w:rPr>
          <w:sz w:val="24"/>
          <w:szCs w:val="24"/>
        </w:rPr>
        <w:t xml:space="preserve"> of </w:t>
      </w:r>
      <w:r w:rsidR="00C07BBF">
        <w:rPr>
          <w:sz w:val="24"/>
          <w:szCs w:val="24"/>
        </w:rPr>
        <w:t xml:space="preserve">the </w:t>
      </w:r>
      <w:r w:rsidR="00DB1FE7">
        <w:rPr>
          <w:sz w:val="24"/>
          <w:szCs w:val="24"/>
        </w:rPr>
        <w:t>neoclassical</w:t>
      </w:r>
      <w:r w:rsidR="008277BF">
        <w:rPr>
          <w:sz w:val="24"/>
          <w:szCs w:val="24"/>
        </w:rPr>
        <w:t xml:space="preserve"> model </w:t>
      </w:r>
      <w:r w:rsidR="00BD4492">
        <w:rPr>
          <w:sz w:val="24"/>
          <w:szCs w:val="24"/>
        </w:rPr>
        <w:t xml:space="preserve">cite this inefficiency, and </w:t>
      </w:r>
      <w:r w:rsidR="002925C8">
        <w:rPr>
          <w:sz w:val="24"/>
          <w:szCs w:val="24"/>
        </w:rPr>
        <w:t xml:space="preserve">generally </w:t>
      </w:r>
      <w:r w:rsidR="008277BF">
        <w:rPr>
          <w:sz w:val="24"/>
          <w:szCs w:val="24"/>
        </w:rPr>
        <w:t xml:space="preserve">conclude </w:t>
      </w:r>
      <w:r w:rsidR="002925C8">
        <w:rPr>
          <w:sz w:val="24"/>
          <w:szCs w:val="24"/>
        </w:rPr>
        <w:t xml:space="preserve">that </w:t>
      </w:r>
      <w:r w:rsidR="00307819">
        <w:rPr>
          <w:sz w:val="24"/>
          <w:szCs w:val="24"/>
        </w:rPr>
        <w:t xml:space="preserve">minimum wages create a tradeoff between </w:t>
      </w:r>
      <w:r w:rsidR="00D07DBE">
        <w:rPr>
          <w:sz w:val="24"/>
          <w:szCs w:val="24"/>
        </w:rPr>
        <w:t>increased income for some and loss of employment for others</w:t>
      </w:r>
      <w:r w:rsidR="00A4161A">
        <w:rPr>
          <w:sz w:val="24"/>
          <w:szCs w:val="24"/>
        </w:rPr>
        <w:t>.</w:t>
      </w:r>
      <w:r w:rsidR="005A4CF4">
        <w:rPr>
          <w:sz w:val="24"/>
          <w:szCs w:val="24"/>
        </w:rPr>
        <w:t xml:space="preserve"> </w:t>
      </w:r>
      <w:r w:rsidR="00CC7701">
        <w:rPr>
          <w:sz w:val="24"/>
          <w:szCs w:val="24"/>
        </w:rPr>
        <w:t xml:space="preserve">The economic value of the income gain compared to the employment loss would depend on </w:t>
      </w:r>
      <w:r w:rsidR="00683348">
        <w:rPr>
          <w:sz w:val="24"/>
          <w:szCs w:val="24"/>
        </w:rPr>
        <w:t xml:space="preserve">the elasticity of labor demand. </w:t>
      </w:r>
      <w:r w:rsidR="0027176F">
        <w:rPr>
          <w:sz w:val="24"/>
          <w:szCs w:val="24"/>
        </w:rPr>
        <w:t xml:space="preserve">The more elastic </w:t>
      </w:r>
      <w:r w:rsidR="0034216A">
        <w:rPr>
          <w:sz w:val="24"/>
          <w:szCs w:val="24"/>
        </w:rPr>
        <w:t xml:space="preserve">labor </w:t>
      </w:r>
      <w:r w:rsidR="0027176F">
        <w:rPr>
          <w:sz w:val="24"/>
          <w:szCs w:val="24"/>
        </w:rPr>
        <w:t>demand is</w:t>
      </w:r>
      <w:r w:rsidR="00460AA3">
        <w:rPr>
          <w:sz w:val="24"/>
          <w:szCs w:val="24"/>
        </w:rPr>
        <w:t xml:space="preserve"> due to different substitutes like technology, the </w:t>
      </w:r>
      <w:r w:rsidR="00514075">
        <w:rPr>
          <w:sz w:val="24"/>
          <w:szCs w:val="24"/>
        </w:rPr>
        <w:t>greater the negative impact.</w:t>
      </w:r>
    </w:p>
    <w:p w14:paraId="1F4EAD2D" w14:textId="021E4699" w:rsidR="00F2326D" w:rsidRDefault="005E676F" w:rsidP="00100442">
      <w:pPr>
        <w:spacing w:line="480" w:lineRule="auto"/>
        <w:ind w:firstLine="580"/>
        <w:rPr>
          <w:sz w:val="24"/>
          <w:szCs w:val="24"/>
        </w:rPr>
      </w:pPr>
      <w:r>
        <w:rPr>
          <w:sz w:val="24"/>
          <w:szCs w:val="24"/>
        </w:rPr>
        <w:lastRenderedPageBreak/>
        <w:t xml:space="preserve">   </w:t>
      </w:r>
      <w:r w:rsidR="00CB7A73">
        <w:rPr>
          <w:sz w:val="24"/>
          <w:szCs w:val="24"/>
        </w:rPr>
        <w:t xml:space="preserve">Theoretically, </w:t>
      </w:r>
      <w:r w:rsidR="00E71B59">
        <w:rPr>
          <w:sz w:val="24"/>
          <w:szCs w:val="24"/>
        </w:rPr>
        <w:t>this imbalance in the</w:t>
      </w:r>
      <w:r w:rsidR="00CB7A73">
        <w:rPr>
          <w:sz w:val="24"/>
          <w:szCs w:val="24"/>
        </w:rPr>
        <w:t xml:space="preserve"> labor market </w:t>
      </w:r>
      <w:r w:rsidR="007A1967">
        <w:rPr>
          <w:sz w:val="24"/>
          <w:szCs w:val="24"/>
        </w:rPr>
        <w:t>could</w:t>
      </w:r>
      <w:r w:rsidR="00E71B59">
        <w:rPr>
          <w:sz w:val="24"/>
          <w:szCs w:val="24"/>
        </w:rPr>
        <w:t xml:space="preserve"> </w:t>
      </w:r>
      <w:r w:rsidR="00D1478C">
        <w:rPr>
          <w:sz w:val="24"/>
          <w:szCs w:val="24"/>
        </w:rPr>
        <w:t xml:space="preserve">be </w:t>
      </w:r>
      <w:r w:rsidR="004263F1">
        <w:rPr>
          <w:sz w:val="24"/>
          <w:szCs w:val="24"/>
        </w:rPr>
        <w:t>brought back to equilibrium by an increase in price</w:t>
      </w:r>
      <w:r w:rsidR="006B5D86">
        <w:rPr>
          <w:sz w:val="24"/>
          <w:szCs w:val="24"/>
        </w:rPr>
        <w:t>s to absorb minimum wage costs</w:t>
      </w:r>
      <w:r w:rsidR="004263F1">
        <w:rPr>
          <w:sz w:val="24"/>
          <w:szCs w:val="24"/>
        </w:rPr>
        <w:t xml:space="preserve">, but </w:t>
      </w:r>
      <w:r w:rsidR="009565D7">
        <w:rPr>
          <w:sz w:val="24"/>
          <w:szCs w:val="24"/>
        </w:rPr>
        <w:t xml:space="preserve">the </w:t>
      </w:r>
      <w:r w:rsidR="00D621F0">
        <w:rPr>
          <w:sz w:val="24"/>
          <w:szCs w:val="24"/>
        </w:rPr>
        <w:t xml:space="preserve">neoclassical theory does not provide any </w:t>
      </w:r>
      <w:r w:rsidR="009565D7">
        <w:rPr>
          <w:sz w:val="24"/>
          <w:szCs w:val="24"/>
        </w:rPr>
        <w:t>predictions of price effects</w:t>
      </w:r>
      <w:r w:rsidR="001E7793">
        <w:rPr>
          <w:sz w:val="24"/>
          <w:szCs w:val="24"/>
        </w:rPr>
        <w:t xml:space="preserve"> occurring</w:t>
      </w:r>
      <w:r w:rsidR="003B6892">
        <w:rPr>
          <w:sz w:val="24"/>
          <w:szCs w:val="24"/>
        </w:rPr>
        <w:t xml:space="preserve"> (Herr 2002)</w:t>
      </w:r>
      <w:r w:rsidR="009565D7">
        <w:rPr>
          <w:sz w:val="24"/>
          <w:szCs w:val="24"/>
        </w:rPr>
        <w:t xml:space="preserve">. This is due to two key assumptions. The first assumption is that firms </w:t>
      </w:r>
      <w:r w:rsidR="00803EEC">
        <w:rPr>
          <w:sz w:val="24"/>
          <w:szCs w:val="24"/>
        </w:rPr>
        <w:t xml:space="preserve">and employees </w:t>
      </w:r>
      <w:r w:rsidR="00476876">
        <w:rPr>
          <w:sz w:val="24"/>
          <w:szCs w:val="24"/>
        </w:rPr>
        <w:t xml:space="preserve">negotiate </w:t>
      </w:r>
      <w:r w:rsidR="00B769BB">
        <w:rPr>
          <w:sz w:val="24"/>
          <w:szCs w:val="24"/>
        </w:rPr>
        <w:t>real wages</w:t>
      </w:r>
      <w:r w:rsidR="00084A8B">
        <w:rPr>
          <w:sz w:val="24"/>
          <w:szCs w:val="24"/>
        </w:rPr>
        <w:t xml:space="preserve"> (</w:t>
      </w:r>
      <m:oMath>
        <m:f>
          <m:fPr>
            <m:type m:val="skw"/>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P</m:t>
            </m:r>
          </m:den>
        </m:f>
      </m:oMath>
      <w:r w:rsidR="00084A8B">
        <w:rPr>
          <w:rFonts w:eastAsiaTheme="minorEastAsia"/>
          <w:sz w:val="24"/>
          <w:szCs w:val="24"/>
        </w:rPr>
        <w:t>)</w:t>
      </w:r>
      <w:r w:rsidR="00DC57F1">
        <w:rPr>
          <w:sz w:val="24"/>
          <w:szCs w:val="24"/>
        </w:rPr>
        <w:t xml:space="preserve"> and that changes in </w:t>
      </w:r>
      <w:r w:rsidR="00A8334B">
        <w:rPr>
          <w:sz w:val="24"/>
          <w:szCs w:val="24"/>
        </w:rPr>
        <w:t xml:space="preserve">nominal wages </w:t>
      </w:r>
      <w:r w:rsidR="00235621">
        <w:rPr>
          <w:sz w:val="24"/>
          <w:szCs w:val="24"/>
        </w:rPr>
        <w:t>also change real wages.</w:t>
      </w:r>
      <w:r w:rsidR="00A35828">
        <w:rPr>
          <w:sz w:val="24"/>
          <w:szCs w:val="24"/>
        </w:rPr>
        <w:t xml:space="preserve"> </w:t>
      </w:r>
      <w:r w:rsidR="00602F89">
        <w:rPr>
          <w:sz w:val="24"/>
          <w:szCs w:val="24"/>
        </w:rPr>
        <w:t xml:space="preserve">This means that </w:t>
      </w:r>
      <w:r w:rsidR="004E7CFA">
        <w:rPr>
          <w:sz w:val="24"/>
          <w:szCs w:val="24"/>
        </w:rPr>
        <w:t xml:space="preserve">price does not adjust to </w:t>
      </w:r>
      <w:r w:rsidR="008F574C">
        <w:rPr>
          <w:sz w:val="24"/>
          <w:szCs w:val="24"/>
        </w:rPr>
        <w:t xml:space="preserve">minimum wage increases, which </w:t>
      </w:r>
      <w:r w:rsidR="00670B36">
        <w:rPr>
          <w:sz w:val="24"/>
          <w:szCs w:val="24"/>
        </w:rPr>
        <w:t>are set</w:t>
      </w:r>
      <w:r w:rsidR="008F574C">
        <w:rPr>
          <w:sz w:val="24"/>
          <w:szCs w:val="24"/>
        </w:rPr>
        <w:t xml:space="preserve"> in nominal dollars. </w:t>
      </w:r>
      <w:r w:rsidR="0006747D">
        <w:rPr>
          <w:sz w:val="24"/>
          <w:szCs w:val="24"/>
        </w:rPr>
        <w:t xml:space="preserve">Figure </w:t>
      </w:r>
      <w:r w:rsidR="00100442">
        <w:rPr>
          <w:sz w:val="24"/>
          <w:szCs w:val="24"/>
        </w:rPr>
        <w:t>2</w:t>
      </w:r>
      <w:r w:rsidR="0006747D">
        <w:rPr>
          <w:sz w:val="24"/>
          <w:szCs w:val="24"/>
        </w:rPr>
        <w:t xml:space="preserve"> </w:t>
      </w:r>
      <w:r w:rsidR="003168E2">
        <w:rPr>
          <w:sz w:val="24"/>
          <w:szCs w:val="24"/>
        </w:rPr>
        <w:t>illustrates</w:t>
      </w:r>
      <w:r w:rsidR="0006747D">
        <w:rPr>
          <w:sz w:val="24"/>
          <w:szCs w:val="24"/>
        </w:rPr>
        <w:t xml:space="preserve"> this</w:t>
      </w:r>
      <w:r w:rsidR="003168E2">
        <w:rPr>
          <w:sz w:val="24"/>
          <w:szCs w:val="24"/>
        </w:rPr>
        <w:t>.</w:t>
      </w:r>
    </w:p>
    <w:p w14:paraId="42CE9924" w14:textId="3A3EE1C1" w:rsidR="001E0329" w:rsidRDefault="00C21D39" w:rsidP="00100442">
      <w:pPr>
        <w:spacing w:line="480" w:lineRule="auto"/>
        <w:ind w:firstLine="580"/>
        <w:rPr>
          <w:sz w:val="24"/>
          <w:szCs w:val="24"/>
        </w:rPr>
      </w:pPr>
      <w:r>
        <w:rPr>
          <w:sz w:val="24"/>
          <w:szCs w:val="24"/>
        </w:rPr>
        <w:t xml:space="preserve">When a </w:t>
      </w:r>
      <w:r w:rsidR="00766BA6">
        <w:rPr>
          <w:sz w:val="24"/>
          <w:szCs w:val="24"/>
        </w:rPr>
        <w:t xml:space="preserve">new </w:t>
      </w:r>
      <w:r>
        <w:rPr>
          <w:sz w:val="24"/>
          <w:szCs w:val="24"/>
        </w:rPr>
        <w:t>minimum wage is introduced</w:t>
      </w:r>
      <w:r w:rsidR="00766BA6">
        <w:rPr>
          <w:sz w:val="24"/>
          <w:szCs w:val="24"/>
        </w:rPr>
        <w:t xml:space="preserve"> </w:t>
      </w:r>
      <w:r w:rsidR="00810FE9">
        <w:rPr>
          <w:sz w:val="24"/>
          <w:szCs w:val="24"/>
        </w:rPr>
        <w:t>that increases nominal wages to where</w:t>
      </w:r>
      <w:r w:rsidR="00766BA6">
        <w:rPr>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mw</m:t>
            </m:r>
          </m:sub>
        </m:sSub>
      </m:oMath>
      <w:r w:rsidR="00766BA6">
        <w:rPr>
          <w:rFonts w:eastAsiaTheme="minorEastAsia"/>
          <w:sz w:val="24"/>
          <w:szCs w:val="24"/>
        </w:rPr>
        <w:t xml:space="preserve"> &gt; </w:t>
      </w:r>
      <w:r w:rsidR="001E7E3C">
        <w:rPr>
          <w:rFonts w:eastAsiaTheme="minorEastAsia"/>
          <w:sz w:val="24"/>
          <w:szCs w:val="24"/>
        </w:rPr>
        <w:t xml:space="preserve">W, the </w:t>
      </w:r>
      <w:r w:rsidR="00415AD3">
        <w:rPr>
          <w:rFonts w:eastAsiaTheme="minorEastAsia"/>
          <w:sz w:val="24"/>
          <w:szCs w:val="24"/>
        </w:rPr>
        <w:t>real wage</w:t>
      </w:r>
      <w:r w:rsidR="003B5EDE">
        <w:rPr>
          <w:rFonts w:eastAsiaTheme="minorEastAsia"/>
          <w:sz w:val="24"/>
          <w:szCs w:val="24"/>
        </w:rPr>
        <w:t>, which</w:t>
      </w:r>
      <w:r w:rsidR="00415AD3">
        <w:rPr>
          <w:rFonts w:eastAsiaTheme="minorEastAsia"/>
          <w:sz w:val="24"/>
          <w:szCs w:val="24"/>
        </w:rPr>
        <w:t xml:space="preserve"> remains denominated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r w:rsidR="003B5EDE">
        <w:rPr>
          <w:rFonts w:eastAsiaTheme="minorEastAsia"/>
          <w:sz w:val="24"/>
          <w:szCs w:val="24"/>
        </w:rPr>
        <w:t>,</w:t>
      </w:r>
      <w:r w:rsidR="00415AD3">
        <w:rPr>
          <w:rFonts w:eastAsiaTheme="minorEastAsia"/>
          <w:sz w:val="24"/>
          <w:szCs w:val="24"/>
        </w:rPr>
        <w:t xml:space="preserve"> </w:t>
      </w:r>
      <w:r w:rsidR="001E7E3C">
        <w:rPr>
          <w:rFonts w:eastAsiaTheme="minorEastAsia"/>
          <w:sz w:val="24"/>
          <w:szCs w:val="24"/>
        </w:rPr>
        <w:t xml:space="preserve">increases </w:t>
      </w:r>
      <w:r w:rsidR="00366253">
        <w:rPr>
          <w:rFonts w:eastAsiaTheme="minorEastAsia"/>
          <w:sz w:val="24"/>
          <w:szCs w:val="24"/>
        </w:rPr>
        <w:t xml:space="preserve">and </w:t>
      </w:r>
      <w:r w:rsidR="00B63739">
        <w:rPr>
          <w:rFonts w:eastAsiaTheme="minorEastAsia"/>
          <w:sz w:val="24"/>
          <w:szCs w:val="24"/>
        </w:rPr>
        <w:t>results in</w:t>
      </w:r>
      <w:r w:rsidR="00366253">
        <w:rPr>
          <w:rFonts w:eastAsiaTheme="minorEastAsia"/>
          <w:sz w:val="24"/>
          <w:szCs w:val="24"/>
        </w:rPr>
        <w:t xml:space="preserve"> </w:t>
      </w:r>
      <w:r w:rsidR="00B63739">
        <w:rPr>
          <w:rFonts w:eastAsiaTheme="minorEastAsia"/>
          <w:sz w:val="24"/>
          <w:szCs w:val="24"/>
        </w:rPr>
        <w:t>point B</w:t>
      </w:r>
      <w:r w:rsidR="00366253">
        <w:rPr>
          <w:rFonts w:eastAsiaTheme="minorEastAsia"/>
          <w:sz w:val="24"/>
          <w:szCs w:val="24"/>
        </w:rPr>
        <w:t xml:space="preserve">. </w:t>
      </w:r>
      <w:r w:rsidR="00752FBD">
        <w:rPr>
          <w:rFonts w:eastAsiaTheme="minorEastAsia"/>
          <w:sz w:val="24"/>
          <w:szCs w:val="24"/>
        </w:rPr>
        <w:t xml:space="preserve">Should </w:t>
      </w:r>
      <w:r w:rsidR="00A22D7E">
        <w:rPr>
          <w:rFonts w:eastAsiaTheme="minorEastAsia"/>
          <w:sz w:val="24"/>
          <w:szCs w:val="24"/>
        </w:rPr>
        <w:t>price increase from</w:t>
      </w:r>
      <w:r w:rsidR="00D41B05">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r w:rsidR="00D41B05">
        <w:rPr>
          <w:rFonts w:eastAsiaTheme="minorEastAsia"/>
          <w:sz w:val="24"/>
          <w:szCs w:val="24"/>
        </w:rPr>
        <w:t xml:space="preserve"> to </w:t>
      </w:r>
      <w:r w:rsidR="00A22D7E">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00A22D7E">
        <w:rPr>
          <w:rFonts w:eastAsiaTheme="minorEastAsia"/>
          <w:sz w:val="24"/>
          <w:szCs w:val="24"/>
        </w:rPr>
        <w:t xml:space="preserve">, then the real wage would be brought back to its original </w:t>
      </w:r>
      <w:r w:rsidR="009F2B7F">
        <w:rPr>
          <w:rFonts w:eastAsiaTheme="minorEastAsia"/>
          <w:sz w:val="24"/>
          <w:szCs w:val="24"/>
        </w:rPr>
        <w:t>position</w:t>
      </w:r>
      <w:r w:rsidR="00B63739">
        <w:rPr>
          <w:rFonts w:eastAsiaTheme="minorEastAsia"/>
          <w:sz w:val="24"/>
          <w:szCs w:val="24"/>
        </w:rPr>
        <w:t>, point A</w:t>
      </w:r>
      <w:r w:rsidR="009F2B7F">
        <w:rPr>
          <w:rFonts w:eastAsiaTheme="minorEastAsia"/>
          <w:sz w:val="24"/>
          <w:szCs w:val="24"/>
        </w:rPr>
        <w:t xml:space="preserve">. </w:t>
      </w:r>
      <w:r w:rsidR="00F72BC6">
        <w:rPr>
          <w:sz w:val="24"/>
          <w:szCs w:val="24"/>
        </w:rPr>
        <w:t>However, t</w:t>
      </w:r>
      <w:r w:rsidR="004B6D92">
        <w:rPr>
          <w:sz w:val="24"/>
          <w:szCs w:val="24"/>
        </w:rPr>
        <w:t xml:space="preserve">he second assumption is that </w:t>
      </w:r>
      <w:r w:rsidR="006913DD">
        <w:rPr>
          <w:sz w:val="24"/>
          <w:szCs w:val="24"/>
        </w:rPr>
        <w:t xml:space="preserve">the money sphere is </w:t>
      </w:r>
      <w:r w:rsidR="004921E4">
        <w:rPr>
          <w:sz w:val="24"/>
          <w:szCs w:val="24"/>
        </w:rPr>
        <w:t>separate from the wider economy and</w:t>
      </w:r>
      <w:r w:rsidR="00224192">
        <w:rPr>
          <w:sz w:val="24"/>
          <w:szCs w:val="24"/>
        </w:rPr>
        <w:t xml:space="preserve"> </w:t>
      </w:r>
      <w:r w:rsidR="004921E4">
        <w:rPr>
          <w:sz w:val="24"/>
          <w:szCs w:val="24"/>
        </w:rPr>
        <w:t>exogenously determined by the central bank</w:t>
      </w:r>
      <w:r w:rsidR="00232057">
        <w:rPr>
          <w:sz w:val="24"/>
          <w:szCs w:val="24"/>
        </w:rPr>
        <w:t xml:space="preserve">, </w:t>
      </w:r>
      <w:r w:rsidR="00F72BC6">
        <w:rPr>
          <w:sz w:val="24"/>
          <w:szCs w:val="24"/>
        </w:rPr>
        <w:t xml:space="preserve">and therefore </w:t>
      </w:r>
      <w:r w:rsidR="007B35DF">
        <w:rPr>
          <w:sz w:val="24"/>
          <w:szCs w:val="24"/>
        </w:rPr>
        <w:t xml:space="preserve">price level cannot be influenced by labor market outcomes. Only the </w:t>
      </w:r>
      <w:r w:rsidR="007E1B2D">
        <w:rPr>
          <w:sz w:val="24"/>
          <w:szCs w:val="24"/>
        </w:rPr>
        <w:t xml:space="preserve">central bank can </w:t>
      </w:r>
      <w:r w:rsidR="00EB00F1">
        <w:rPr>
          <w:sz w:val="24"/>
          <w:szCs w:val="24"/>
        </w:rPr>
        <w:t xml:space="preserve">control </w:t>
      </w:r>
      <w:r w:rsidR="00CE3BFD">
        <w:rPr>
          <w:sz w:val="24"/>
          <w:szCs w:val="24"/>
        </w:rPr>
        <w:t>the price level in the economy by expanding or contracting the money supply</w:t>
      </w:r>
      <w:r w:rsidR="00EB1756">
        <w:rPr>
          <w:sz w:val="24"/>
          <w:szCs w:val="24"/>
        </w:rPr>
        <w:t xml:space="preserve">, so </w:t>
      </w:r>
      <w:r w:rsidR="005C08AC">
        <w:rPr>
          <w:sz w:val="24"/>
          <w:szCs w:val="24"/>
        </w:rPr>
        <w:t xml:space="preserve">absent any accompanying monetary policy, </w:t>
      </w:r>
      <w:r w:rsidR="0021345B">
        <w:rPr>
          <w:sz w:val="24"/>
          <w:szCs w:val="24"/>
        </w:rPr>
        <w:t>an increase in the minimum wage</w:t>
      </w:r>
      <w:r w:rsidR="00150F36">
        <w:rPr>
          <w:sz w:val="24"/>
          <w:szCs w:val="24"/>
        </w:rPr>
        <w:t xml:space="preserve"> has no counteracting price effects and</w:t>
      </w:r>
      <w:r w:rsidR="0021345B">
        <w:rPr>
          <w:sz w:val="24"/>
          <w:szCs w:val="24"/>
        </w:rPr>
        <w:t xml:space="preserve"> is fully </w:t>
      </w:r>
      <w:r w:rsidR="00150F36">
        <w:rPr>
          <w:sz w:val="24"/>
          <w:szCs w:val="24"/>
        </w:rPr>
        <w:t>absorbed through employment loss</w:t>
      </w:r>
      <w:r w:rsidR="00914FBE">
        <w:rPr>
          <w:sz w:val="24"/>
          <w:szCs w:val="24"/>
        </w:rPr>
        <w:t>es</w:t>
      </w:r>
      <w:r w:rsidR="00CE3BFD">
        <w:rPr>
          <w:sz w:val="24"/>
          <w:szCs w:val="24"/>
        </w:rPr>
        <w:t>.</w:t>
      </w:r>
      <w:r w:rsidR="008D3193">
        <w:rPr>
          <w:sz w:val="24"/>
          <w:szCs w:val="24"/>
        </w:rPr>
        <w:t xml:space="preserve"> </w:t>
      </w:r>
    </w:p>
    <w:p w14:paraId="3627B9EF" w14:textId="58CB6A0C" w:rsidR="007D24DA" w:rsidRDefault="00E808B8" w:rsidP="001D61A4">
      <w:pPr>
        <w:spacing w:line="480" w:lineRule="auto"/>
        <w:ind w:firstLine="580"/>
        <w:rPr>
          <w:sz w:val="24"/>
          <w:szCs w:val="24"/>
        </w:rPr>
      </w:pPr>
      <w:r>
        <w:rPr>
          <w:sz w:val="24"/>
          <w:szCs w:val="24"/>
        </w:rPr>
        <w:t xml:space="preserve"> </w:t>
      </w:r>
      <w:r w:rsidR="00806E99">
        <w:rPr>
          <w:sz w:val="24"/>
          <w:szCs w:val="24"/>
        </w:rPr>
        <w:t xml:space="preserve">One caveat to the neoclassical model is the case of </w:t>
      </w:r>
      <w:r w:rsidR="000C6BF7">
        <w:rPr>
          <w:sz w:val="24"/>
          <w:szCs w:val="24"/>
        </w:rPr>
        <w:t xml:space="preserve">monopsonistic competition, </w:t>
      </w:r>
      <w:r w:rsidR="0051542A">
        <w:rPr>
          <w:sz w:val="24"/>
          <w:szCs w:val="24"/>
        </w:rPr>
        <w:t>under which conditions</w:t>
      </w:r>
      <w:r w:rsidR="000C6BF7">
        <w:rPr>
          <w:sz w:val="24"/>
          <w:szCs w:val="24"/>
        </w:rPr>
        <w:t xml:space="preserve"> Stigler (1946) first identified </w:t>
      </w:r>
      <w:r w:rsidR="0051542A">
        <w:rPr>
          <w:sz w:val="24"/>
          <w:szCs w:val="24"/>
        </w:rPr>
        <w:t>the possibility of minimum wages actually increasing employment. The standard mono</w:t>
      </w:r>
      <w:r w:rsidR="00F145F2">
        <w:rPr>
          <w:sz w:val="24"/>
          <w:szCs w:val="24"/>
        </w:rPr>
        <w:t xml:space="preserve">psony </w:t>
      </w:r>
      <w:r w:rsidR="00CE73E9">
        <w:rPr>
          <w:sz w:val="24"/>
          <w:szCs w:val="24"/>
        </w:rPr>
        <w:t xml:space="preserve">model </w:t>
      </w:r>
      <w:r w:rsidR="00353A6B">
        <w:rPr>
          <w:sz w:val="24"/>
          <w:szCs w:val="24"/>
        </w:rPr>
        <w:t xml:space="preserve">presents a firm that takes its output prices as given but </w:t>
      </w:r>
      <w:r w:rsidR="00B941B3">
        <w:rPr>
          <w:sz w:val="24"/>
          <w:szCs w:val="24"/>
        </w:rPr>
        <w:t>h</w:t>
      </w:r>
      <w:r w:rsidR="0069179B">
        <w:rPr>
          <w:sz w:val="24"/>
          <w:szCs w:val="24"/>
        </w:rPr>
        <w:t xml:space="preserve">as </w:t>
      </w:r>
      <w:r w:rsidR="00B941B3">
        <w:rPr>
          <w:sz w:val="24"/>
          <w:szCs w:val="24"/>
        </w:rPr>
        <w:t xml:space="preserve">market power </w:t>
      </w:r>
      <w:r w:rsidR="0069179B">
        <w:rPr>
          <w:sz w:val="24"/>
          <w:szCs w:val="24"/>
        </w:rPr>
        <w:t xml:space="preserve">over its labor inputs </w:t>
      </w:r>
      <w:r w:rsidR="00B941B3">
        <w:rPr>
          <w:sz w:val="24"/>
          <w:szCs w:val="24"/>
        </w:rPr>
        <w:t>due to there</w:t>
      </w:r>
      <w:r w:rsidR="0069179B">
        <w:rPr>
          <w:sz w:val="24"/>
          <w:szCs w:val="24"/>
        </w:rPr>
        <w:t xml:space="preserve"> being no competing employers.</w:t>
      </w:r>
      <w:r w:rsidR="00784F52">
        <w:rPr>
          <w:sz w:val="24"/>
          <w:szCs w:val="24"/>
        </w:rPr>
        <w:t xml:space="preserve"> </w:t>
      </w:r>
      <w:r w:rsidR="004B53DB">
        <w:rPr>
          <w:sz w:val="24"/>
          <w:szCs w:val="24"/>
        </w:rPr>
        <w:t xml:space="preserve">As a monopolist would decrease output to </w:t>
      </w:r>
      <w:r w:rsidR="008405A5">
        <w:rPr>
          <w:sz w:val="24"/>
          <w:szCs w:val="24"/>
        </w:rPr>
        <w:t xml:space="preserve">exercise markup pricing, </w:t>
      </w:r>
      <w:r w:rsidR="003A30FE">
        <w:rPr>
          <w:sz w:val="24"/>
          <w:szCs w:val="24"/>
        </w:rPr>
        <w:t xml:space="preserve">a </w:t>
      </w:r>
      <w:r w:rsidR="003A30FE">
        <w:rPr>
          <w:sz w:val="24"/>
          <w:szCs w:val="24"/>
        </w:rPr>
        <w:lastRenderedPageBreak/>
        <w:t>monopsonist would suppress employment to</w:t>
      </w:r>
      <w:r w:rsidR="0080504B">
        <w:rPr>
          <w:sz w:val="24"/>
          <w:szCs w:val="24"/>
        </w:rPr>
        <w:t xml:space="preserve"> </w:t>
      </w:r>
      <w:r w:rsidR="00841CB2">
        <w:rPr>
          <w:sz w:val="24"/>
          <w:szCs w:val="24"/>
        </w:rPr>
        <w:t>push</w:t>
      </w:r>
      <w:r w:rsidR="0080504B">
        <w:rPr>
          <w:sz w:val="24"/>
          <w:szCs w:val="24"/>
        </w:rPr>
        <w:t xml:space="preserve"> wages below the marginal product of labor.</w:t>
      </w:r>
      <w:r w:rsidR="000D06AE">
        <w:rPr>
          <w:sz w:val="24"/>
          <w:szCs w:val="24"/>
        </w:rPr>
        <w:t xml:space="preserve"> </w:t>
      </w:r>
      <w:r w:rsidR="00BE786B">
        <w:rPr>
          <w:sz w:val="24"/>
          <w:szCs w:val="24"/>
        </w:rPr>
        <w:t xml:space="preserve">In both of these situations </w:t>
      </w:r>
      <w:r w:rsidR="00F96B0A">
        <w:rPr>
          <w:sz w:val="24"/>
          <w:szCs w:val="24"/>
        </w:rPr>
        <w:t xml:space="preserve">the market price would be </w:t>
      </w:r>
      <w:r w:rsidR="00083E97">
        <w:rPr>
          <w:sz w:val="24"/>
          <w:szCs w:val="24"/>
        </w:rPr>
        <w:t>shifted away from the equilibrium level</w:t>
      </w:r>
      <w:r w:rsidR="00A54568">
        <w:rPr>
          <w:sz w:val="24"/>
          <w:szCs w:val="24"/>
        </w:rPr>
        <w:t xml:space="preserve"> </w:t>
      </w:r>
      <w:r w:rsidR="00083E97">
        <w:rPr>
          <w:sz w:val="24"/>
          <w:szCs w:val="24"/>
        </w:rPr>
        <w:t xml:space="preserve">and </w:t>
      </w:r>
      <w:r w:rsidR="00B47977">
        <w:rPr>
          <w:sz w:val="24"/>
          <w:szCs w:val="24"/>
        </w:rPr>
        <w:t xml:space="preserve">therefore </w:t>
      </w:r>
      <w:r w:rsidR="00083E97">
        <w:rPr>
          <w:sz w:val="24"/>
          <w:szCs w:val="24"/>
        </w:rPr>
        <w:t xml:space="preserve">cause </w:t>
      </w:r>
      <w:r w:rsidR="00FE4880">
        <w:rPr>
          <w:sz w:val="24"/>
          <w:szCs w:val="24"/>
        </w:rPr>
        <w:t>a loss of social welfare.</w:t>
      </w:r>
      <w:r w:rsidR="00391319">
        <w:rPr>
          <w:sz w:val="24"/>
          <w:szCs w:val="24"/>
        </w:rPr>
        <w:t xml:space="preserve"> </w:t>
      </w:r>
      <w:r w:rsidR="008D6F69">
        <w:rPr>
          <w:sz w:val="24"/>
          <w:szCs w:val="24"/>
        </w:rPr>
        <w:t>A</w:t>
      </w:r>
      <w:r w:rsidR="000D2783">
        <w:rPr>
          <w:sz w:val="24"/>
          <w:szCs w:val="24"/>
        </w:rPr>
        <w:t xml:space="preserve"> m</w:t>
      </w:r>
      <w:r w:rsidR="00B47977">
        <w:rPr>
          <w:sz w:val="24"/>
          <w:szCs w:val="24"/>
        </w:rPr>
        <w:t>onopson</w:t>
      </w:r>
      <w:r w:rsidR="00A567B6">
        <w:rPr>
          <w:sz w:val="24"/>
          <w:szCs w:val="24"/>
        </w:rPr>
        <w:t>y scenario</w:t>
      </w:r>
      <w:r w:rsidR="00B47977">
        <w:rPr>
          <w:sz w:val="24"/>
          <w:szCs w:val="24"/>
        </w:rPr>
        <w:t xml:space="preserve"> </w:t>
      </w:r>
      <w:r w:rsidR="00856793">
        <w:rPr>
          <w:sz w:val="24"/>
          <w:szCs w:val="24"/>
        </w:rPr>
        <w:t xml:space="preserve">can arise </w:t>
      </w:r>
      <w:r w:rsidR="00784A48">
        <w:rPr>
          <w:sz w:val="24"/>
          <w:szCs w:val="24"/>
        </w:rPr>
        <w:t xml:space="preserve">when </w:t>
      </w:r>
      <w:r w:rsidR="008136A2">
        <w:rPr>
          <w:sz w:val="24"/>
          <w:szCs w:val="24"/>
        </w:rPr>
        <w:t xml:space="preserve">limited </w:t>
      </w:r>
      <w:r w:rsidR="00B37C9E">
        <w:rPr>
          <w:sz w:val="24"/>
          <w:szCs w:val="24"/>
        </w:rPr>
        <w:t xml:space="preserve">choice </w:t>
      </w:r>
      <w:r w:rsidR="00B3471E">
        <w:rPr>
          <w:sz w:val="24"/>
          <w:szCs w:val="24"/>
        </w:rPr>
        <w:t>in</w:t>
      </w:r>
      <w:r w:rsidR="00B37C9E">
        <w:rPr>
          <w:sz w:val="24"/>
          <w:szCs w:val="24"/>
        </w:rPr>
        <w:t xml:space="preserve"> </w:t>
      </w:r>
      <w:r w:rsidR="00B3471E">
        <w:rPr>
          <w:sz w:val="24"/>
          <w:szCs w:val="24"/>
        </w:rPr>
        <w:t>labor demanding firms</w:t>
      </w:r>
      <w:r w:rsidR="00B37C9E">
        <w:rPr>
          <w:sz w:val="24"/>
          <w:szCs w:val="24"/>
        </w:rPr>
        <w:t xml:space="preserve"> is</w:t>
      </w:r>
      <w:r w:rsidR="006C7E9B">
        <w:rPr>
          <w:sz w:val="24"/>
          <w:szCs w:val="24"/>
        </w:rPr>
        <w:t xml:space="preserve"> paired with</w:t>
      </w:r>
      <w:r w:rsidR="002C5C85">
        <w:rPr>
          <w:sz w:val="24"/>
          <w:szCs w:val="24"/>
        </w:rPr>
        <w:t xml:space="preserve"> </w:t>
      </w:r>
      <w:r w:rsidR="00B7629C">
        <w:rPr>
          <w:sz w:val="24"/>
          <w:szCs w:val="24"/>
        </w:rPr>
        <w:t xml:space="preserve">significant </w:t>
      </w:r>
      <w:r w:rsidR="006F0067">
        <w:rPr>
          <w:sz w:val="24"/>
          <w:szCs w:val="24"/>
        </w:rPr>
        <w:t>search costs,</w:t>
      </w:r>
      <w:r w:rsidR="006C7E9B">
        <w:rPr>
          <w:sz w:val="24"/>
          <w:szCs w:val="24"/>
        </w:rPr>
        <w:t xml:space="preserve"> </w:t>
      </w:r>
      <w:r w:rsidR="006F0067">
        <w:rPr>
          <w:sz w:val="24"/>
          <w:szCs w:val="24"/>
        </w:rPr>
        <w:t xml:space="preserve">travel </w:t>
      </w:r>
      <w:r w:rsidR="00BD3213">
        <w:rPr>
          <w:sz w:val="24"/>
          <w:szCs w:val="24"/>
        </w:rPr>
        <w:t>barriers</w:t>
      </w:r>
      <w:r w:rsidR="006C7E9B">
        <w:rPr>
          <w:sz w:val="24"/>
          <w:szCs w:val="24"/>
        </w:rPr>
        <w:t xml:space="preserve">, or any other </w:t>
      </w:r>
      <w:r w:rsidR="00C578F4">
        <w:rPr>
          <w:sz w:val="24"/>
          <w:szCs w:val="24"/>
        </w:rPr>
        <w:t>frictions in</w:t>
      </w:r>
      <w:r w:rsidR="006C7E9B">
        <w:rPr>
          <w:sz w:val="24"/>
          <w:szCs w:val="24"/>
        </w:rPr>
        <w:t xml:space="preserve"> </w:t>
      </w:r>
      <w:r w:rsidR="00010C51">
        <w:rPr>
          <w:sz w:val="24"/>
          <w:szCs w:val="24"/>
        </w:rPr>
        <w:t xml:space="preserve">finding </w:t>
      </w:r>
      <w:r w:rsidR="00003683">
        <w:rPr>
          <w:sz w:val="24"/>
          <w:szCs w:val="24"/>
        </w:rPr>
        <w:t>alternative employment</w:t>
      </w:r>
      <w:r w:rsidR="006F0067">
        <w:rPr>
          <w:sz w:val="24"/>
          <w:szCs w:val="24"/>
        </w:rPr>
        <w:t>.</w:t>
      </w:r>
      <w:r w:rsidR="00185433">
        <w:rPr>
          <w:sz w:val="24"/>
          <w:szCs w:val="24"/>
        </w:rPr>
        <w:t xml:space="preserve"> The most common example </w:t>
      </w:r>
      <w:r w:rsidR="00A61CAB">
        <w:rPr>
          <w:sz w:val="24"/>
          <w:szCs w:val="24"/>
        </w:rPr>
        <w:t>of this is coal mining towns, where the entire local economy revolves around a single dominant firm</w:t>
      </w:r>
      <w:r w:rsidR="00356020">
        <w:rPr>
          <w:sz w:val="24"/>
          <w:szCs w:val="24"/>
        </w:rPr>
        <w:t xml:space="preserve"> that</w:t>
      </w:r>
      <w:r w:rsidR="00ED0E6D">
        <w:rPr>
          <w:sz w:val="24"/>
          <w:szCs w:val="24"/>
        </w:rPr>
        <w:t xml:space="preserve"> therefore has significant wage setting capacit</w:t>
      </w:r>
      <w:r w:rsidR="00FB047A">
        <w:rPr>
          <w:sz w:val="24"/>
          <w:szCs w:val="24"/>
        </w:rPr>
        <w:t>y</w:t>
      </w:r>
      <w:r w:rsidR="00152860">
        <w:rPr>
          <w:sz w:val="24"/>
          <w:szCs w:val="24"/>
        </w:rPr>
        <w:t xml:space="preserve"> (Ashenfelter et al</w:t>
      </w:r>
      <w:r w:rsidR="00327E84">
        <w:rPr>
          <w:sz w:val="24"/>
          <w:szCs w:val="24"/>
        </w:rPr>
        <w:t xml:space="preserve"> 2010)</w:t>
      </w:r>
      <w:r w:rsidR="00A61CAB">
        <w:rPr>
          <w:sz w:val="24"/>
          <w:szCs w:val="24"/>
        </w:rPr>
        <w:t>.</w:t>
      </w:r>
      <w:r w:rsidR="00BC243E">
        <w:rPr>
          <w:sz w:val="24"/>
          <w:szCs w:val="24"/>
        </w:rPr>
        <w:t xml:space="preserve"> </w:t>
      </w:r>
      <w:r w:rsidR="00050A40">
        <w:rPr>
          <w:sz w:val="24"/>
          <w:szCs w:val="24"/>
        </w:rPr>
        <w:t xml:space="preserve">Figure </w:t>
      </w:r>
      <w:r w:rsidR="009A57A6">
        <w:rPr>
          <w:sz w:val="24"/>
          <w:szCs w:val="24"/>
        </w:rPr>
        <w:t>3</w:t>
      </w:r>
      <w:r w:rsidR="00050A40">
        <w:rPr>
          <w:sz w:val="24"/>
          <w:szCs w:val="24"/>
        </w:rPr>
        <w:t xml:space="preserve"> shows the </w:t>
      </w:r>
      <w:r w:rsidR="00FC50A7">
        <w:rPr>
          <w:sz w:val="24"/>
          <w:szCs w:val="24"/>
        </w:rPr>
        <w:t>effects of introducing a minimum wage to a monopsonist environment.</w:t>
      </w:r>
    </w:p>
    <w:p w14:paraId="28AF0E0F" w14:textId="754E716A" w:rsidR="00FC50A7" w:rsidRDefault="00BC5714" w:rsidP="00970003">
      <w:pPr>
        <w:spacing w:line="480" w:lineRule="auto"/>
        <w:rPr>
          <w:sz w:val="24"/>
          <w:szCs w:val="24"/>
        </w:rPr>
      </w:pPr>
      <w:r>
        <w:rPr>
          <w:noProof/>
          <w:sz w:val="24"/>
          <w:szCs w:val="24"/>
        </w:rPr>
        <w:drawing>
          <wp:inline distT="0" distB="0" distL="0" distR="0" wp14:anchorId="5D61E4EB" wp14:editId="0F04FA1B">
            <wp:extent cx="5543550" cy="37147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547CC5" w14:textId="1E0C88F8" w:rsidR="00784F52" w:rsidRDefault="00970003" w:rsidP="000B7059">
      <w:pPr>
        <w:spacing w:line="480" w:lineRule="auto"/>
        <w:ind w:firstLine="580"/>
        <w:rPr>
          <w:sz w:val="24"/>
          <w:szCs w:val="24"/>
        </w:rPr>
      </w:pPr>
      <w:r>
        <w:rPr>
          <w:sz w:val="24"/>
          <w:szCs w:val="24"/>
        </w:rPr>
        <w:t>As illustrated,</w:t>
      </w:r>
      <w:r w:rsidR="00526110">
        <w:rPr>
          <w:sz w:val="24"/>
          <w:szCs w:val="24"/>
        </w:rPr>
        <w:t xml:space="preserve"> a monopsonistic </w:t>
      </w:r>
      <w:r w:rsidR="00FF6BED">
        <w:rPr>
          <w:sz w:val="24"/>
          <w:szCs w:val="24"/>
        </w:rPr>
        <w:t xml:space="preserve">employer exercises its market power by </w:t>
      </w:r>
      <w:r w:rsidR="00473519">
        <w:rPr>
          <w:sz w:val="24"/>
          <w:szCs w:val="24"/>
        </w:rPr>
        <w:t xml:space="preserve">employing a quantity of workers such that marginal cost </w:t>
      </w:r>
      <w:r w:rsidR="000B0CA8">
        <w:rPr>
          <w:sz w:val="24"/>
          <w:szCs w:val="24"/>
        </w:rPr>
        <w:t>equals</w:t>
      </w:r>
      <w:r w:rsidR="00473519">
        <w:rPr>
          <w:sz w:val="24"/>
          <w:szCs w:val="24"/>
        </w:rPr>
        <w:t xml:space="preserve"> labor demand, and then </w:t>
      </w:r>
      <w:r w:rsidR="00934118">
        <w:rPr>
          <w:sz w:val="24"/>
          <w:szCs w:val="24"/>
        </w:rPr>
        <w:t xml:space="preserve">offering </w:t>
      </w:r>
      <w:r w:rsidR="00372143">
        <w:rPr>
          <w:sz w:val="24"/>
          <w:szCs w:val="24"/>
        </w:rPr>
        <w:t>t</w:t>
      </w:r>
      <w:r w:rsidR="00B17803">
        <w:rPr>
          <w:sz w:val="24"/>
          <w:szCs w:val="24"/>
        </w:rPr>
        <w:t>he</w:t>
      </w:r>
      <w:r w:rsidR="00934118">
        <w:rPr>
          <w:sz w:val="24"/>
          <w:szCs w:val="24"/>
        </w:rPr>
        <w:t xml:space="preserve"> </w:t>
      </w:r>
      <w:r w:rsidR="00934118">
        <w:rPr>
          <w:sz w:val="24"/>
          <w:szCs w:val="24"/>
        </w:rPr>
        <w:lastRenderedPageBreak/>
        <w:t xml:space="preserve">marked down wage </w:t>
      </w:r>
      <w:r w:rsidR="00AC091D">
        <w:rPr>
          <w:sz w:val="24"/>
          <w:szCs w:val="24"/>
        </w:rPr>
        <w:t>provided by the supply curve.</w:t>
      </w:r>
      <w:r w:rsidR="000B0CA8">
        <w:rPr>
          <w:sz w:val="24"/>
          <w:szCs w:val="24"/>
        </w:rPr>
        <w:t xml:space="preserve"> The difference between </w:t>
      </w:r>
      <w:r w:rsidR="00976FF3">
        <w:rPr>
          <w:sz w:val="24"/>
          <w:szCs w:val="24"/>
        </w:rPr>
        <w:t>these two (</w:t>
      </w:r>
      <w:r w:rsidR="000B0CA8">
        <w:rPr>
          <w:sz w:val="24"/>
          <w:szCs w:val="24"/>
        </w:rPr>
        <w:t>poi</w:t>
      </w:r>
      <w:r w:rsidR="00976FF3">
        <w:rPr>
          <w:sz w:val="24"/>
          <w:szCs w:val="24"/>
        </w:rPr>
        <w:t xml:space="preserve">nt B - point A) is the size of the mark down. </w:t>
      </w:r>
      <w:r w:rsidR="000A29C9">
        <w:rPr>
          <w:sz w:val="24"/>
          <w:szCs w:val="24"/>
        </w:rPr>
        <w:t>When a new minimum wage is introduced</w:t>
      </w:r>
      <w:r w:rsidR="000F2E81">
        <w:rPr>
          <w:sz w:val="24"/>
          <w:szCs w:val="24"/>
        </w:rPr>
        <w:t xml:space="preserve">, </w:t>
      </w:r>
      <w:r w:rsidR="00827838">
        <w:rPr>
          <w:sz w:val="24"/>
          <w:szCs w:val="24"/>
        </w:rPr>
        <w:t xml:space="preserve">the </w:t>
      </w:r>
      <w:r w:rsidR="00F7556E">
        <w:rPr>
          <w:sz w:val="24"/>
          <w:szCs w:val="24"/>
        </w:rPr>
        <w:t xml:space="preserve">marginal cost curve is replaced with the minimum wage </w:t>
      </w:r>
      <w:r w:rsidR="004A6399">
        <w:rPr>
          <w:sz w:val="24"/>
          <w:szCs w:val="24"/>
        </w:rPr>
        <w:t xml:space="preserve">line </w:t>
      </w:r>
      <w:r w:rsidR="00F7556E">
        <w:rPr>
          <w:sz w:val="24"/>
          <w:szCs w:val="24"/>
        </w:rPr>
        <w:t>as the monopsonist can no longer lega</w:t>
      </w:r>
      <w:r w:rsidR="00DA6564">
        <w:rPr>
          <w:sz w:val="24"/>
          <w:szCs w:val="24"/>
        </w:rPr>
        <w:t>lly pay</w:t>
      </w:r>
      <w:r w:rsidR="006B78DC">
        <w:rPr>
          <w:sz w:val="24"/>
          <w:szCs w:val="24"/>
        </w:rPr>
        <w:t xml:space="preserve"> a </w:t>
      </w:r>
      <w:r w:rsidR="00DA6564">
        <w:rPr>
          <w:sz w:val="24"/>
          <w:szCs w:val="24"/>
        </w:rPr>
        <w:t>wage</w:t>
      </w:r>
      <w:r w:rsidR="004A6399">
        <w:rPr>
          <w:sz w:val="24"/>
          <w:szCs w:val="24"/>
        </w:rPr>
        <w:t xml:space="preserve"> </w:t>
      </w:r>
      <w:r w:rsidR="006B78DC">
        <w:rPr>
          <w:sz w:val="24"/>
          <w:szCs w:val="24"/>
        </w:rPr>
        <w:t xml:space="preserve">lower than </w:t>
      </w:r>
      <w:r w:rsidR="004A6399">
        <w:rPr>
          <w:sz w:val="24"/>
          <w:szCs w:val="24"/>
        </w:rPr>
        <w:t>that floor</w:t>
      </w:r>
      <w:r w:rsidR="00DA6564">
        <w:rPr>
          <w:sz w:val="24"/>
          <w:szCs w:val="24"/>
        </w:rPr>
        <w:t xml:space="preserve">. </w:t>
      </w:r>
      <w:r w:rsidR="00324877">
        <w:rPr>
          <w:sz w:val="24"/>
          <w:szCs w:val="24"/>
        </w:rPr>
        <w:t>The monopsoni</w:t>
      </w:r>
      <w:r w:rsidR="008157A1">
        <w:rPr>
          <w:sz w:val="24"/>
          <w:szCs w:val="24"/>
        </w:rPr>
        <w:t xml:space="preserve">st would then </w:t>
      </w:r>
      <w:r w:rsidR="008C571F">
        <w:rPr>
          <w:sz w:val="24"/>
          <w:szCs w:val="24"/>
        </w:rPr>
        <w:t>move</w:t>
      </w:r>
      <w:r w:rsidR="008157A1">
        <w:rPr>
          <w:sz w:val="24"/>
          <w:szCs w:val="24"/>
        </w:rPr>
        <w:t xml:space="preserve"> down their demand curve to the new point </w:t>
      </w:r>
      <w:r w:rsidR="00B31790">
        <w:rPr>
          <w:sz w:val="24"/>
          <w:szCs w:val="24"/>
        </w:rPr>
        <w:t xml:space="preserve">at which it intersects </w:t>
      </w:r>
      <w:r w:rsidR="008157A1">
        <w:rPr>
          <w:sz w:val="24"/>
          <w:szCs w:val="24"/>
        </w:rPr>
        <w:t xml:space="preserve">their </w:t>
      </w:r>
      <w:r w:rsidR="00DC2015">
        <w:rPr>
          <w:sz w:val="24"/>
          <w:szCs w:val="24"/>
        </w:rPr>
        <w:t>new</w:t>
      </w:r>
      <w:r w:rsidR="006B78DC">
        <w:rPr>
          <w:sz w:val="24"/>
          <w:szCs w:val="24"/>
        </w:rPr>
        <w:t xml:space="preserve"> </w:t>
      </w:r>
      <w:r w:rsidR="008157A1">
        <w:rPr>
          <w:sz w:val="24"/>
          <w:szCs w:val="24"/>
        </w:rPr>
        <w:t>marginal cost curve</w:t>
      </w:r>
      <w:r w:rsidR="00B31790">
        <w:rPr>
          <w:sz w:val="24"/>
          <w:szCs w:val="24"/>
        </w:rPr>
        <w:t>.</w:t>
      </w:r>
      <w:r w:rsidR="00252B48">
        <w:rPr>
          <w:sz w:val="24"/>
          <w:szCs w:val="24"/>
        </w:rPr>
        <w:t xml:space="preserve"> In the case of a minimum wage that is equal to the </w:t>
      </w:r>
      <w:r w:rsidR="000B7059">
        <w:rPr>
          <w:sz w:val="24"/>
          <w:szCs w:val="24"/>
        </w:rPr>
        <w:t>equilibrium nominal wage, point C, the competitive market equilibrium</w:t>
      </w:r>
      <w:r w:rsidR="0007185A">
        <w:rPr>
          <w:sz w:val="24"/>
          <w:szCs w:val="24"/>
        </w:rPr>
        <w:t>, will be arrived at</w:t>
      </w:r>
      <w:r w:rsidR="00FC31B4">
        <w:rPr>
          <w:sz w:val="24"/>
          <w:szCs w:val="24"/>
        </w:rPr>
        <w:t xml:space="preserve">. Thus, </w:t>
      </w:r>
      <w:r w:rsidR="00CF1910">
        <w:rPr>
          <w:sz w:val="24"/>
          <w:szCs w:val="24"/>
        </w:rPr>
        <w:t xml:space="preserve">a </w:t>
      </w:r>
      <w:r w:rsidR="00775061">
        <w:rPr>
          <w:sz w:val="24"/>
          <w:szCs w:val="24"/>
        </w:rPr>
        <w:t xml:space="preserve">moderately sized </w:t>
      </w:r>
      <w:r w:rsidR="00CF1910">
        <w:rPr>
          <w:sz w:val="24"/>
          <w:szCs w:val="24"/>
        </w:rPr>
        <w:t xml:space="preserve">minimum wage </w:t>
      </w:r>
      <w:r w:rsidR="00775061">
        <w:rPr>
          <w:sz w:val="24"/>
          <w:szCs w:val="24"/>
        </w:rPr>
        <w:t xml:space="preserve">can </w:t>
      </w:r>
      <w:r w:rsidR="000140DA">
        <w:rPr>
          <w:sz w:val="24"/>
          <w:szCs w:val="24"/>
        </w:rPr>
        <w:t xml:space="preserve">theoretically </w:t>
      </w:r>
      <w:r w:rsidR="00775061">
        <w:rPr>
          <w:sz w:val="24"/>
          <w:szCs w:val="24"/>
        </w:rPr>
        <w:t>i</w:t>
      </w:r>
      <w:r w:rsidR="00F80226">
        <w:rPr>
          <w:sz w:val="24"/>
          <w:szCs w:val="24"/>
        </w:rPr>
        <w:t>ncrease employment</w:t>
      </w:r>
      <w:r w:rsidR="00CC24DE">
        <w:rPr>
          <w:sz w:val="24"/>
          <w:szCs w:val="24"/>
        </w:rPr>
        <w:t>.</w:t>
      </w:r>
      <w:r w:rsidR="00AB396D">
        <w:rPr>
          <w:sz w:val="24"/>
          <w:szCs w:val="24"/>
        </w:rPr>
        <w:t xml:space="preserve"> When </w:t>
      </w:r>
      <w:r w:rsidR="00FC31B4">
        <w:rPr>
          <w:sz w:val="24"/>
          <w:szCs w:val="24"/>
        </w:rPr>
        <w:t xml:space="preserve">a </w:t>
      </w:r>
      <w:r w:rsidR="00CC24DE">
        <w:rPr>
          <w:sz w:val="24"/>
          <w:szCs w:val="24"/>
        </w:rPr>
        <w:t xml:space="preserve">monopsonist </w:t>
      </w:r>
      <w:r w:rsidR="00FC31B4">
        <w:rPr>
          <w:sz w:val="24"/>
          <w:szCs w:val="24"/>
        </w:rPr>
        <w:t xml:space="preserve">employer </w:t>
      </w:r>
      <w:r w:rsidR="00AB396D">
        <w:rPr>
          <w:sz w:val="24"/>
          <w:szCs w:val="24"/>
        </w:rPr>
        <w:t>lose</w:t>
      </w:r>
      <w:r w:rsidR="00FC31B4">
        <w:rPr>
          <w:sz w:val="24"/>
          <w:szCs w:val="24"/>
        </w:rPr>
        <w:t>s</w:t>
      </w:r>
      <w:r w:rsidR="00AB396D">
        <w:rPr>
          <w:sz w:val="24"/>
          <w:szCs w:val="24"/>
        </w:rPr>
        <w:t xml:space="preserve"> </w:t>
      </w:r>
      <w:r w:rsidR="00FC31B4">
        <w:rPr>
          <w:sz w:val="24"/>
          <w:szCs w:val="24"/>
        </w:rPr>
        <w:t>its</w:t>
      </w:r>
      <w:r w:rsidR="00AB396D">
        <w:rPr>
          <w:sz w:val="24"/>
          <w:szCs w:val="24"/>
        </w:rPr>
        <w:t xml:space="preserve"> </w:t>
      </w:r>
      <w:r w:rsidR="00CC24DE">
        <w:rPr>
          <w:sz w:val="24"/>
          <w:szCs w:val="24"/>
        </w:rPr>
        <w:t xml:space="preserve">ability to set wages, </w:t>
      </w:r>
      <w:r w:rsidR="00FC31B4">
        <w:rPr>
          <w:sz w:val="24"/>
          <w:szCs w:val="24"/>
        </w:rPr>
        <w:t>it</w:t>
      </w:r>
      <w:r w:rsidR="00AB396D">
        <w:rPr>
          <w:sz w:val="24"/>
          <w:szCs w:val="24"/>
        </w:rPr>
        <w:t xml:space="preserve"> no longer ha</w:t>
      </w:r>
      <w:r w:rsidR="00FC31B4">
        <w:rPr>
          <w:sz w:val="24"/>
          <w:szCs w:val="24"/>
        </w:rPr>
        <w:t>s</w:t>
      </w:r>
      <w:r w:rsidR="00AB396D">
        <w:rPr>
          <w:sz w:val="24"/>
          <w:szCs w:val="24"/>
        </w:rPr>
        <w:t xml:space="preserve"> an incentive to suppress</w:t>
      </w:r>
      <w:r w:rsidR="0004086D">
        <w:rPr>
          <w:sz w:val="24"/>
          <w:szCs w:val="24"/>
        </w:rPr>
        <w:t xml:space="preserve"> employment and therefore </w:t>
      </w:r>
      <w:r w:rsidR="00F11E81">
        <w:rPr>
          <w:sz w:val="24"/>
          <w:szCs w:val="24"/>
        </w:rPr>
        <w:t>adjust</w:t>
      </w:r>
      <w:r w:rsidR="00FC31B4">
        <w:rPr>
          <w:sz w:val="24"/>
          <w:szCs w:val="24"/>
        </w:rPr>
        <w:t>s</w:t>
      </w:r>
      <w:r w:rsidR="00F11E81">
        <w:rPr>
          <w:sz w:val="24"/>
          <w:szCs w:val="24"/>
        </w:rPr>
        <w:t xml:space="preserve"> to demand workers </w:t>
      </w:r>
      <w:r w:rsidR="00255BD1">
        <w:rPr>
          <w:sz w:val="24"/>
          <w:szCs w:val="24"/>
        </w:rPr>
        <w:t>at the competitive labor market level</w:t>
      </w:r>
      <w:r w:rsidR="003969B9">
        <w:rPr>
          <w:sz w:val="24"/>
          <w:szCs w:val="24"/>
        </w:rPr>
        <w:t>.</w:t>
      </w:r>
      <w:r w:rsidR="00127C1E">
        <w:rPr>
          <w:sz w:val="24"/>
          <w:szCs w:val="24"/>
        </w:rPr>
        <w:t xml:space="preserve"> It is important </w:t>
      </w:r>
      <w:r w:rsidR="004D4A94">
        <w:rPr>
          <w:sz w:val="24"/>
          <w:szCs w:val="24"/>
        </w:rPr>
        <w:t>to note, however</w:t>
      </w:r>
      <w:r w:rsidR="00C43DE9">
        <w:rPr>
          <w:sz w:val="24"/>
          <w:szCs w:val="24"/>
        </w:rPr>
        <w:t>,</w:t>
      </w:r>
      <w:r w:rsidR="004D4A94">
        <w:rPr>
          <w:sz w:val="24"/>
          <w:szCs w:val="24"/>
        </w:rPr>
        <w:t xml:space="preserve"> that a large increase in the minimum wage could </w:t>
      </w:r>
      <w:r w:rsidR="00F75CC4">
        <w:rPr>
          <w:sz w:val="24"/>
          <w:szCs w:val="24"/>
        </w:rPr>
        <w:t>further decrease employment</w:t>
      </w:r>
      <w:r w:rsidR="00CD4174">
        <w:rPr>
          <w:sz w:val="24"/>
          <w:szCs w:val="24"/>
        </w:rPr>
        <w:t xml:space="preserve"> if it is so large that it exceeds point B</w:t>
      </w:r>
      <w:r w:rsidR="00667831">
        <w:rPr>
          <w:sz w:val="24"/>
          <w:szCs w:val="24"/>
        </w:rPr>
        <w:t xml:space="preserve">. </w:t>
      </w:r>
    </w:p>
    <w:p w14:paraId="1A01F8AF" w14:textId="720039E3" w:rsidR="00C50318" w:rsidRDefault="002A6408" w:rsidP="00194E9B">
      <w:pPr>
        <w:spacing w:line="480" w:lineRule="auto"/>
        <w:ind w:firstLine="580"/>
        <w:rPr>
          <w:sz w:val="24"/>
          <w:szCs w:val="24"/>
        </w:rPr>
      </w:pPr>
      <w:r w:rsidRPr="00EC0A16">
        <w:rPr>
          <w:sz w:val="24"/>
          <w:szCs w:val="24"/>
        </w:rPr>
        <w:t>The Keynesian model in</w:t>
      </w:r>
      <w:r w:rsidR="0053579B" w:rsidRPr="00EC0A16">
        <w:rPr>
          <w:sz w:val="24"/>
          <w:szCs w:val="24"/>
        </w:rPr>
        <w:t xml:space="preserve"> contrast </w:t>
      </w:r>
      <w:r w:rsidR="007A5CB1" w:rsidRPr="00EC0A16">
        <w:rPr>
          <w:sz w:val="24"/>
          <w:szCs w:val="24"/>
        </w:rPr>
        <w:t xml:space="preserve">to the neoclassical model </w:t>
      </w:r>
      <w:r w:rsidR="00E825A5">
        <w:rPr>
          <w:sz w:val="24"/>
          <w:szCs w:val="24"/>
        </w:rPr>
        <w:t xml:space="preserve">primarily </w:t>
      </w:r>
      <w:r w:rsidR="00F815A7">
        <w:rPr>
          <w:sz w:val="24"/>
          <w:szCs w:val="24"/>
        </w:rPr>
        <w:t xml:space="preserve">has the </w:t>
      </w:r>
      <w:r w:rsidR="00DD16E6">
        <w:rPr>
          <w:sz w:val="24"/>
          <w:szCs w:val="24"/>
        </w:rPr>
        <w:t>cost of minimum wages absorbed through price increases rather than employment loss</w:t>
      </w:r>
      <w:r w:rsidR="00321255">
        <w:rPr>
          <w:sz w:val="24"/>
          <w:szCs w:val="24"/>
        </w:rPr>
        <w:t>es</w:t>
      </w:r>
      <w:r w:rsidR="00DD16E6">
        <w:rPr>
          <w:sz w:val="24"/>
          <w:szCs w:val="24"/>
        </w:rPr>
        <w:t xml:space="preserve">. </w:t>
      </w:r>
      <w:r w:rsidR="000D0FF3">
        <w:rPr>
          <w:sz w:val="24"/>
          <w:szCs w:val="24"/>
        </w:rPr>
        <w:t xml:space="preserve">The major assumption in this case is that </w:t>
      </w:r>
      <w:r w:rsidR="00547EBF">
        <w:rPr>
          <w:sz w:val="24"/>
          <w:szCs w:val="24"/>
        </w:rPr>
        <w:t>w</w:t>
      </w:r>
      <w:r w:rsidR="004A1D9F">
        <w:rPr>
          <w:sz w:val="24"/>
          <w:szCs w:val="24"/>
        </w:rPr>
        <w:t xml:space="preserve">hile wages are negotiated between employers and employees, prices are unilaterally </w:t>
      </w:r>
      <w:r w:rsidR="00724712">
        <w:rPr>
          <w:sz w:val="24"/>
          <w:szCs w:val="24"/>
        </w:rPr>
        <w:t xml:space="preserve">decided </w:t>
      </w:r>
      <w:r w:rsidR="00134816">
        <w:rPr>
          <w:sz w:val="24"/>
          <w:szCs w:val="24"/>
        </w:rPr>
        <w:t>by</w:t>
      </w:r>
      <w:r w:rsidR="00724712">
        <w:rPr>
          <w:sz w:val="24"/>
          <w:szCs w:val="24"/>
        </w:rPr>
        <w:t xml:space="preserve"> the production side</w:t>
      </w:r>
      <w:r w:rsidR="00854DD9">
        <w:rPr>
          <w:sz w:val="24"/>
          <w:szCs w:val="24"/>
        </w:rPr>
        <w:t xml:space="preserve"> (Herr 2002)</w:t>
      </w:r>
      <w:r w:rsidR="006A1F4A">
        <w:rPr>
          <w:sz w:val="24"/>
          <w:szCs w:val="24"/>
        </w:rPr>
        <w:t>. Th</w:t>
      </w:r>
      <w:r w:rsidR="009517D9">
        <w:rPr>
          <w:sz w:val="24"/>
          <w:szCs w:val="24"/>
        </w:rPr>
        <w:t>i</w:t>
      </w:r>
      <w:r w:rsidR="006A1F4A">
        <w:rPr>
          <w:sz w:val="24"/>
          <w:szCs w:val="24"/>
        </w:rPr>
        <w:t xml:space="preserve">s implies that </w:t>
      </w:r>
      <w:r w:rsidR="00324616">
        <w:rPr>
          <w:sz w:val="24"/>
          <w:szCs w:val="24"/>
        </w:rPr>
        <w:t>wage</w:t>
      </w:r>
      <w:r w:rsidR="009517D9">
        <w:rPr>
          <w:sz w:val="24"/>
          <w:szCs w:val="24"/>
        </w:rPr>
        <w:t>s</w:t>
      </w:r>
      <w:r w:rsidR="00324616">
        <w:rPr>
          <w:sz w:val="24"/>
          <w:szCs w:val="24"/>
        </w:rPr>
        <w:t xml:space="preserve"> are set in nominal rather than real terms </w:t>
      </w:r>
      <w:r w:rsidR="00C54DE2">
        <w:rPr>
          <w:sz w:val="24"/>
          <w:szCs w:val="24"/>
        </w:rPr>
        <w:t xml:space="preserve">as </w:t>
      </w:r>
      <w:r w:rsidR="00107B6B">
        <w:rPr>
          <w:sz w:val="24"/>
          <w:szCs w:val="24"/>
        </w:rPr>
        <w:t>price level</w:t>
      </w:r>
      <w:r w:rsidR="001C18AB">
        <w:rPr>
          <w:sz w:val="24"/>
          <w:szCs w:val="24"/>
        </w:rPr>
        <w:t>s</w:t>
      </w:r>
      <w:r w:rsidR="00A91A50">
        <w:rPr>
          <w:sz w:val="24"/>
          <w:szCs w:val="24"/>
        </w:rPr>
        <w:t>,</w:t>
      </w:r>
      <w:r w:rsidR="00107B6B">
        <w:rPr>
          <w:sz w:val="24"/>
          <w:szCs w:val="24"/>
        </w:rPr>
        <w:t xml:space="preserve"> </w:t>
      </w:r>
      <w:r w:rsidR="00111DCB">
        <w:rPr>
          <w:sz w:val="24"/>
          <w:szCs w:val="24"/>
        </w:rPr>
        <w:t>and therefore real wages</w:t>
      </w:r>
      <w:r w:rsidR="00A91A50">
        <w:rPr>
          <w:sz w:val="24"/>
          <w:szCs w:val="24"/>
        </w:rPr>
        <w:t>,</w:t>
      </w:r>
      <w:r w:rsidR="00111DCB">
        <w:rPr>
          <w:sz w:val="24"/>
          <w:szCs w:val="24"/>
        </w:rPr>
        <w:t xml:space="preserve"> are </w:t>
      </w:r>
      <w:r w:rsidR="004A403D">
        <w:rPr>
          <w:sz w:val="24"/>
          <w:szCs w:val="24"/>
        </w:rPr>
        <w:t>determined by</w:t>
      </w:r>
      <w:r w:rsidR="00111DCB">
        <w:rPr>
          <w:sz w:val="24"/>
          <w:szCs w:val="24"/>
        </w:rPr>
        <w:t xml:space="preserve"> the collective pricing decisions made </w:t>
      </w:r>
      <w:r w:rsidR="00C22B88">
        <w:rPr>
          <w:sz w:val="24"/>
          <w:szCs w:val="24"/>
        </w:rPr>
        <w:t xml:space="preserve">by firms </w:t>
      </w:r>
      <w:r w:rsidR="00111DCB">
        <w:rPr>
          <w:sz w:val="24"/>
          <w:szCs w:val="24"/>
        </w:rPr>
        <w:t>across the entire economy.</w:t>
      </w:r>
      <w:r w:rsidR="001927A5">
        <w:rPr>
          <w:sz w:val="24"/>
          <w:szCs w:val="24"/>
        </w:rPr>
        <w:t xml:space="preserve"> Depending on their degree of market power, i</w:t>
      </w:r>
      <w:r w:rsidR="005D5698">
        <w:rPr>
          <w:sz w:val="24"/>
          <w:szCs w:val="24"/>
        </w:rPr>
        <w:t xml:space="preserve">ndividual </w:t>
      </w:r>
      <w:r w:rsidR="008E34D6">
        <w:rPr>
          <w:sz w:val="24"/>
          <w:szCs w:val="24"/>
        </w:rPr>
        <w:t>profit maximizing</w:t>
      </w:r>
      <w:r w:rsidR="00324616">
        <w:rPr>
          <w:sz w:val="24"/>
          <w:szCs w:val="24"/>
        </w:rPr>
        <w:t xml:space="preserve"> </w:t>
      </w:r>
      <w:r w:rsidR="008E34D6">
        <w:rPr>
          <w:sz w:val="24"/>
          <w:szCs w:val="24"/>
        </w:rPr>
        <w:t xml:space="preserve">firms </w:t>
      </w:r>
      <w:r w:rsidR="00A40FFD">
        <w:rPr>
          <w:sz w:val="24"/>
          <w:szCs w:val="24"/>
        </w:rPr>
        <w:t>have the ability to</w:t>
      </w:r>
      <w:r w:rsidR="008E34D6">
        <w:rPr>
          <w:sz w:val="24"/>
          <w:szCs w:val="24"/>
        </w:rPr>
        <w:t xml:space="preserve"> protect their margins by raising prices.</w:t>
      </w:r>
      <w:r w:rsidR="00422EC9">
        <w:rPr>
          <w:sz w:val="24"/>
          <w:szCs w:val="24"/>
        </w:rPr>
        <w:t xml:space="preserve"> </w:t>
      </w:r>
      <w:r w:rsidR="00B175E3">
        <w:rPr>
          <w:sz w:val="24"/>
          <w:szCs w:val="24"/>
        </w:rPr>
        <w:t>T</w:t>
      </w:r>
      <w:r w:rsidR="00C50318">
        <w:rPr>
          <w:sz w:val="24"/>
          <w:szCs w:val="24"/>
        </w:rPr>
        <w:t>herefore, t</w:t>
      </w:r>
      <w:r w:rsidR="00B175E3">
        <w:rPr>
          <w:sz w:val="24"/>
          <w:szCs w:val="24"/>
        </w:rPr>
        <w:t xml:space="preserve">he more inelastic </w:t>
      </w:r>
      <w:r w:rsidR="00220CB1">
        <w:rPr>
          <w:sz w:val="24"/>
          <w:szCs w:val="24"/>
        </w:rPr>
        <w:t xml:space="preserve">overall demand is in industries </w:t>
      </w:r>
      <w:r w:rsidR="00C50318">
        <w:rPr>
          <w:sz w:val="24"/>
          <w:szCs w:val="24"/>
        </w:rPr>
        <w:t xml:space="preserve">whose input costs are </w:t>
      </w:r>
      <w:r w:rsidR="00220CB1">
        <w:rPr>
          <w:sz w:val="24"/>
          <w:szCs w:val="24"/>
        </w:rPr>
        <w:t xml:space="preserve">affected by a minimum wage increase, the </w:t>
      </w:r>
      <w:r w:rsidR="00C50318">
        <w:rPr>
          <w:sz w:val="24"/>
          <w:szCs w:val="24"/>
        </w:rPr>
        <w:t xml:space="preserve">more this cost will be transferred to consumers in the form of </w:t>
      </w:r>
      <w:r w:rsidR="00A22A6C">
        <w:rPr>
          <w:sz w:val="24"/>
          <w:szCs w:val="24"/>
        </w:rPr>
        <w:t xml:space="preserve">higher </w:t>
      </w:r>
      <w:r w:rsidR="00C50318">
        <w:rPr>
          <w:sz w:val="24"/>
          <w:szCs w:val="24"/>
        </w:rPr>
        <w:t>pric</w:t>
      </w:r>
      <w:r w:rsidR="00A22A6C">
        <w:rPr>
          <w:sz w:val="24"/>
          <w:szCs w:val="24"/>
        </w:rPr>
        <w:t>es</w:t>
      </w:r>
      <w:r w:rsidR="00C50318">
        <w:rPr>
          <w:sz w:val="24"/>
          <w:szCs w:val="24"/>
        </w:rPr>
        <w:t>.</w:t>
      </w:r>
    </w:p>
    <w:p w14:paraId="6AD53CD7" w14:textId="35B994F0" w:rsidR="00FD3992" w:rsidRDefault="00635722" w:rsidP="001927A5">
      <w:pPr>
        <w:spacing w:line="480" w:lineRule="auto"/>
        <w:ind w:firstLine="580"/>
        <w:rPr>
          <w:sz w:val="24"/>
          <w:szCs w:val="24"/>
        </w:rPr>
      </w:pPr>
      <w:r w:rsidRPr="00EC0A16">
        <w:rPr>
          <w:sz w:val="24"/>
          <w:szCs w:val="24"/>
        </w:rPr>
        <w:lastRenderedPageBreak/>
        <w:t xml:space="preserve"> </w:t>
      </w:r>
      <w:r w:rsidR="00194E9B">
        <w:rPr>
          <w:sz w:val="24"/>
          <w:szCs w:val="24"/>
        </w:rPr>
        <w:t xml:space="preserve">This </w:t>
      </w:r>
      <w:r w:rsidR="00823383">
        <w:rPr>
          <w:sz w:val="24"/>
          <w:szCs w:val="24"/>
        </w:rPr>
        <w:t>is not</w:t>
      </w:r>
      <w:r w:rsidR="00194E9B">
        <w:rPr>
          <w:sz w:val="24"/>
          <w:szCs w:val="24"/>
        </w:rPr>
        <w:t xml:space="preserve"> to say, however, that minimum wage costs that </w:t>
      </w:r>
      <w:r w:rsidR="000A01FC">
        <w:rPr>
          <w:sz w:val="24"/>
          <w:szCs w:val="24"/>
        </w:rPr>
        <w:t>are not</w:t>
      </w:r>
      <w:r w:rsidR="00194E9B">
        <w:rPr>
          <w:sz w:val="24"/>
          <w:szCs w:val="24"/>
        </w:rPr>
        <w:t xml:space="preserve"> </w:t>
      </w:r>
      <w:r w:rsidR="00823383">
        <w:rPr>
          <w:sz w:val="24"/>
          <w:szCs w:val="24"/>
        </w:rPr>
        <w:t>absorbed</w:t>
      </w:r>
      <w:r w:rsidR="00194E9B">
        <w:rPr>
          <w:sz w:val="24"/>
          <w:szCs w:val="24"/>
        </w:rPr>
        <w:t xml:space="preserve"> </w:t>
      </w:r>
      <w:r w:rsidR="00823383">
        <w:rPr>
          <w:sz w:val="24"/>
          <w:szCs w:val="24"/>
        </w:rPr>
        <w:t xml:space="preserve">in price increases will </w:t>
      </w:r>
      <w:r w:rsidR="004450E9">
        <w:rPr>
          <w:sz w:val="24"/>
          <w:szCs w:val="24"/>
        </w:rPr>
        <w:t xml:space="preserve">necessarily </w:t>
      </w:r>
      <w:r w:rsidR="00FD3992">
        <w:rPr>
          <w:sz w:val="24"/>
          <w:szCs w:val="24"/>
        </w:rPr>
        <w:t xml:space="preserve">appear in employment </w:t>
      </w:r>
      <w:r w:rsidR="004450E9">
        <w:rPr>
          <w:sz w:val="24"/>
          <w:szCs w:val="24"/>
        </w:rPr>
        <w:t>effects.</w:t>
      </w:r>
      <w:r w:rsidR="007B7E2D">
        <w:rPr>
          <w:sz w:val="24"/>
          <w:szCs w:val="24"/>
        </w:rPr>
        <w:t xml:space="preserve"> In general,</w:t>
      </w:r>
      <w:r w:rsidR="00BE5263">
        <w:rPr>
          <w:sz w:val="24"/>
          <w:szCs w:val="24"/>
        </w:rPr>
        <w:t xml:space="preserve"> related</w:t>
      </w:r>
      <w:r w:rsidR="007B7E2D">
        <w:rPr>
          <w:sz w:val="24"/>
          <w:szCs w:val="24"/>
        </w:rPr>
        <w:t xml:space="preserve"> </w:t>
      </w:r>
      <w:r w:rsidR="00BE5263">
        <w:rPr>
          <w:sz w:val="24"/>
          <w:szCs w:val="24"/>
        </w:rPr>
        <w:t xml:space="preserve">employment effects </w:t>
      </w:r>
      <w:r w:rsidR="000F7529">
        <w:rPr>
          <w:sz w:val="24"/>
          <w:szCs w:val="24"/>
        </w:rPr>
        <w:t xml:space="preserve">in the Keynesian model are ambiguous and occur in </w:t>
      </w:r>
      <w:r w:rsidR="00126049">
        <w:rPr>
          <w:sz w:val="24"/>
          <w:szCs w:val="24"/>
        </w:rPr>
        <w:t>two</w:t>
      </w:r>
      <w:r w:rsidR="000F7529">
        <w:rPr>
          <w:sz w:val="24"/>
          <w:szCs w:val="24"/>
        </w:rPr>
        <w:t xml:space="preserve"> </w:t>
      </w:r>
      <w:r w:rsidR="00126049">
        <w:rPr>
          <w:sz w:val="24"/>
          <w:szCs w:val="24"/>
        </w:rPr>
        <w:t>opposing</w:t>
      </w:r>
      <w:r w:rsidR="000F7529">
        <w:rPr>
          <w:sz w:val="24"/>
          <w:szCs w:val="24"/>
        </w:rPr>
        <w:t xml:space="preserve"> vectors. The first </w:t>
      </w:r>
      <w:r w:rsidR="003E186B">
        <w:rPr>
          <w:sz w:val="24"/>
          <w:szCs w:val="24"/>
        </w:rPr>
        <w:t>o</w:t>
      </w:r>
      <w:r w:rsidR="001C4B68">
        <w:rPr>
          <w:sz w:val="24"/>
          <w:szCs w:val="24"/>
        </w:rPr>
        <w:t>f</w:t>
      </w:r>
      <w:r w:rsidR="000F7529">
        <w:rPr>
          <w:sz w:val="24"/>
          <w:szCs w:val="24"/>
        </w:rPr>
        <w:t xml:space="preserve"> the</w:t>
      </w:r>
      <w:r w:rsidR="001C4B68">
        <w:rPr>
          <w:sz w:val="24"/>
          <w:szCs w:val="24"/>
        </w:rPr>
        <w:t xml:space="preserve">se </w:t>
      </w:r>
      <w:r w:rsidR="00AE59DF">
        <w:rPr>
          <w:sz w:val="24"/>
          <w:szCs w:val="24"/>
        </w:rPr>
        <w:t>is</w:t>
      </w:r>
      <w:r w:rsidR="001C4B68">
        <w:rPr>
          <w:sz w:val="24"/>
          <w:szCs w:val="24"/>
        </w:rPr>
        <w:t xml:space="preserve"> indirect </w:t>
      </w:r>
      <w:r w:rsidR="00126049">
        <w:rPr>
          <w:sz w:val="24"/>
          <w:szCs w:val="24"/>
        </w:rPr>
        <w:t>disemployment due to the aforementioned price increases</w:t>
      </w:r>
      <w:r w:rsidR="004C2A39">
        <w:rPr>
          <w:sz w:val="24"/>
          <w:szCs w:val="24"/>
        </w:rPr>
        <w:t xml:space="preserve"> and price elasticities. </w:t>
      </w:r>
      <w:r w:rsidR="00077404">
        <w:rPr>
          <w:sz w:val="24"/>
          <w:szCs w:val="24"/>
        </w:rPr>
        <w:t xml:space="preserve">When an employer is </w:t>
      </w:r>
      <w:r w:rsidR="002D41CE">
        <w:rPr>
          <w:sz w:val="24"/>
          <w:szCs w:val="24"/>
        </w:rPr>
        <w:t xml:space="preserve">faced with a </w:t>
      </w:r>
      <w:r w:rsidR="00AE59DF">
        <w:rPr>
          <w:sz w:val="24"/>
          <w:szCs w:val="24"/>
        </w:rPr>
        <w:t xml:space="preserve">new </w:t>
      </w:r>
      <w:r w:rsidR="002D41CE">
        <w:rPr>
          <w:sz w:val="24"/>
          <w:szCs w:val="24"/>
        </w:rPr>
        <w:t>minimum wage</w:t>
      </w:r>
      <w:r w:rsidR="00C23CD5">
        <w:rPr>
          <w:sz w:val="24"/>
          <w:szCs w:val="24"/>
        </w:rPr>
        <w:t xml:space="preserve"> and the elasticity of their demand function does not allow them to mark up prices to the amount that</w:t>
      </w:r>
      <w:r w:rsidR="00303DBD">
        <w:rPr>
          <w:sz w:val="24"/>
          <w:szCs w:val="24"/>
        </w:rPr>
        <w:t xml:space="preserve"> would cover their profit losses,</w:t>
      </w:r>
      <w:r w:rsidR="00DC7154">
        <w:rPr>
          <w:sz w:val="24"/>
          <w:szCs w:val="24"/>
        </w:rPr>
        <w:t xml:space="preserve"> some unemployment </w:t>
      </w:r>
      <w:r w:rsidR="003009B3">
        <w:rPr>
          <w:sz w:val="24"/>
          <w:szCs w:val="24"/>
        </w:rPr>
        <w:t>can be expected to</w:t>
      </w:r>
      <w:r w:rsidR="00DC7154">
        <w:rPr>
          <w:sz w:val="24"/>
          <w:szCs w:val="24"/>
        </w:rPr>
        <w:t xml:space="preserve"> occur.</w:t>
      </w:r>
      <w:r w:rsidR="0001061A">
        <w:rPr>
          <w:sz w:val="24"/>
          <w:szCs w:val="24"/>
        </w:rPr>
        <w:t xml:space="preserve"> Firms will attempt to </w:t>
      </w:r>
      <w:r w:rsidR="00B06B50">
        <w:rPr>
          <w:sz w:val="24"/>
          <w:szCs w:val="24"/>
        </w:rPr>
        <w:t>substitute away</w:t>
      </w:r>
      <w:r w:rsidR="0001061A">
        <w:rPr>
          <w:sz w:val="24"/>
          <w:szCs w:val="24"/>
        </w:rPr>
        <w:t xml:space="preserve"> </w:t>
      </w:r>
      <w:r w:rsidR="00B06B50">
        <w:rPr>
          <w:sz w:val="24"/>
          <w:szCs w:val="24"/>
        </w:rPr>
        <w:t>from</w:t>
      </w:r>
      <w:r w:rsidR="0001061A">
        <w:rPr>
          <w:sz w:val="24"/>
          <w:szCs w:val="24"/>
        </w:rPr>
        <w:t xml:space="preserve"> low-</w:t>
      </w:r>
      <w:r w:rsidR="00B06B50">
        <w:rPr>
          <w:sz w:val="24"/>
          <w:szCs w:val="24"/>
        </w:rPr>
        <w:t xml:space="preserve">skilled labor </w:t>
      </w:r>
      <w:r w:rsidR="009725F4">
        <w:rPr>
          <w:sz w:val="24"/>
          <w:szCs w:val="24"/>
        </w:rPr>
        <w:t>towards</w:t>
      </w:r>
      <w:r w:rsidR="00B06B50">
        <w:rPr>
          <w:sz w:val="24"/>
          <w:szCs w:val="24"/>
        </w:rPr>
        <w:t xml:space="preserve"> new technologies</w:t>
      </w:r>
      <w:r w:rsidR="00AA46FD">
        <w:rPr>
          <w:sz w:val="24"/>
          <w:szCs w:val="24"/>
        </w:rPr>
        <w:t xml:space="preserve"> or lower quantities of higher skilled workers.</w:t>
      </w:r>
      <w:r w:rsidR="007171AD">
        <w:rPr>
          <w:sz w:val="24"/>
          <w:szCs w:val="24"/>
        </w:rPr>
        <w:t xml:space="preserve"> How successful they are at this will determine the size of the disemployment effect.</w:t>
      </w:r>
      <w:r w:rsidR="00267E52">
        <w:rPr>
          <w:sz w:val="24"/>
          <w:szCs w:val="24"/>
        </w:rPr>
        <w:t xml:space="preserve"> </w:t>
      </w:r>
      <w:r w:rsidR="00C84FBC">
        <w:rPr>
          <w:sz w:val="24"/>
          <w:szCs w:val="24"/>
        </w:rPr>
        <w:t xml:space="preserve">In practice, this effect is unlikely to reach beyond the directly affected industries, as most </w:t>
      </w:r>
      <w:r w:rsidR="00C91203">
        <w:rPr>
          <w:sz w:val="24"/>
          <w:szCs w:val="24"/>
        </w:rPr>
        <w:t xml:space="preserve">firms </w:t>
      </w:r>
      <w:r w:rsidR="004372A4">
        <w:rPr>
          <w:sz w:val="24"/>
          <w:szCs w:val="24"/>
        </w:rPr>
        <w:t xml:space="preserve">that rely on </w:t>
      </w:r>
      <w:r w:rsidR="00C84FBC">
        <w:rPr>
          <w:sz w:val="24"/>
          <w:szCs w:val="24"/>
        </w:rPr>
        <w:t>minimum</w:t>
      </w:r>
      <w:r w:rsidR="00AC547B">
        <w:rPr>
          <w:sz w:val="24"/>
          <w:szCs w:val="24"/>
        </w:rPr>
        <w:t xml:space="preserve"> </w:t>
      </w:r>
      <w:r w:rsidR="00C84FBC">
        <w:rPr>
          <w:sz w:val="24"/>
          <w:szCs w:val="24"/>
        </w:rPr>
        <w:t>wage</w:t>
      </w:r>
      <w:r w:rsidR="002B5134">
        <w:rPr>
          <w:sz w:val="24"/>
          <w:szCs w:val="24"/>
        </w:rPr>
        <w:t xml:space="preserve"> labor</w:t>
      </w:r>
      <w:r w:rsidR="00AC547B">
        <w:rPr>
          <w:sz w:val="24"/>
          <w:szCs w:val="24"/>
        </w:rPr>
        <w:t xml:space="preserve"> in their</w:t>
      </w:r>
      <w:r w:rsidR="00987755">
        <w:rPr>
          <w:sz w:val="24"/>
          <w:szCs w:val="24"/>
        </w:rPr>
        <w:t xml:space="preserve"> </w:t>
      </w:r>
      <w:r w:rsidR="004C7B06">
        <w:rPr>
          <w:sz w:val="24"/>
          <w:szCs w:val="24"/>
        </w:rPr>
        <w:t>cost structures</w:t>
      </w:r>
      <w:r w:rsidR="009A3240">
        <w:rPr>
          <w:sz w:val="24"/>
          <w:szCs w:val="24"/>
        </w:rPr>
        <w:t xml:space="preserve"> </w:t>
      </w:r>
      <w:r w:rsidR="00987755">
        <w:rPr>
          <w:sz w:val="24"/>
          <w:szCs w:val="24"/>
        </w:rPr>
        <w:t xml:space="preserve">trade in final goods such as fast food or groceries. </w:t>
      </w:r>
      <w:r w:rsidR="0032254E">
        <w:rPr>
          <w:sz w:val="24"/>
          <w:szCs w:val="24"/>
        </w:rPr>
        <w:t>Thus, the</w:t>
      </w:r>
      <w:r w:rsidR="000B01D1">
        <w:rPr>
          <w:sz w:val="24"/>
          <w:szCs w:val="24"/>
        </w:rPr>
        <w:t>se firms do not produce</w:t>
      </w:r>
      <w:r w:rsidR="0032254E">
        <w:rPr>
          <w:sz w:val="24"/>
          <w:szCs w:val="24"/>
        </w:rPr>
        <w:t xml:space="preserve"> inputs </w:t>
      </w:r>
      <w:r w:rsidR="000B01D1">
        <w:rPr>
          <w:sz w:val="24"/>
          <w:szCs w:val="24"/>
        </w:rPr>
        <w:t xml:space="preserve">used </w:t>
      </w:r>
      <w:r w:rsidR="0032254E">
        <w:rPr>
          <w:sz w:val="24"/>
          <w:szCs w:val="24"/>
        </w:rPr>
        <w:t xml:space="preserve">in other industries </w:t>
      </w:r>
      <w:r w:rsidR="00406D7C">
        <w:rPr>
          <w:sz w:val="24"/>
          <w:szCs w:val="24"/>
        </w:rPr>
        <w:t>and</w:t>
      </w:r>
      <w:r w:rsidR="0032254E">
        <w:rPr>
          <w:sz w:val="24"/>
          <w:szCs w:val="24"/>
        </w:rPr>
        <w:t xml:space="preserve"> “ripple effects” are </w:t>
      </w:r>
      <w:r w:rsidR="009A78C9">
        <w:rPr>
          <w:sz w:val="24"/>
          <w:szCs w:val="24"/>
        </w:rPr>
        <w:t>unlikely to occur.</w:t>
      </w:r>
    </w:p>
    <w:p w14:paraId="3FEAC659" w14:textId="1CCBF062" w:rsidR="00FD3992" w:rsidRDefault="001C3A7A" w:rsidP="00B17F1A">
      <w:pPr>
        <w:spacing w:line="480" w:lineRule="auto"/>
        <w:ind w:firstLine="580"/>
        <w:rPr>
          <w:sz w:val="24"/>
          <w:szCs w:val="24"/>
        </w:rPr>
      </w:pPr>
      <w:r>
        <w:rPr>
          <w:sz w:val="24"/>
          <w:szCs w:val="24"/>
        </w:rPr>
        <w:t xml:space="preserve">The second potential effect is </w:t>
      </w:r>
      <w:r w:rsidR="00FC2794">
        <w:rPr>
          <w:sz w:val="24"/>
          <w:szCs w:val="24"/>
        </w:rPr>
        <w:t xml:space="preserve">the increase in </w:t>
      </w:r>
      <w:r w:rsidR="001B4D28">
        <w:rPr>
          <w:sz w:val="24"/>
          <w:szCs w:val="24"/>
        </w:rPr>
        <w:t xml:space="preserve">minimum wages causing an income effect. When minimum wages increase, it can be expected that </w:t>
      </w:r>
      <w:r w:rsidR="00C91A98">
        <w:rPr>
          <w:sz w:val="24"/>
          <w:szCs w:val="24"/>
        </w:rPr>
        <w:t xml:space="preserve">some </w:t>
      </w:r>
      <w:r w:rsidR="009A5C20">
        <w:rPr>
          <w:sz w:val="24"/>
          <w:szCs w:val="24"/>
        </w:rPr>
        <w:t>workers experience a</w:t>
      </w:r>
      <w:r w:rsidR="002372CA">
        <w:rPr>
          <w:sz w:val="24"/>
          <w:szCs w:val="24"/>
        </w:rPr>
        <w:t>n</w:t>
      </w:r>
      <w:r w:rsidR="009A5C20">
        <w:rPr>
          <w:sz w:val="24"/>
          <w:szCs w:val="24"/>
        </w:rPr>
        <w:t xml:space="preserve"> increase to their income while others </w:t>
      </w:r>
      <w:r w:rsidR="00E47490">
        <w:rPr>
          <w:sz w:val="24"/>
          <w:szCs w:val="24"/>
        </w:rPr>
        <w:t>become unemployed and therefore earn net zero</w:t>
      </w:r>
      <w:r w:rsidR="00732904">
        <w:rPr>
          <w:sz w:val="24"/>
          <w:szCs w:val="24"/>
        </w:rPr>
        <w:t xml:space="preserve"> wages</w:t>
      </w:r>
      <w:r w:rsidR="00E47490">
        <w:rPr>
          <w:sz w:val="24"/>
          <w:szCs w:val="24"/>
        </w:rPr>
        <w:t>.</w:t>
      </w:r>
      <w:r w:rsidR="002372CA">
        <w:rPr>
          <w:sz w:val="24"/>
          <w:szCs w:val="24"/>
        </w:rPr>
        <w:t xml:space="preserve"> </w:t>
      </w:r>
      <w:r w:rsidR="009B789E">
        <w:rPr>
          <w:sz w:val="24"/>
          <w:szCs w:val="24"/>
        </w:rPr>
        <w:t>In</w:t>
      </w:r>
      <w:r w:rsidR="00816332">
        <w:rPr>
          <w:sz w:val="24"/>
          <w:szCs w:val="24"/>
        </w:rPr>
        <w:t xml:space="preserve"> the</w:t>
      </w:r>
      <w:r w:rsidR="009B789E">
        <w:rPr>
          <w:sz w:val="24"/>
          <w:szCs w:val="24"/>
        </w:rPr>
        <w:t xml:space="preserve"> case that the </w:t>
      </w:r>
      <w:r w:rsidR="00816332">
        <w:rPr>
          <w:sz w:val="24"/>
          <w:szCs w:val="24"/>
        </w:rPr>
        <w:t>income gains outweigh the income losses, aggregate demand</w:t>
      </w:r>
      <w:r w:rsidR="002372CA">
        <w:rPr>
          <w:sz w:val="24"/>
          <w:szCs w:val="24"/>
        </w:rPr>
        <w:t xml:space="preserve"> </w:t>
      </w:r>
      <w:r w:rsidR="009B789E">
        <w:rPr>
          <w:sz w:val="24"/>
          <w:szCs w:val="24"/>
        </w:rPr>
        <w:t xml:space="preserve">will increase </w:t>
      </w:r>
      <w:r w:rsidR="00E82882">
        <w:rPr>
          <w:sz w:val="24"/>
          <w:szCs w:val="24"/>
        </w:rPr>
        <w:t xml:space="preserve">since </w:t>
      </w:r>
      <w:r w:rsidR="00203638">
        <w:rPr>
          <w:sz w:val="24"/>
          <w:szCs w:val="24"/>
        </w:rPr>
        <w:t>low-income</w:t>
      </w:r>
      <w:r w:rsidR="00E82882">
        <w:rPr>
          <w:sz w:val="24"/>
          <w:szCs w:val="24"/>
        </w:rPr>
        <w:t xml:space="preserve"> earners have a higher</w:t>
      </w:r>
      <w:r w:rsidR="002372CA">
        <w:rPr>
          <w:sz w:val="24"/>
          <w:szCs w:val="24"/>
        </w:rPr>
        <w:t xml:space="preserve"> propensity to spend than higher income workers</w:t>
      </w:r>
      <w:r w:rsidR="00816332">
        <w:rPr>
          <w:sz w:val="24"/>
          <w:szCs w:val="24"/>
        </w:rPr>
        <w:t>.</w:t>
      </w:r>
      <w:r w:rsidR="005754E2">
        <w:rPr>
          <w:sz w:val="24"/>
          <w:szCs w:val="24"/>
        </w:rPr>
        <w:t xml:space="preserve"> </w:t>
      </w:r>
      <w:r w:rsidR="00203638">
        <w:rPr>
          <w:sz w:val="24"/>
          <w:szCs w:val="24"/>
        </w:rPr>
        <w:t xml:space="preserve">This in turn leads to an increase in employment and production given that the economy has the spare capacity </w:t>
      </w:r>
      <w:r w:rsidR="001629E2">
        <w:rPr>
          <w:sz w:val="24"/>
          <w:szCs w:val="24"/>
        </w:rPr>
        <w:t>available to mee</w:t>
      </w:r>
      <w:r w:rsidR="005033EF">
        <w:rPr>
          <w:sz w:val="24"/>
          <w:szCs w:val="24"/>
        </w:rPr>
        <w:t>t</w:t>
      </w:r>
      <w:r w:rsidR="001629E2">
        <w:rPr>
          <w:sz w:val="24"/>
          <w:szCs w:val="24"/>
        </w:rPr>
        <w:t xml:space="preserve"> this new</w:t>
      </w:r>
      <w:r w:rsidR="004F79EC">
        <w:rPr>
          <w:sz w:val="24"/>
          <w:szCs w:val="24"/>
        </w:rPr>
        <w:t>,</w:t>
      </w:r>
      <w:r w:rsidR="001629E2">
        <w:rPr>
          <w:sz w:val="24"/>
          <w:szCs w:val="24"/>
        </w:rPr>
        <w:t xml:space="preserve"> higher level of demand</w:t>
      </w:r>
      <w:r w:rsidR="00935F2C">
        <w:rPr>
          <w:sz w:val="24"/>
          <w:szCs w:val="24"/>
        </w:rPr>
        <w:t>.</w:t>
      </w:r>
      <w:r w:rsidR="008325AF">
        <w:rPr>
          <w:sz w:val="24"/>
          <w:szCs w:val="24"/>
        </w:rPr>
        <w:t xml:space="preserve"> </w:t>
      </w:r>
      <w:r w:rsidR="00A85A79">
        <w:rPr>
          <w:sz w:val="24"/>
          <w:szCs w:val="24"/>
        </w:rPr>
        <w:t>Overall, these two opposing effects make it impossible to predict employment effects from theory alone. However, a</w:t>
      </w:r>
      <w:r w:rsidR="00F9714A">
        <w:rPr>
          <w:sz w:val="24"/>
          <w:szCs w:val="24"/>
        </w:rPr>
        <w:t>s opposed to the neoclassical model, the Keynesian model</w:t>
      </w:r>
      <w:r w:rsidR="004D5B1F">
        <w:rPr>
          <w:sz w:val="24"/>
          <w:szCs w:val="24"/>
        </w:rPr>
        <w:t xml:space="preserve"> </w:t>
      </w:r>
      <w:r w:rsidR="00B20BAC">
        <w:rPr>
          <w:sz w:val="24"/>
          <w:szCs w:val="24"/>
        </w:rPr>
        <w:t xml:space="preserve">places </w:t>
      </w:r>
      <w:r w:rsidR="00B20BAC">
        <w:rPr>
          <w:sz w:val="24"/>
          <w:szCs w:val="24"/>
        </w:rPr>
        <w:lastRenderedPageBreak/>
        <w:t xml:space="preserve">more emphasis on aggregate demand than labor markets when determining </w:t>
      </w:r>
      <w:r w:rsidR="002822B6">
        <w:rPr>
          <w:sz w:val="24"/>
          <w:szCs w:val="24"/>
        </w:rPr>
        <w:t>employment and production outcomes</w:t>
      </w:r>
      <w:r w:rsidR="00CA706F">
        <w:rPr>
          <w:sz w:val="24"/>
          <w:szCs w:val="24"/>
        </w:rPr>
        <w:t>.</w:t>
      </w:r>
      <w:r w:rsidR="003F328C">
        <w:rPr>
          <w:sz w:val="24"/>
          <w:szCs w:val="24"/>
        </w:rPr>
        <w:t xml:space="preserve"> </w:t>
      </w:r>
    </w:p>
    <w:p w14:paraId="3135B710" w14:textId="24863C7D" w:rsidR="00CA3082" w:rsidRPr="00143C62" w:rsidRDefault="00CA3082" w:rsidP="00BA3F0B">
      <w:pPr>
        <w:pStyle w:val="Heading1"/>
        <w:numPr>
          <w:ilvl w:val="0"/>
          <w:numId w:val="18"/>
        </w:numPr>
        <w:spacing w:line="480" w:lineRule="auto"/>
      </w:pPr>
      <w:bookmarkStart w:id="5" w:name="_Toc71466044"/>
      <w:r w:rsidRPr="00143C62">
        <w:t>Literature Review</w:t>
      </w:r>
      <w:bookmarkEnd w:id="5"/>
    </w:p>
    <w:p w14:paraId="3FFE9387" w14:textId="5E55D660" w:rsidR="00965949" w:rsidRDefault="00D14FEC" w:rsidP="00C70F9E">
      <w:pPr>
        <w:spacing w:line="480" w:lineRule="auto"/>
        <w:ind w:firstLine="220"/>
        <w:rPr>
          <w:sz w:val="24"/>
          <w:szCs w:val="24"/>
        </w:rPr>
      </w:pPr>
      <w:r>
        <w:rPr>
          <w:sz w:val="24"/>
          <w:szCs w:val="24"/>
        </w:rPr>
        <w:t>As minimum wages have been in effect for nearly a century, t</w:t>
      </w:r>
      <w:r w:rsidR="00544EA1">
        <w:rPr>
          <w:sz w:val="24"/>
          <w:szCs w:val="24"/>
        </w:rPr>
        <w:t>he existing literature on minimum wage</w:t>
      </w:r>
      <w:r w:rsidR="00226E77">
        <w:rPr>
          <w:sz w:val="24"/>
          <w:szCs w:val="24"/>
        </w:rPr>
        <w:t>s’ inflationary</w:t>
      </w:r>
      <w:r w:rsidR="00544EA1">
        <w:rPr>
          <w:sz w:val="24"/>
          <w:szCs w:val="24"/>
        </w:rPr>
        <w:t xml:space="preserve"> </w:t>
      </w:r>
      <w:r w:rsidR="009C43E4">
        <w:rPr>
          <w:sz w:val="24"/>
          <w:szCs w:val="24"/>
        </w:rPr>
        <w:t xml:space="preserve">and </w:t>
      </w:r>
      <w:r w:rsidR="005D24E3">
        <w:rPr>
          <w:sz w:val="24"/>
          <w:szCs w:val="24"/>
        </w:rPr>
        <w:t>labor market</w:t>
      </w:r>
      <w:r w:rsidR="009C43E4">
        <w:rPr>
          <w:sz w:val="24"/>
          <w:szCs w:val="24"/>
        </w:rPr>
        <w:t xml:space="preserve"> </w:t>
      </w:r>
      <w:r w:rsidR="00544EA1">
        <w:rPr>
          <w:sz w:val="24"/>
          <w:szCs w:val="24"/>
        </w:rPr>
        <w:t>effect</w:t>
      </w:r>
      <w:r w:rsidR="005D24E3">
        <w:rPr>
          <w:sz w:val="24"/>
          <w:szCs w:val="24"/>
        </w:rPr>
        <w:t>s</w:t>
      </w:r>
      <w:r w:rsidR="00FD2C25">
        <w:rPr>
          <w:sz w:val="24"/>
          <w:szCs w:val="24"/>
        </w:rPr>
        <w:t xml:space="preserve"> </w:t>
      </w:r>
      <w:r w:rsidR="00C86428">
        <w:rPr>
          <w:sz w:val="24"/>
          <w:szCs w:val="24"/>
        </w:rPr>
        <w:t xml:space="preserve">is </w:t>
      </w:r>
      <w:r w:rsidR="00DA3D8E">
        <w:rPr>
          <w:sz w:val="24"/>
          <w:szCs w:val="24"/>
        </w:rPr>
        <w:t>extensive</w:t>
      </w:r>
      <w:r w:rsidR="00A27ED1">
        <w:rPr>
          <w:sz w:val="24"/>
          <w:szCs w:val="24"/>
        </w:rPr>
        <w:t>.</w:t>
      </w:r>
      <w:r w:rsidR="00013D83">
        <w:rPr>
          <w:sz w:val="24"/>
          <w:szCs w:val="24"/>
        </w:rPr>
        <w:t xml:space="preserve"> </w:t>
      </w:r>
      <w:r w:rsidR="005D24E3">
        <w:rPr>
          <w:sz w:val="24"/>
          <w:szCs w:val="24"/>
        </w:rPr>
        <w:t xml:space="preserve">Research methods include </w:t>
      </w:r>
      <w:r w:rsidR="00952476">
        <w:rPr>
          <w:sz w:val="24"/>
          <w:szCs w:val="24"/>
        </w:rPr>
        <w:t xml:space="preserve">both local level case studies and national panel approaches like </w:t>
      </w:r>
      <w:r w:rsidR="00E83DB4">
        <w:rPr>
          <w:sz w:val="24"/>
          <w:szCs w:val="24"/>
        </w:rPr>
        <w:t>ours and</w:t>
      </w:r>
      <w:r w:rsidR="00013D83">
        <w:rPr>
          <w:sz w:val="24"/>
          <w:szCs w:val="24"/>
        </w:rPr>
        <w:t xml:space="preserve"> have expanded greatly since </w:t>
      </w:r>
      <w:r w:rsidR="00A10DEA">
        <w:rPr>
          <w:sz w:val="24"/>
          <w:szCs w:val="24"/>
        </w:rPr>
        <w:t xml:space="preserve">the revitalization of the minimum wage debate by </w:t>
      </w:r>
      <w:r w:rsidR="00013D83">
        <w:rPr>
          <w:sz w:val="24"/>
          <w:szCs w:val="24"/>
        </w:rPr>
        <w:t>Card and Krueger’s 1990s publications</w:t>
      </w:r>
      <w:r w:rsidR="007615E1">
        <w:rPr>
          <w:sz w:val="24"/>
          <w:szCs w:val="24"/>
        </w:rPr>
        <w:t xml:space="preserve">. </w:t>
      </w:r>
      <w:r w:rsidR="001A5475" w:rsidRPr="001A5475">
        <w:rPr>
          <w:sz w:val="24"/>
          <w:szCs w:val="24"/>
        </w:rPr>
        <w:t xml:space="preserve">Analysis of this literature will be restricted to studies conducted contemporary to or after </w:t>
      </w:r>
      <w:r w:rsidR="009758CB">
        <w:rPr>
          <w:sz w:val="24"/>
          <w:szCs w:val="24"/>
        </w:rPr>
        <w:t>Card and Krueger</w:t>
      </w:r>
      <w:r w:rsidR="001A5475" w:rsidRPr="001A5475">
        <w:rPr>
          <w:sz w:val="24"/>
          <w:szCs w:val="24"/>
        </w:rPr>
        <w:t xml:space="preserve">, as they simultaneously reflect the </w:t>
      </w:r>
      <w:r w:rsidR="00186907">
        <w:rPr>
          <w:sz w:val="24"/>
          <w:szCs w:val="24"/>
        </w:rPr>
        <w:t xml:space="preserve">underlying </w:t>
      </w:r>
      <w:r w:rsidR="001A5475" w:rsidRPr="001A5475">
        <w:rPr>
          <w:sz w:val="24"/>
          <w:szCs w:val="24"/>
        </w:rPr>
        <w:t xml:space="preserve">schism of economic thought on minimum wages and benefit from the same divergence in </w:t>
      </w:r>
      <w:r w:rsidR="007310A4">
        <w:rPr>
          <w:sz w:val="24"/>
          <w:szCs w:val="24"/>
        </w:rPr>
        <w:t>regional</w:t>
      </w:r>
      <w:r w:rsidR="001A5475" w:rsidRPr="001A5475">
        <w:rPr>
          <w:sz w:val="24"/>
          <w:szCs w:val="24"/>
        </w:rPr>
        <w:t xml:space="preserve"> minimum wage </w:t>
      </w:r>
      <w:r w:rsidR="007310A4">
        <w:rPr>
          <w:sz w:val="24"/>
          <w:szCs w:val="24"/>
        </w:rPr>
        <w:t>variation</w:t>
      </w:r>
      <w:r w:rsidR="001A5475" w:rsidRPr="001A5475">
        <w:rPr>
          <w:sz w:val="24"/>
          <w:szCs w:val="24"/>
        </w:rPr>
        <w:t xml:space="preserve"> that this study utilizes.</w:t>
      </w:r>
    </w:p>
    <w:p w14:paraId="57598D93" w14:textId="77777777" w:rsidR="005E2D08" w:rsidRPr="0053439A" w:rsidRDefault="005E2D08" w:rsidP="005E2D08">
      <w:pPr>
        <w:pStyle w:val="Heading2"/>
        <w:numPr>
          <w:ilvl w:val="0"/>
          <w:numId w:val="24"/>
        </w:numPr>
        <w:spacing w:line="480" w:lineRule="auto"/>
      </w:pPr>
      <w:bookmarkStart w:id="6" w:name="_Toc71466045"/>
      <w:bookmarkStart w:id="7" w:name="_Hlk58214969"/>
      <w:r w:rsidRPr="0053439A">
        <w:t>Price Effects</w:t>
      </w:r>
      <w:bookmarkEnd w:id="6"/>
    </w:p>
    <w:bookmarkEnd w:id="7"/>
    <w:p w14:paraId="21992209" w14:textId="77777777" w:rsidR="005E2D08" w:rsidRDefault="005E2D08" w:rsidP="005E2D08">
      <w:pPr>
        <w:spacing w:line="480" w:lineRule="auto"/>
        <w:ind w:firstLine="360"/>
        <w:rPr>
          <w:sz w:val="24"/>
          <w:szCs w:val="24"/>
        </w:rPr>
      </w:pPr>
      <w:r>
        <w:rPr>
          <w:sz w:val="24"/>
          <w:szCs w:val="24"/>
        </w:rPr>
        <w:t xml:space="preserve">Studies of this category have looked to estimate the pass through of minimum wages into consumer prices. Most price pass through studies in the past twenty years have focused on individual product markets that involve significant minimum wage labor costs, and do not measure aggregate price movements like this study does. The most common of these industries studied is the fast-food restaurant industry. Such firms often employ a large share of minimum wage workers in their labor structure and have easily available price data, so, theoretically, estimates of minimum wage elasticities of price should be relatively accurate and detectable. The common consensus from these studies is that higher </w:t>
      </w:r>
      <w:r>
        <w:rPr>
          <w:sz w:val="24"/>
          <w:szCs w:val="24"/>
        </w:rPr>
        <w:lastRenderedPageBreak/>
        <w:t xml:space="preserve">minimum wages are associated with a small increase in restaurant prices, with an elasticity generally around 0.04. </w:t>
      </w:r>
    </w:p>
    <w:p w14:paraId="0ABB80C0" w14:textId="77777777" w:rsidR="005E2D08" w:rsidRDefault="005E2D08" w:rsidP="005E2D08">
      <w:pPr>
        <w:spacing w:line="480" w:lineRule="auto"/>
        <w:ind w:firstLine="360"/>
        <w:rPr>
          <w:sz w:val="24"/>
          <w:szCs w:val="24"/>
        </w:rPr>
      </w:pPr>
      <w:r>
        <w:rPr>
          <w:sz w:val="24"/>
          <w:szCs w:val="24"/>
        </w:rPr>
        <w:t xml:space="preserve">Card and Krueger (1994) </w:t>
      </w:r>
      <w:proofErr w:type="gramStart"/>
      <w:r>
        <w:rPr>
          <w:sz w:val="24"/>
          <w:szCs w:val="24"/>
        </w:rPr>
        <w:t>is</w:t>
      </w:r>
      <w:proofErr w:type="gramEnd"/>
      <w:r>
        <w:rPr>
          <w:sz w:val="24"/>
          <w:szCs w:val="24"/>
        </w:rPr>
        <w:t xml:space="preserve"> the most cited local level price effect study and uses the Philadelphia-Camden multi-state metropolitan area, which in 1992 experienced a minimum wage increase effective in New Jersey but not Pennsylvania. This allowed for the researchers to perform a natural experiment in which the Pennsylvanian portion of the metropolitan area served as a convincing counterfactual. The overall relative price increase in New Jersey as compared to Pennsylvania was found to be approximately 4%, but precise minimum wage elasticity estimates were unable to be made in part due to the use of self-reported survey data resulting in large standard errors. A similar study was conducted by Allegretto and Reich (2016), in which the effect of a 25% increase in San Jose’s city minimum wage in 2013 is estimated through online restaurant price data. The data used in this study came directly from restaurants’ online menus and lead to a more accurate restaurant price elasticity estimate of 0.058. Business flight in the form of businesses leaving San Jose for areas with a lower prevailing minimum wage was also found to be negligible.</w:t>
      </w:r>
    </w:p>
    <w:p w14:paraId="5646F22E" w14:textId="526439E1" w:rsidR="005E2D08" w:rsidRDefault="005E2D08" w:rsidP="005E2D08">
      <w:pPr>
        <w:spacing w:line="480" w:lineRule="auto"/>
        <w:rPr>
          <w:sz w:val="24"/>
          <w:szCs w:val="24"/>
        </w:rPr>
      </w:pPr>
      <w:r>
        <w:rPr>
          <w:sz w:val="24"/>
          <w:szCs w:val="24"/>
        </w:rPr>
        <w:t xml:space="preserve"> </w:t>
      </w:r>
      <w:r>
        <w:rPr>
          <w:sz w:val="24"/>
          <w:szCs w:val="24"/>
        </w:rPr>
        <w:tab/>
        <w:t xml:space="preserve">Card and Krueger (1995) again </w:t>
      </w:r>
      <w:proofErr w:type="gramStart"/>
      <w:r>
        <w:rPr>
          <w:sz w:val="24"/>
          <w:szCs w:val="24"/>
        </w:rPr>
        <w:t>explores</w:t>
      </w:r>
      <w:proofErr w:type="gramEnd"/>
      <w:r>
        <w:rPr>
          <w:sz w:val="24"/>
          <w:szCs w:val="24"/>
        </w:rPr>
        <w:t xml:space="preserve"> minimum wage price effects using a national panel of 29 cities and BLS food away from home (FAFH) CPI data from 1989-1992. Similarly-low and imprecise estimates to their 1994 study were found using this national level method, and a null hypothesis of zero price pass through for the 1990 and 1991 federal minimum wage increases was unable to be rejected. Also using city cross-sections and FAFH data, Aaronson (2001) finds a price elasticity of 0.056 that is statistically significant at the </w:t>
      </w:r>
      <w:r>
        <w:rPr>
          <w:sz w:val="24"/>
          <w:szCs w:val="24"/>
        </w:rPr>
        <w:lastRenderedPageBreak/>
        <w:t>1% level for the years 1978-1995. Full price pass through is concluded from this result. Similar methodologies, results, and conclusions were reported in Aaronson, French, and MacDonald (2008), Basker and Khan (201</w:t>
      </w:r>
      <w:r w:rsidR="008C7DAB">
        <w:rPr>
          <w:sz w:val="24"/>
          <w:szCs w:val="24"/>
        </w:rPr>
        <w:t>6</w:t>
      </w:r>
      <w:r>
        <w:rPr>
          <w:sz w:val="24"/>
          <w:szCs w:val="24"/>
        </w:rPr>
        <w:t xml:space="preserve">), and MacDonald and Nilsson (2016).     </w:t>
      </w:r>
    </w:p>
    <w:p w14:paraId="7AC5C3E5" w14:textId="77777777" w:rsidR="005E2D08" w:rsidRDefault="005E2D08" w:rsidP="005E2D08">
      <w:pPr>
        <w:spacing w:line="480" w:lineRule="auto"/>
        <w:ind w:firstLine="360"/>
        <w:rPr>
          <w:sz w:val="24"/>
          <w:szCs w:val="24"/>
        </w:rPr>
      </w:pPr>
      <w:r>
        <w:rPr>
          <w:sz w:val="24"/>
          <w:szCs w:val="24"/>
        </w:rPr>
        <w:t xml:space="preserve">Lemos (2008) and Allegretto and Reich (2016) provide a broad survey of these fast-food restaurant studies and find that elasticity estimates are generally around 0.04. This equates to a 10% increase in the minimum wage resulting in an estimated 0.4% increase in restaurant prices. Lead and lag effects were also found to be negligible, with price effects centered within the two months surrounding a minimum wage increase. Lemos (2008) further surveys price effects obtained through all-industry inclusive studies. Minimum wage elasticity estimates from these studies are slightly lower, but primarily utilize older data from before 1980 and estimation methods that are not used in more recent research. </w:t>
      </w:r>
    </w:p>
    <w:p w14:paraId="0BDF1FB3" w14:textId="3AFA3F45" w:rsidR="007A77DE" w:rsidRDefault="00D7517D" w:rsidP="005F74E9">
      <w:pPr>
        <w:pStyle w:val="Heading2"/>
        <w:numPr>
          <w:ilvl w:val="0"/>
          <w:numId w:val="24"/>
        </w:numPr>
        <w:spacing w:line="480" w:lineRule="auto"/>
      </w:pPr>
      <w:bookmarkStart w:id="8" w:name="_Toc71466046"/>
      <w:r>
        <w:t>Labor Market</w:t>
      </w:r>
      <w:r w:rsidRPr="0053439A">
        <w:t xml:space="preserve"> Effects</w:t>
      </w:r>
      <w:bookmarkEnd w:id="8"/>
    </w:p>
    <w:p w14:paraId="27CA25E8" w14:textId="1368F616" w:rsidR="00F0522B" w:rsidRDefault="00E61600" w:rsidP="00EE6F4A">
      <w:pPr>
        <w:spacing w:line="480" w:lineRule="auto"/>
        <w:ind w:firstLine="360"/>
        <w:rPr>
          <w:sz w:val="24"/>
          <w:szCs w:val="24"/>
        </w:rPr>
      </w:pPr>
      <w:r>
        <w:rPr>
          <w:sz w:val="24"/>
          <w:szCs w:val="24"/>
        </w:rPr>
        <w:t>For most of its history, the r</w:t>
      </w:r>
      <w:r w:rsidR="00573652">
        <w:rPr>
          <w:sz w:val="24"/>
          <w:szCs w:val="24"/>
        </w:rPr>
        <w:t xml:space="preserve">esearch on the </w:t>
      </w:r>
      <w:r w:rsidR="005F548B">
        <w:rPr>
          <w:sz w:val="24"/>
          <w:szCs w:val="24"/>
        </w:rPr>
        <w:t xml:space="preserve">employment effects of minimum wages </w:t>
      </w:r>
      <w:r w:rsidR="009C5896">
        <w:rPr>
          <w:sz w:val="24"/>
          <w:szCs w:val="24"/>
        </w:rPr>
        <w:t>maintained</w:t>
      </w:r>
      <w:r w:rsidR="00E218F4">
        <w:rPr>
          <w:sz w:val="24"/>
          <w:szCs w:val="24"/>
        </w:rPr>
        <w:t xml:space="preserve"> a consensus o</w:t>
      </w:r>
      <w:r w:rsidR="006F72A2">
        <w:rPr>
          <w:sz w:val="24"/>
          <w:szCs w:val="24"/>
        </w:rPr>
        <w:t xml:space="preserve">n a model of competitive </w:t>
      </w:r>
      <w:r w:rsidR="00D71813">
        <w:rPr>
          <w:sz w:val="24"/>
          <w:szCs w:val="24"/>
        </w:rPr>
        <w:t>low-income</w:t>
      </w:r>
      <w:r w:rsidR="006F72A2">
        <w:rPr>
          <w:sz w:val="24"/>
          <w:szCs w:val="24"/>
        </w:rPr>
        <w:t xml:space="preserve"> labor markets, and thereby </w:t>
      </w:r>
      <w:r w:rsidR="009C5896">
        <w:rPr>
          <w:sz w:val="24"/>
          <w:szCs w:val="24"/>
        </w:rPr>
        <w:t>minimum wage</w:t>
      </w:r>
      <w:r w:rsidR="00E11312">
        <w:rPr>
          <w:sz w:val="24"/>
          <w:szCs w:val="24"/>
        </w:rPr>
        <w:t xml:space="preserve"> increases</w:t>
      </w:r>
      <w:r w:rsidR="009C5896">
        <w:rPr>
          <w:sz w:val="24"/>
          <w:szCs w:val="24"/>
        </w:rPr>
        <w:t xml:space="preserve"> </w:t>
      </w:r>
      <w:r w:rsidR="00E11312">
        <w:rPr>
          <w:sz w:val="24"/>
          <w:szCs w:val="24"/>
        </w:rPr>
        <w:t>leading to</w:t>
      </w:r>
      <w:r w:rsidR="00F85263">
        <w:rPr>
          <w:sz w:val="24"/>
          <w:szCs w:val="24"/>
        </w:rPr>
        <w:t xml:space="preserve"> a tradeoff between income and employment</w:t>
      </w:r>
      <w:r w:rsidR="00A93B44">
        <w:rPr>
          <w:sz w:val="24"/>
          <w:szCs w:val="24"/>
        </w:rPr>
        <w:t xml:space="preserve">. </w:t>
      </w:r>
      <w:r w:rsidR="004F4A71">
        <w:rPr>
          <w:sz w:val="24"/>
          <w:szCs w:val="24"/>
        </w:rPr>
        <w:t xml:space="preserve">Card and Krueger’s 1990s publications </w:t>
      </w:r>
      <w:r w:rsidR="0026615A">
        <w:rPr>
          <w:sz w:val="24"/>
          <w:szCs w:val="24"/>
        </w:rPr>
        <w:t xml:space="preserve">disrupted this </w:t>
      </w:r>
      <w:r w:rsidR="00B40065">
        <w:rPr>
          <w:sz w:val="24"/>
          <w:szCs w:val="24"/>
        </w:rPr>
        <w:t>conse</w:t>
      </w:r>
      <w:r w:rsidR="009D75FE">
        <w:rPr>
          <w:sz w:val="24"/>
          <w:szCs w:val="24"/>
        </w:rPr>
        <w:t>nsus and separated the literature</w:t>
      </w:r>
      <w:r w:rsidR="00AE5F6E">
        <w:rPr>
          <w:sz w:val="24"/>
          <w:szCs w:val="24"/>
        </w:rPr>
        <w:t xml:space="preserve"> </w:t>
      </w:r>
      <w:r w:rsidR="00BF3648">
        <w:rPr>
          <w:sz w:val="24"/>
          <w:szCs w:val="24"/>
        </w:rPr>
        <w:t>into</w:t>
      </w:r>
      <w:r w:rsidR="005F548B">
        <w:rPr>
          <w:sz w:val="24"/>
          <w:szCs w:val="24"/>
        </w:rPr>
        <w:t xml:space="preserve"> two opposing fields</w:t>
      </w:r>
      <w:r w:rsidR="0038221B">
        <w:rPr>
          <w:sz w:val="24"/>
          <w:szCs w:val="24"/>
        </w:rPr>
        <w:t>; the “canonical”</w:t>
      </w:r>
      <w:r w:rsidR="009C2982">
        <w:rPr>
          <w:sz w:val="24"/>
          <w:szCs w:val="24"/>
        </w:rPr>
        <w:t xml:space="preserve"> side </w:t>
      </w:r>
      <w:r w:rsidR="0038221B">
        <w:rPr>
          <w:sz w:val="24"/>
          <w:szCs w:val="24"/>
        </w:rPr>
        <w:t xml:space="preserve">follows </w:t>
      </w:r>
      <w:r w:rsidR="00BF3CB9">
        <w:rPr>
          <w:sz w:val="24"/>
          <w:szCs w:val="24"/>
        </w:rPr>
        <w:t>the prior</w:t>
      </w:r>
      <w:r w:rsidR="0038221B">
        <w:rPr>
          <w:sz w:val="24"/>
          <w:szCs w:val="24"/>
        </w:rPr>
        <w:t xml:space="preserve"> economic theory </w:t>
      </w:r>
      <w:r w:rsidR="00BF3CB9">
        <w:rPr>
          <w:sz w:val="24"/>
          <w:szCs w:val="24"/>
        </w:rPr>
        <w:t xml:space="preserve">and finds </w:t>
      </w:r>
      <w:r w:rsidR="009C2982">
        <w:rPr>
          <w:sz w:val="24"/>
          <w:szCs w:val="24"/>
        </w:rPr>
        <w:t xml:space="preserve">significant negative minimum wage </w:t>
      </w:r>
      <w:r w:rsidR="009D1FE7">
        <w:rPr>
          <w:sz w:val="24"/>
          <w:szCs w:val="24"/>
        </w:rPr>
        <w:t xml:space="preserve">elasticities </w:t>
      </w:r>
      <w:r w:rsidR="00FC769D">
        <w:rPr>
          <w:sz w:val="24"/>
          <w:szCs w:val="24"/>
        </w:rPr>
        <w:t>of around -0.165</w:t>
      </w:r>
      <w:r w:rsidR="0038221B">
        <w:rPr>
          <w:sz w:val="24"/>
          <w:szCs w:val="24"/>
        </w:rPr>
        <w:t xml:space="preserve">, </w:t>
      </w:r>
      <w:r w:rsidR="009D1FE7">
        <w:rPr>
          <w:sz w:val="24"/>
          <w:szCs w:val="24"/>
        </w:rPr>
        <w:t xml:space="preserve">while the </w:t>
      </w:r>
      <w:r w:rsidR="0038221B">
        <w:rPr>
          <w:sz w:val="24"/>
          <w:szCs w:val="24"/>
        </w:rPr>
        <w:t>“new minimum wage research” spurred by Card and Kruege</w:t>
      </w:r>
      <w:r w:rsidR="00142AA2">
        <w:rPr>
          <w:sz w:val="24"/>
          <w:szCs w:val="24"/>
        </w:rPr>
        <w:t>r</w:t>
      </w:r>
      <w:r w:rsidR="0038221B">
        <w:rPr>
          <w:sz w:val="24"/>
          <w:szCs w:val="24"/>
        </w:rPr>
        <w:t xml:space="preserve"> </w:t>
      </w:r>
      <w:r w:rsidR="004C372D">
        <w:rPr>
          <w:sz w:val="24"/>
          <w:szCs w:val="24"/>
        </w:rPr>
        <w:t>contend</w:t>
      </w:r>
      <w:r w:rsidR="00142AA2">
        <w:rPr>
          <w:sz w:val="24"/>
          <w:szCs w:val="24"/>
        </w:rPr>
        <w:t>s</w:t>
      </w:r>
      <w:r w:rsidR="004C372D">
        <w:rPr>
          <w:sz w:val="24"/>
          <w:szCs w:val="24"/>
        </w:rPr>
        <w:t xml:space="preserve"> that these effects are </w:t>
      </w:r>
      <w:r w:rsidR="009774C0">
        <w:rPr>
          <w:sz w:val="24"/>
          <w:szCs w:val="24"/>
        </w:rPr>
        <w:t xml:space="preserve">statistically </w:t>
      </w:r>
      <w:r w:rsidR="002106DE">
        <w:rPr>
          <w:sz w:val="24"/>
          <w:szCs w:val="24"/>
        </w:rPr>
        <w:t xml:space="preserve">indistinguishable </w:t>
      </w:r>
      <w:r w:rsidR="009774C0">
        <w:rPr>
          <w:sz w:val="24"/>
          <w:szCs w:val="24"/>
        </w:rPr>
        <w:t xml:space="preserve">from zero </w:t>
      </w:r>
      <w:r w:rsidR="00976DC5">
        <w:rPr>
          <w:sz w:val="24"/>
          <w:szCs w:val="24"/>
        </w:rPr>
        <w:t xml:space="preserve">when </w:t>
      </w:r>
      <w:r w:rsidR="0038221B">
        <w:rPr>
          <w:sz w:val="24"/>
          <w:szCs w:val="24"/>
        </w:rPr>
        <w:t xml:space="preserve">employing </w:t>
      </w:r>
      <w:r w:rsidR="00C77CE4">
        <w:rPr>
          <w:sz w:val="24"/>
          <w:szCs w:val="24"/>
        </w:rPr>
        <w:t xml:space="preserve">new research </w:t>
      </w:r>
      <w:r w:rsidR="000A3338">
        <w:rPr>
          <w:sz w:val="24"/>
          <w:szCs w:val="24"/>
        </w:rPr>
        <w:t>methods</w:t>
      </w:r>
      <w:r w:rsidR="00C77CE4">
        <w:rPr>
          <w:sz w:val="24"/>
          <w:szCs w:val="24"/>
        </w:rPr>
        <w:t xml:space="preserve"> such as </w:t>
      </w:r>
      <w:r w:rsidR="0038221B">
        <w:rPr>
          <w:sz w:val="24"/>
          <w:szCs w:val="24"/>
        </w:rPr>
        <w:t>quasi-experiment</w:t>
      </w:r>
      <w:r w:rsidR="000A3338">
        <w:rPr>
          <w:sz w:val="24"/>
          <w:szCs w:val="24"/>
        </w:rPr>
        <w:t>ation</w:t>
      </w:r>
      <w:r w:rsidR="00C77CE4">
        <w:rPr>
          <w:sz w:val="24"/>
          <w:szCs w:val="24"/>
        </w:rPr>
        <w:t xml:space="preserve"> </w:t>
      </w:r>
      <w:r w:rsidR="00C544C1">
        <w:rPr>
          <w:sz w:val="24"/>
          <w:szCs w:val="24"/>
        </w:rPr>
        <w:t>or</w:t>
      </w:r>
      <w:r w:rsidR="0038221B">
        <w:rPr>
          <w:sz w:val="24"/>
          <w:szCs w:val="24"/>
        </w:rPr>
        <w:t xml:space="preserve"> </w:t>
      </w:r>
      <w:r w:rsidR="00935D67">
        <w:rPr>
          <w:sz w:val="24"/>
          <w:szCs w:val="24"/>
        </w:rPr>
        <w:t>including</w:t>
      </w:r>
      <w:r w:rsidR="000A3338">
        <w:rPr>
          <w:sz w:val="24"/>
          <w:szCs w:val="24"/>
        </w:rPr>
        <w:t xml:space="preserve"> </w:t>
      </w:r>
      <w:r w:rsidR="00976DC5">
        <w:rPr>
          <w:sz w:val="24"/>
          <w:szCs w:val="24"/>
        </w:rPr>
        <w:t>control</w:t>
      </w:r>
      <w:r w:rsidR="000A3338">
        <w:rPr>
          <w:sz w:val="24"/>
          <w:szCs w:val="24"/>
        </w:rPr>
        <w:t>s</w:t>
      </w:r>
      <w:r w:rsidR="00976DC5">
        <w:rPr>
          <w:sz w:val="24"/>
          <w:szCs w:val="24"/>
        </w:rPr>
        <w:t xml:space="preserve"> for </w:t>
      </w:r>
      <w:r w:rsidR="0052702B">
        <w:rPr>
          <w:sz w:val="24"/>
          <w:szCs w:val="24"/>
        </w:rPr>
        <w:t>regional labor market hetero</w:t>
      </w:r>
      <w:r w:rsidR="00B71651">
        <w:rPr>
          <w:sz w:val="24"/>
          <w:szCs w:val="24"/>
        </w:rPr>
        <w:t>geneity</w:t>
      </w:r>
      <w:r w:rsidR="00976DC5">
        <w:rPr>
          <w:sz w:val="24"/>
          <w:szCs w:val="24"/>
        </w:rPr>
        <w:t>.</w:t>
      </w:r>
      <w:r w:rsidR="007F64EE" w:rsidRPr="007F64EE">
        <w:rPr>
          <w:sz w:val="24"/>
          <w:szCs w:val="24"/>
        </w:rPr>
        <w:t xml:space="preserve"> </w:t>
      </w:r>
      <w:r w:rsidR="007F64EE">
        <w:rPr>
          <w:sz w:val="24"/>
          <w:szCs w:val="24"/>
        </w:rPr>
        <w:t xml:space="preserve">Of those </w:t>
      </w:r>
      <w:r w:rsidR="007F64EE">
        <w:rPr>
          <w:sz w:val="24"/>
          <w:szCs w:val="24"/>
        </w:rPr>
        <w:lastRenderedPageBreak/>
        <w:t xml:space="preserve">who found negligible employment effects, Card and Krueger in the 1990s, and Dube, Reich, and colleagues in the 2010s are the primary authorities in the debate. Neumark and Wascher unofficially represent the former group in both periods. Central to this debate is the effectiveness of different methods of obtaining counterfactuals. </w:t>
      </w:r>
    </w:p>
    <w:p w14:paraId="23B2843C" w14:textId="33D616D3" w:rsidR="00947DB4" w:rsidRDefault="00CE1CA6" w:rsidP="00EE6F4A">
      <w:pPr>
        <w:spacing w:line="480" w:lineRule="auto"/>
        <w:ind w:firstLine="360"/>
        <w:rPr>
          <w:sz w:val="24"/>
          <w:szCs w:val="24"/>
        </w:rPr>
      </w:pPr>
      <w:r>
        <w:rPr>
          <w:sz w:val="24"/>
          <w:szCs w:val="24"/>
        </w:rPr>
        <w:t xml:space="preserve">Using a survey of </w:t>
      </w:r>
      <w:r w:rsidR="0025142C">
        <w:rPr>
          <w:sz w:val="24"/>
          <w:szCs w:val="24"/>
        </w:rPr>
        <w:t xml:space="preserve">Texas restaurants before and after </w:t>
      </w:r>
      <w:r w:rsidR="000E57A8">
        <w:rPr>
          <w:sz w:val="24"/>
          <w:szCs w:val="24"/>
        </w:rPr>
        <w:t>the April 1</w:t>
      </w:r>
      <w:r w:rsidR="000E57A8" w:rsidRPr="000E57A8">
        <w:rPr>
          <w:sz w:val="24"/>
          <w:szCs w:val="24"/>
          <w:vertAlign w:val="superscript"/>
        </w:rPr>
        <w:t>st</w:t>
      </w:r>
      <w:r w:rsidR="000E57A8">
        <w:rPr>
          <w:sz w:val="24"/>
          <w:szCs w:val="24"/>
        </w:rPr>
        <w:t xml:space="preserve">, 1991 </w:t>
      </w:r>
      <w:r w:rsidR="00FE2523">
        <w:rPr>
          <w:sz w:val="24"/>
          <w:szCs w:val="24"/>
        </w:rPr>
        <w:t>f</w:t>
      </w:r>
      <w:r w:rsidR="000E57A8">
        <w:rPr>
          <w:sz w:val="24"/>
          <w:szCs w:val="24"/>
        </w:rPr>
        <w:t>ederal minimum wage increase from $3.80 to $4.25</w:t>
      </w:r>
      <w:r w:rsidR="00FE2523">
        <w:rPr>
          <w:sz w:val="24"/>
          <w:szCs w:val="24"/>
        </w:rPr>
        <w:t xml:space="preserve">, Katz and Krueger </w:t>
      </w:r>
      <w:r w:rsidR="005D2653">
        <w:rPr>
          <w:sz w:val="24"/>
          <w:szCs w:val="24"/>
        </w:rPr>
        <w:t xml:space="preserve">(1992) </w:t>
      </w:r>
      <w:proofErr w:type="gramStart"/>
      <w:r w:rsidR="005D2653">
        <w:rPr>
          <w:sz w:val="24"/>
          <w:szCs w:val="24"/>
        </w:rPr>
        <w:t>identifies</w:t>
      </w:r>
      <w:proofErr w:type="gramEnd"/>
      <w:r w:rsidR="005D2653">
        <w:rPr>
          <w:sz w:val="24"/>
          <w:szCs w:val="24"/>
        </w:rPr>
        <w:t xml:space="preserve"> firms that </w:t>
      </w:r>
      <w:r w:rsidR="00D10A6E">
        <w:rPr>
          <w:sz w:val="24"/>
          <w:szCs w:val="24"/>
        </w:rPr>
        <w:t xml:space="preserve">had </w:t>
      </w:r>
      <w:r w:rsidR="00542FB2">
        <w:rPr>
          <w:sz w:val="24"/>
          <w:szCs w:val="24"/>
        </w:rPr>
        <w:t xml:space="preserve">already </w:t>
      </w:r>
      <w:r w:rsidR="00930F1F">
        <w:rPr>
          <w:sz w:val="24"/>
          <w:szCs w:val="24"/>
        </w:rPr>
        <w:t xml:space="preserve">paid higher </w:t>
      </w:r>
      <w:r w:rsidR="00D8369F">
        <w:rPr>
          <w:sz w:val="24"/>
          <w:szCs w:val="24"/>
        </w:rPr>
        <w:t xml:space="preserve">than </w:t>
      </w:r>
      <w:r w:rsidR="00930F1F">
        <w:rPr>
          <w:sz w:val="24"/>
          <w:szCs w:val="24"/>
        </w:rPr>
        <w:t>$4.25</w:t>
      </w:r>
      <w:r w:rsidR="00912A0C">
        <w:rPr>
          <w:sz w:val="24"/>
          <w:szCs w:val="24"/>
        </w:rPr>
        <w:t>,</w:t>
      </w:r>
      <w:r w:rsidR="00930F1F">
        <w:rPr>
          <w:sz w:val="24"/>
          <w:szCs w:val="24"/>
        </w:rPr>
        <w:t xml:space="preserve"> </w:t>
      </w:r>
      <w:r w:rsidR="003A0A7A">
        <w:rPr>
          <w:sz w:val="24"/>
          <w:szCs w:val="24"/>
        </w:rPr>
        <w:t xml:space="preserve">and thereby </w:t>
      </w:r>
      <w:r w:rsidR="002D4B3F">
        <w:rPr>
          <w:sz w:val="24"/>
          <w:szCs w:val="24"/>
        </w:rPr>
        <w:t>were not</w:t>
      </w:r>
      <w:r w:rsidR="003A0A7A">
        <w:rPr>
          <w:sz w:val="24"/>
          <w:szCs w:val="24"/>
        </w:rPr>
        <w:t xml:space="preserve"> affected by the heightened wage floor</w:t>
      </w:r>
      <w:r w:rsidR="00912A0C">
        <w:rPr>
          <w:sz w:val="24"/>
          <w:szCs w:val="24"/>
        </w:rPr>
        <w:t>,</w:t>
      </w:r>
      <w:r w:rsidR="003A0A7A">
        <w:rPr>
          <w:sz w:val="24"/>
          <w:szCs w:val="24"/>
        </w:rPr>
        <w:t xml:space="preserve"> </w:t>
      </w:r>
      <w:r w:rsidR="00681097">
        <w:rPr>
          <w:sz w:val="24"/>
          <w:szCs w:val="24"/>
        </w:rPr>
        <w:t xml:space="preserve">as a control group to compare against </w:t>
      </w:r>
      <w:r w:rsidR="000B64E8">
        <w:rPr>
          <w:sz w:val="24"/>
          <w:szCs w:val="24"/>
        </w:rPr>
        <w:t xml:space="preserve">a treatment group of </w:t>
      </w:r>
      <w:r w:rsidR="00681097">
        <w:rPr>
          <w:sz w:val="24"/>
          <w:szCs w:val="24"/>
        </w:rPr>
        <w:t xml:space="preserve">firms that </w:t>
      </w:r>
      <w:r w:rsidR="00454BD5">
        <w:rPr>
          <w:sz w:val="24"/>
          <w:szCs w:val="24"/>
        </w:rPr>
        <w:t>didn’t</w:t>
      </w:r>
      <w:r w:rsidR="00681097">
        <w:rPr>
          <w:sz w:val="24"/>
          <w:szCs w:val="24"/>
        </w:rPr>
        <w:t xml:space="preserve">. </w:t>
      </w:r>
      <w:r w:rsidR="00F978D2">
        <w:rPr>
          <w:sz w:val="24"/>
          <w:szCs w:val="24"/>
        </w:rPr>
        <w:t xml:space="preserve">The </w:t>
      </w:r>
      <w:r w:rsidR="0060578A">
        <w:rPr>
          <w:sz w:val="24"/>
          <w:szCs w:val="24"/>
        </w:rPr>
        <w:t xml:space="preserve">observed </w:t>
      </w:r>
      <w:r w:rsidR="00F978D2">
        <w:rPr>
          <w:sz w:val="24"/>
          <w:szCs w:val="24"/>
        </w:rPr>
        <w:t xml:space="preserve">result was that </w:t>
      </w:r>
      <w:r w:rsidR="004B04D5">
        <w:rPr>
          <w:sz w:val="24"/>
          <w:szCs w:val="24"/>
        </w:rPr>
        <w:t xml:space="preserve">firms </w:t>
      </w:r>
      <w:r w:rsidR="00AE513F">
        <w:rPr>
          <w:sz w:val="24"/>
          <w:szCs w:val="24"/>
        </w:rPr>
        <w:t xml:space="preserve">that were </w:t>
      </w:r>
      <w:r w:rsidR="004B04D5">
        <w:rPr>
          <w:sz w:val="24"/>
          <w:szCs w:val="24"/>
        </w:rPr>
        <w:t xml:space="preserve">affected by the </w:t>
      </w:r>
      <w:r w:rsidR="00095B92">
        <w:rPr>
          <w:sz w:val="24"/>
          <w:szCs w:val="24"/>
        </w:rPr>
        <w:t xml:space="preserve">wage increase experienced superior employment growth to those that </w:t>
      </w:r>
      <w:r w:rsidR="00991150">
        <w:rPr>
          <w:sz w:val="24"/>
          <w:szCs w:val="24"/>
        </w:rPr>
        <w:t>were not</w:t>
      </w:r>
      <w:r w:rsidR="003F1435">
        <w:rPr>
          <w:sz w:val="24"/>
          <w:szCs w:val="24"/>
        </w:rPr>
        <w:t>, which strongly contradicted th</w:t>
      </w:r>
      <w:r w:rsidR="00A71BDD">
        <w:rPr>
          <w:sz w:val="24"/>
          <w:szCs w:val="24"/>
        </w:rPr>
        <w:t>e</w:t>
      </w:r>
      <w:r w:rsidR="003F1435">
        <w:rPr>
          <w:sz w:val="24"/>
          <w:szCs w:val="24"/>
        </w:rPr>
        <w:t xml:space="preserve"> previous literature. Card and Krueger (1994)</w:t>
      </w:r>
      <w:r w:rsidR="006E75CC">
        <w:rPr>
          <w:sz w:val="24"/>
          <w:szCs w:val="24"/>
        </w:rPr>
        <w:t xml:space="preserve"> furthered the evidence for this result</w:t>
      </w:r>
      <w:r w:rsidR="00185F7D">
        <w:rPr>
          <w:sz w:val="24"/>
          <w:szCs w:val="24"/>
        </w:rPr>
        <w:t xml:space="preserve">, in which </w:t>
      </w:r>
      <w:r w:rsidR="00AB5EC6">
        <w:rPr>
          <w:sz w:val="24"/>
          <w:szCs w:val="24"/>
        </w:rPr>
        <w:t>the</w:t>
      </w:r>
      <w:r w:rsidR="00BD3ACD">
        <w:rPr>
          <w:sz w:val="24"/>
          <w:szCs w:val="24"/>
        </w:rPr>
        <w:t xml:space="preserve"> </w:t>
      </w:r>
      <w:r w:rsidR="00507313">
        <w:rPr>
          <w:sz w:val="24"/>
          <w:szCs w:val="24"/>
        </w:rPr>
        <w:t xml:space="preserve">New Jersey and Pennsylvania based case study found </w:t>
      </w:r>
      <w:r w:rsidR="007C023C">
        <w:rPr>
          <w:sz w:val="24"/>
          <w:szCs w:val="24"/>
        </w:rPr>
        <w:t xml:space="preserve">a 13% </w:t>
      </w:r>
      <w:r w:rsidR="009270C0">
        <w:rPr>
          <w:sz w:val="24"/>
          <w:szCs w:val="24"/>
        </w:rPr>
        <w:t>increase in New Jersey, the treatment state, compared to Pennsylvania, the control state.</w:t>
      </w:r>
      <w:r w:rsidR="0081725E">
        <w:rPr>
          <w:sz w:val="24"/>
          <w:szCs w:val="24"/>
        </w:rPr>
        <w:t xml:space="preserve"> The joint conclusion of these two studies was that </w:t>
      </w:r>
      <w:r w:rsidR="00DF1D2B">
        <w:rPr>
          <w:sz w:val="24"/>
          <w:szCs w:val="24"/>
        </w:rPr>
        <w:t xml:space="preserve">minimum wages of </w:t>
      </w:r>
      <w:r w:rsidR="00A65838">
        <w:rPr>
          <w:sz w:val="24"/>
          <w:szCs w:val="24"/>
        </w:rPr>
        <w:t xml:space="preserve">a moderate size </w:t>
      </w:r>
      <w:r w:rsidR="006955BE">
        <w:rPr>
          <w:sz w:val="24"/>
          <w:szCs w:val="24"/>
        </w:rPr>
        <w:t>did not</w:t>
      </w:r>
      <w:r w:rsidR="005B3ED8">
        <w:rPr>
          <w:sz w:val="24"/>
          <w:szCs w:val="24"/>
        </w:rPr>
        <w:t xml:space="preserve"> lead to disemployment. </w:t>
      </w:r>
    </w:p>
    <w:p w14:paraId="14164C26" w14:textId="4502852E" w:rsidR="00F0522B" w:rsidRDefault="00D86944" w:rsidP="00EE6F4A">
      <w:pPr>
        <w:spacing w:line="480" w:lineRule="auto"/>
        <w:ind w:firstLine="360"/>
        <w:rPr>
          <w:sz w:val="24"/>
          <w:szCs w:val="24"/>
        </w:rPr>
      </w:pPr>
      <w:r>
        <w:rPr>
          <w:sz w:val="24"/>
          <w:szCs w:val="24"/>
        </w:rPr>
        <w:t xml:space="preserve">These results were challenged in </w:t>
      </w:r>
      <w:r w:rsidR="00BA73F8">
        <w:rPr>
          <w:sz w:val="24"/>
          <w:szCs w:val="24"/>
        </w:rPr>
        <w:t>Neumark and Wascher (2000), in which the</w:t>
      </w:r>
      <w:r w:rsidR="002024FF">
        <w:rPr>
          <w:sz w:val="24"/>
          <w:szCs w:val="24"/>
        </w:rPr>
        <w:t xml:space="preserve"> use of</w:t>
      </w:r>
      <w:r w:rsidR="00BA73F8">
        <w:rPr>
          <w:sz w:val="24"/>
          <w:szCs w:val="24"/>
        </w:rPr>
        <w:t xml:space="preserve"> </w:t>
      </w:r>
      <w:r w:rsidR="006B565C">
        <w:rPr>
          <w:sz w:val="24"/>
          <w:szCs w:val="24"/>
        </w:rPr>
        <w:t xml:space="preserve">telephone survey </w:t>
      </w:r>
      <w:r w:rsidR="00045C80">
        <w:rPr>
          <w:sz w:val="24"/>
          <w:szCs w:val="24"/>
        </w:rPr>
        <w:t xml:space="preserve">data for </w:t>
      </w:r>
      <w:r w:rsidR="00A173CF">
        <w:rPr>
          <w:sz w:val="24"/>
          <w:szCs w:val="24"/>
        </w:rPr>
        <w:t xml:space="preserve">New Jersey and </w:t>
      </w:r>
      <w:r w:rsidR="00E96651">
        <w:rPr>
          <w:sz w:val="24"/>
          <w:szCs w:val="24"/>
        </w:rPr>
        <w:t>Pennsylvania restaurants was criticized</w:t>
      </w:r>
      <w:r w:rsidR="007812F2">
        <w:rPr>
          <w:sz w:val="24"/>
          <w:szCs w:val="24"/>
        </w:rPr>
        <w:t xml:space="preserve"> </w:t>
      </w:r>
      <w:r w:rsidR="002024FF">
        <w:rPr>
          <w:sz w:val="24"/>
          <w:szCs w:val="24"/>
        </w:rPr>
        <w:t>as</w:t>
      </w:r>
      <w:r w:rsidR="003D6297">
        <w:rPr>
          <w:sz w:val="24"/>
          <w:szCs w:val="24"/>
        </w:rPr>
        <w:t xml:space="preserve"> causing a</w:t>
      </w:r>
      <w:r w:rsidR="006955BE">
        <w:rPr>
          <w:sz w:val="24"/>
          <w:szCs w:val="24"/>
        </w:rPr>
        <w:t xml:space="preserve"> lack</w:t>
      </w:r>
      <w:r w:rsidR="003D6297">
        <w:rPr>
          <w:sz w:val="24"/>
          <w:szCs w:val="24"/>
        </w:rPr>
        <w:t xml:space="preserve"> in</w:t>
      </w:r>
      <w:r w:rsidR="006955BE">
        <w:rPr>
          <w:sz w:val="24"/>
          <w:szCs w:val="24"/>
        </w:rPr>
        <w:t xml:space="preserve"> accuracy</w:t>
      </w:r>
      <w:r w:rsidR="004A5890">
        <w:rPr>
          <w:sz w:val="24"/>
          <w:szCs w:val="24"/>
        </w:rPr>
        <w:t xml:space="preserve"> </w:t>
      </w:r>
      <w:r w:rsidR="007812F2">
        <w:rPr>
          <w:sz w:val="24"/>
          <w:szCs w:val="24"/>
        </w:rPr>
        <w:t xml:space="preserve">and </w:t>
      </w:r>
      <w:r w:rsidR="004A5890">
        <w:rPr>
          <w:sz w:val="24"/>
          <w:szCs w:val="24"/>
        </w:rPr>
        <w:t xml:space="preserve">was </w:t>
      </w:r>
      <w:r w:rsidR="007812F2">
        <w:rPr>
          <w:sz w:val="24"/>
          <w:szCs w:val="24"/>
        </w:rPr>
        <w:t xml:space="preserve">replaced with </w:t>
      </w:r>
      <w:r w:rsidR="005A359F">
        <w:rPr>
          <w:sz w:val="24"/>
          <w:szCs w:val="24"/>
        </w:rPr>
        <w:t xml:space="preserve">administrative payroll data </w:t>
      </w:r>
      <w:r w:rsidR="00D5348A">
        <w:rPr>
          <w:sz w:val="24"/>
          <w:szCs w:val="24"/>
        </w:rPr>
        <w:t xml:space="preserve">directly from </w:t>
      </w:r>
      <w:r w:rsidR="002D634E">
        <w:rPr>
          <w:sz w:val="24"/>
          <w:szCs w:val="24"/>
        </w:rPr>
        <w:t xml:space="preserve">a sample of </w:t>
      </w:r>
      <w:r w:rsidR="00D5348A">
        <w:rPr>
          <w:sz w:val="24"/>
          <w:szCs w:val="24"/>
        </w:rPr>
        <w:t>establishments</w:t>
      </w:r>
      <w:r w:rsidR="005A359F">
        <w:rPr>
          <w:sz w:val="24"/>
          <w:szCs w:val="24"/>
        </w:rPr>
        <w:t>. Using this</w:t>
      </w:r>
      <w:r w:rsidR="004A5890">
        <w:rPr>
          <w:sz w:val="24"/>
          <w:szCs w:val="24"/>
        </w:rPr>
        <w:t xml:space="preserve"> payroll data</w:t>
      </w:r>
      <w:r w:rsidR="00997FBB">
        <w:rPr>
          <w:sz w:val="24"/>
          <w:szCs w:val="24"/>
        </w:rPr>
        <w:t xml:space="preserve">, a direct replication of Card and Krueger’s methodology lead to </w:t>
      </w:r>
      <w:r w:rsidR="00DB475F">
        <w:rPr>
          <w:sz w:val="24"/>
          <w:szCs w:val="24"/>
        </w:rPr>
        <w:t xml:space="preserve">contrasting results of an elasticity between -0.21 and -0.22, </w:t>
      </w:r>
      <w:r w:rsidR="00122F5B">
        <w:rPr>
          <w:sz w:val="24"/>
          <w:szCs w:val="24"/>
        </w:rPr>
        <w:t>which was consistent with the canonical literature</w:t>
      </w:r>
      <w:r w:rsidR="00757D9A">
        <w:rPr>
          <w:sz w:val="24"/>
          <w:szCs w:val="24"/>
        </w:rPr>
        <w:t>.</w:t>
      </w:r>
      <w:r w:rsidR="004E2CEC">
        <w:rPr>
          <w:sz w:val="24"/>
          <w:szCs w:val="24"/>
        </w:rPr>
        <w:t xml:space="preserve"> </w:t>
      </w:r>
      <w:r w:rsidR="00D7234C">
        <w:rPr>
          <w:sz w:val="24"/>
          <w:szCs w:val="24"/>
        </w:rPr>
        <w:t>Card and Krueger (2000) addressed the criticism</w:t>
      </w:r>
      <w:r w:rsidR="00A02D7F">
        <w:rPr>
          <w:sz w:val="24"/>
          <w:szCs w:val="24"/>
        </w:rPr>
        <w:t xml:space="preserve"> of their</w:t>
      </w:r>
      <w:r w:rsidR="00FF4176">
        <w:rPr>
          <w:sz w:val="24"/>
          <w:szCs w:val="24"/>
        </w:rPr>
        <w:t xml:space="preserve"> 1994</w:t>
      </w:r>
      <w:r w:rsidR="00A02D7F">
        <w:rPr>
          <w:sz w:val="24"/>
          <w:szCs w:val="24"/>
        </w:rPr>
        <w:t xml:space="preserve"> </w:t>
      </w:r>
      <w:r w:rsidR="00FF4176">
        <w:rPr>
          <w:sz w:val="24"/>
          <w:szCs w:val="24"/>
        </w:rPr>
        <w:t>study</w:t>
      </w:r>
      <w:r w:rsidR="00D7234C">
        <w:rPr>
          <w:sz w:val="24"/>
          <w:szCs w:val="24"/>
        </w:rPr>
        <w:t xml:space="preserve"> </w:t>
      </w:r>
      <w:r w:rsidR="005237C9">
        <w:rPr>
          <w:sz w:val="24"/>
          <w:szCs w:val="24"/>
        </w:rPr>
        <w:t xml:space="preserve">by </w:t>
      </w:r>
      <w:r w:rsidR="000C1EE9">
        <w:rPr>
          <w:sz w:val="24"/>
          <w:szCs w:val="24"/>
        </w:rPr>
        <w:t xml:space="preserve">retesting </w:t>
      </w:r>
      <w:r w:rsidR="006F593D">
        <w:rPr>
          <w:sz w:val="24"/>
          <w:szCs w:val="24"/>
        </w:rPr>
        <w:t xml:space="preserve">the </w:t>
      </w:r>
      <w:r w:rsidR="00A02D7F">
        <w:rPr>
          <w:sz w:val="24"/>
          <w:szCs w:val="24"/>
        </w:rPr>
        <w:t>payroll d</w:t>
      </w:r>
      <w:r w:rsidR="006F593D">
        <w:rPr>
          <w:sz w:val="24"/>
          <w:szCs w:val="24"/>
        </w:rPr>
        <w:t xml:space="preserve">ata provided by Neumark and Wascher and </w:t>
      </w:r>
      <w:r w:rsidR="00A02D7F">
        <w:rPr>
          <w:sz w:val="24"/>
          <w:szCs w:val="24"/>
        </w:rPr>
        <w:t>including new ES-202 data from the Bureau of Labor Statistics.</w:t>
      </w:r>
      <w:r w:rsidR="00F70898">
        <w:rPr>
          <w:sz w:val="24"/>
          <w:szCs w:val="24"/>
        </w:rPr>
        <w:t xml:space="preserve"> </w:t>
      </w:r>
      <w:r w:rsidR="00FD64EB">
        <w:rPr>
          <w:sz w:val="24"/>
          <w:szCs w:val="24"/>
        </w:rPr>
        <w:t>T</w:t>
      </w:r>
      <w:r w:rsidR="001D071A">
        <w:rPr>
          <w:sz w:val="24"/>
          <w:szCs w:val="24"/>
        </w:rPr>
        <w:t xml:space="preserve">hey </w:t>
      </w:r>
      <w:r w:rsidR="00FD64EB">
        <w:rPr>
          <w:sz w:val="24"/>
          <w:szCs w:val="24"/>
        </w:rPr>
        <w:t xml:space="preserve">again </w:t>
      </w:r>
      <w:r w:rsidR="001D071A">
        <w:rPr>
          <w:sz w:val="24"/>
          <w:szCs w:val="24"/>
        </w:rPr>
        <w:t xml:space="preserve">found </w:t>
      </w:r>
      <w:r w:rsidR="000A1677">
        <w:rPr>
          <w:sz w:val="24"/>
          <w:szCs w:val="24"/>
        </w:rPr>
        <w:t xml:space="preserve">either no </w:t>
      </w:r>
      <w:r w:rsidR="003B3AA6">
        <w:rPr>
          <w:sz w:val="24"/>
          <w:szCs w:val="24"/>
        </w:rPr>
        <w:lastRenderedPageBreak/>
        <w:t xml:space="preserve">employment </w:t>
      </w:r>
      <w:r w:rsidR="000A1677">
        <w:rPr>
          <w:sz w:val="24"/>
          <w:szCs w:val="24"/>
        </w:rPr>
        <w:t>effect or a</w:t>
      </w:r>
      <w:r w:rsidR="003B3AA6">
        <w:rPr>
          <w:sz w:val="24"/>
          <w:szCs w:val="24"/>
        </w:rPr>
        <w:t xml:space="preserve"> small positive effect</w:t>
      </w:r>
      <w:r w:rsidR="00595DA1">
        <w:rPr>
          <w:sz w:val="24"/>
          <w:szCs w:val="24"/>
        </w:rPr>
        <w:t xml:space="preserve">, and </w:t>
      </w:r>
      <w:r w:rsidR="00ED608F">
        <w:rPr>
          <w:sz w:val="24"/>
          <w:szCs w:val="24"/>
        </w:rPr>
        <w:t>that a single franchisee in the</w:t>
      </w:r>
      <w:r w:rsidR="00EE0D3D">
        <w:rPr>
          <w:sz w:val="24"/>
          <w:szCs w:val="24"/>
        </w:rPr>
        <w:t xml:space="preserve"> payroll data had </w:t>
      </w:r>
      <w:r w:rsidR="006D6FEF">
        <w:rPr>
          <w:sz w:val="24"/>
          <w:szCs w:val="24"/>
        </w:rPr>
        <w:t xml:space="preserve">on its own </w:t>
      </w:r>
      <w:r w:rsidR="00EE0D3D">
        <w:rPr>
          <w:sz w:val="24"/>
          <w:szCs w:val="24"/>
        </w:rPr>
        <w:t>driven the negative effects reported by Neumark and Wascher.</w:t>
      </w:r>
      <w:r w:rsidR="00772947">
        <w:rPr>
          <w:sz w:val="24"/>
          <w:szCs w:val="24"/>
        </w:rPr>
        <w:t xml:space="preserve"> </w:t>
      </w:r>
      <w:r w:rsidR="00951826">
        <w:rPr>
          <w:sz w:val="24"/>
          <w:szCs w:val="24"/>
        </w:rPr>
        <w:t>Ultimately</w:t>
      </w:r>
      <w:r w:rsidR="00FD64EB">
        <w:rPr>
          <w:sz w:val="24"/>
          <w:szCs w:val="24"/>
        </w:rPr>
        <w:t>,</w:t>
      </w:r>
      <w:r w:rsidR="00951826">
        <w:rPr>
          <w:sz w:val="24"/>
          <w:szCs w:val="24"/>
        </w:rPr>
        <w:t xml:space="preserve"> </w:t>
      </w:r>
      <w:r w:rsidR="00F07D01">
        <w:rPr>
          <w:sz w:val="24"/>
          <w:szCs w:val="24"/>
        </w:rPr>
        <w:t>Card and Krueger maintained their original</w:t>
      </w:r>
      <w:r w:rsidR="009B25ED">
        <w:rPr>
          <w:sz w:val="24"/>
          <w:szCs w:val="24"/>
        </w:rPr>
        <w:t xml:space="preserve"> </w:t>
      </w:r>
      <w:r w:rsidR="00F07D01">
        <w:rPr>
          <w:sz w:val="24"/>
          <w:szCs w:val="24"/>
        </w:rPr>
        <w:t xml:space="preserve">conclusion </w:t>
      </w:r>
      <w:r w:rsidR="00FD64EB">
        <w:rPr>
          <w:sz w:val="24"/>
          <w:szCs w:val="24"/>
        </w:rPr>
        <w:t xml:space="preserve">that </w:t>
      </w:r>
      <w:r w:rsidR="00835F6D">
        <w:rPr>
          <w:sz w:val="24"/>
          <w:szCs w:val="24"/>
        </w:rPr>
        <w:t xml:space="preserve">no effect was </w:t>
      </w:r>
      <w:r w:rsidR="00EF3EE2">
        <w:rPr>
          <w:sz w:val="24"/>
          <w:szCs w:val="24"/>
        </w:rPr>
        <w:t>probable,</w:t>
      </w:r>
      <w:r w:rsidR="00835F6D">
        <w:rPr>
          <w:sz w:val="24"/>
          <w:szCs w:val="24"/>
        </w:rPr>
        <w:t xml:space="preserve"> and a slight increase was possible, </w:t>
      </w:r>
      <w:r w:rsidR="00F07D01">
        <w:rPr>
          <w:sz w:val="24"/>
          <w:szCs w:val="24"/>
        </w:rPr>
        <w:t xml:space="preserve">while Neumark and Wascher </w:t>
      </w:r>
      <w:r w:rsidR="00F37935">
        <w:rPr>
          <w:sz w:val="24"/>
          <w:szCs w:val="24"/>
        </w:rPr>
        <w:t>narrowed their conclusion to</w:t>
      </w:r>
      <w:r w:rsidR="00AC7A78">
        <w:rPr>
          <w:sz w:val="24"/>
          <w:szCs w:val="24"/>
        </w:rPr>
        <w:t xml:space="preserve"> minimum wages </w:t>
      </w:r>
      <w:r w:rsidR="008C623B">
        <w:rPr>
          <w:sz w:val="24"/>
          <w:szCs w:val="24"/>
        </w:rPr>
        <w:t xml:space="preserve">certainly </w:t>
      </w:r>
      <w:r w:rsidR="00A32129">
        <w:rPr>
          <w:sz w:val="24"/>
          <w:szCs w:val="24"/>
        </w:rPr>
        <w:t>not</w:t>
      </w:r>
      <w:r w:rsidR="00AC7A78">
        <w:rPr>
          <w:sz w:val="24"/>
          <w:szCs w:val="24"/>
        </w:rPr>
        <w:t xml:space="preserve"> increas</w:t>
      </w:r>
      <w:r w:rsidR="00F37935">
        <w:rPr>
          <w:sz w:val="24"/>
          <w:szCs w:val="24"/>
        </w:rPr>
        <w:t>ing</w:t>
      </w:r>
      <w:r w:rsidR="00AC7A78">
        <w:rPr>
          <w:sz w:val="24"/>
          <w:szCs w:val="24"/>
        </w:rPr>
        <w:t xml:space="preserve"> employment</w:t>
      </w:r>
      <w:r w:rsidR="002F1878">
        <w:rPr>
          <w:sz w:val="24"/>
          <w:szCs w:val="24"/>
        </w:rPr>
        <w:t xml:space="preserve">. </w:t>
      </w:r>
    </w:p>
    <w:p w14:paraId="65C215AE" w14:textId="0387552D" w:rsidR="002C3EE3" w:rsidRDefault="007B1FAE" w:rsidP="002C3EE3">
      <w:pPr>
        <w:spacing w:line="480" w:lineRule="auto"/>
        <w:ind w:firstLine="220"/>
        <w:rPr>
          <w:sz w:val="24"/>
          <w:szCs w:val="24"/>
        </w:rPr>
      </w:pPr>
      <w:r>
        <w:rPr>
          <w:sz w:val="24"/>
          <w:szCs w:val="24"/>
        </w:rPr>
        <w:t>Following this discussion</w:t>
      </w:r>
      <w:r w:rsidR="00562472">
        <w:rPr>
          <w:sz w:val="24"/>
          <w:szCs w:val="24"/>
        </w:rPr>
        <w:t>,</w:t>
      </w:r>
      <w:r>
        <w:rPr>
          <w:sz w:val="24"/>
          <w:szCs w:val="24"/>
        </w:rPr>
        <w:t xml:space="preserve"> </w:t>
      </w:r>
      <w:r w:rsidR="00962AD6">
        <w:rPr>
          <w:sz w:val="24"/>
          <w:szCs w:val="24"/>
        </w:rPr>
        <w:t xml:space="preserve">Neumark and Wascher (2007) synthesized the </w:t>
      </w:r>
      <w:r w:rsidR="0029167A">
        <w:rPr>
          <w:sz w:val="24"/>
          <w:szCs w:val="24"/>
        </w:rPr>
        <w:t>entirety</w:t>
      </w:r>
      <w:r w:rsidR="00962AD6">
        <w:rPr>
          <w:sz w:val="24"/>
          <w:szCs w:val="24"/>
        </w:rPr>
        <w:t xml:space="preserve"> of the </w:t>
      </w:r>
      <w:r w:rsidR="005F7E83">
        <w:rPr>
          <w:sz w:val="24"/>
          <w:szCs w:val="24"/>
        </w:rPr>
        <w:t>new minimum wage research</w:t>
      </w:r>
      <w:r w:rsidR="00D73F6F">
        <w:rPr>
          <w:sz w:val="24"/>
          <w:szCs w:val="24"/>
        </w:rPr>
        <w:t xml:space="preserve"> </w:t>
      </w:r>
      <w:r w:rsidR="005F7E83">
        <w:rPr>
          <w:sz w:val="24"/>
          <w:szCs w:val="24"/>
        </w:rPr>
        <w:t xml:space="preserve">and found that </w:t>
      </w:r>
      <w:r w:rsidR="004075C9">
        <w:rPr>
          <w:sz w:val="24"/>
          <w:szCs w:val="24"/>
        </w:rPr>
        <w:t xml:space="preserve">variation of estimates </w:t>
      </w:r>
      <w:r w:rsidR="0029167A">
        <w:rPr>
          <w:sz w:val="24"/>
          <w:szCs w:val="24"/>
        </w:rPr>
        <w:t>between</w:t>
      </w:r>
      <w:r w:rsidR="004075C9">
        <w:rPr>
          <w:sz w:val="24"/>
          <w:szCs w:val="24"/>
        </w:rPr>
        <w:t xml:space="preserve"> studies had expanded </w:t>
      </w:r>
      <w:r w:rsidR="00921EA1">
        <w:rPr>
          <w:sz w:val="24"/>
          <w:szCs w:val="24"/>
        </w:rPr>
        <w:t xml:space="preserve">dramatically </w:t>
      </w:r>
      <w:r w:rsidR="005F7E83">
        <w:rPr>
          <w:sz w:val="24"/>
          <w:szCs w:val="24"/>
        </w:rPr>
        <w:t>since</w:t>
      </w:r>
      <w:r w:rsidR="007D6BA7">
        <w:rPr>
          <w:sz w:val="24"/>
          <w:szCs w:val="24"/>
        </w:rPr>
        <w:t xml:space="preserve"> </w:t>
      </w:r>
      <w:r w:rsidR="00A90E10">
        <w:rPr>
          <w:sz w:val="24"/>
          <w:szCs w:val="24"/>
        </w:rPr>
        <w:t xml:space="preserve">the summary </w:t>
      </w:r>
      <w:r w:rsidR="007D4460">
        <w:rPr>
          <w:sz w:val="24"/>
          <w:szCs w:val="24"/>
        </w:rPr>
        <w:t xml:space="preserve">of the canonical literature </w:t>
      </w:r>
      <w:r w:rsidR="00A90E10">
        <w:rPr>
          <w:sz w:val="24"/>
          <w:szCs w:val="24"/>
        </w:rPr>
        <w:t xml:space="preserve">by </w:t>
      </w:r>
      <w:r w:rsidR="004075C9">
        <w:rPr>
          <w:sz w:val="24"/>
          <w:szCs w:val="24"/>
        </w:rPr>
        <w:t>Brown et al (1982)</w:t>
      </w:r>
      <w:r w:rsidR="00921EA1">
        <w:rPr>
          <w:sz w:val="24"/>
          <w:szCs w:val="24"/>
        </w:rPr>
        <w:t>.</w:t>
      </w:r>
      <w:r w:rsidR="00501D02">
        <w:rPr>
          <w:sz w:val="24"/>
          <w:szCs w:val="24"/>
        </w:rPr>
        <w:t xml:space="preserve"> </w:t>
      </w:r>
      <w:r w:rsidR="00303336">
        <w:rPr>
          <w:sz w:val="24"/>
          <w:szCs w:val="24"/>
        </w:rPr>
        <w:t xml:space="preserve">Dube </w:t>
      </w:r>
      <w:r w:rsidR="00B66BC7">
        <w:rPr>
          <w:sz w:val="24"/>
          <w:szCs w:val="24"/>
        </w:rPr>
        <w:t xml:space="preserve">et al (2010) and </w:t>
      </w:r>
      <w:r w:rsidR="00DA1E2D">
        <w:rPr>
          <w:sz w:val="24"/>
          <w:szCs w:val="24"/>
        </w:rPr>
        <w:t>Allegretto</w:t>
      </w:r>
      <w:r w:rsidR="003647E3">
        <w:rPr>
          <w:sz w:val="24"/>
          <w:szCs w:val="24"/>
        </w:rPr>
        <w:t xml:space="preserve"> et all (2011)</w:t>
      </w:r>
      <w:r w:rsidR="00DA1E2D">
        <w:rPr>
          <w:sz w:val="24"/>
          <w:szCs w:val="24"/>
        </w:rPr>
        <w:t xml:space="preserve"> attributed this divergence to </w:t>
      </w:r>
      <w:r w:rsidR="006661DE">
        <w:rPr>
          <w:sz w:val="24"/>
          <w:szCs w:val="24"/>
        </w:rPr>
        <w:t xml:space="preserve">a </w:t>
      </w:r>
      <w:r w:rsidR="00E451EB">
        <w:rPr>
          <w:sz w:val="24"/>
          <w:szCs w:val="24"/>
        </w:rPr>
        <w:t xml:space="preserve">failure </w:t>
      </w:r>
      <w:r w:rsidR="004B757F">
        <w:rPr>
          <w:sz w:val="24"/>
          <w:szCs w:val="24"/>
        </w:rPr>
        <w:t xml:space="preserve">of previous studies </w:t>
      </w:r>
      <w:r w:rsidR="00E451EB">
        <w:rPr>
          <w:sz w:val="24"/>
          <w:szCs w:val="24"/>
        </w:rPr>
        <w:t xml:space="preserve">to control for unobserved </w:t>
      </w:r>
      <w:r w:rsidR="009E043B">
        <w:rPr>
          <w:sz w:val="24"/>
          <w:szCs w:val="24"/>
        </w:rPr>
        <w:t xml:space="preserve">spatial </w:t>
      </w:r>
      <w:r w:rsidR="00EE1B8B">
        <w:rPr>
          <w:sz w:val="24"/>
          <w:szCs w:val="24"/>
        </w:rPr>
        <w:t xml:space="preserve">heterogeneity </w:t>
      </w:r>
      <w:r w:rsidR="009E043B">
        <w:rPr>
          <w:sz w:val="24"/>
          <w:szCs w:val="24"/>
        </w:rPr>
        <w:t>in labor markets</w:t>
      </w:r>
      <w:r w:rsidR="00662CA5">
        <w:rPr>
          <w:sz w:val="24"/>
          <w:szCs w:val="24"/>
        </w:rPr>
        <w:t>,</w:t>
      </w:r>
      <w:r w:rsidR="008F4282" w:rsidRPr="008F4282">
        <w:rPr>
          <w:sz w:val="24"/>
          <w:szCs w:val="24"/>
        </w:rPr>
        <w:t xml:space="preserve"> </w:t>
      </w:r>
      <w:r w:rsidR="008F4282">
        <w:rPr>
          <w:sz w:val="24"/>
          <w:szCs w:val="24"/>
        </w:rPr>
        <w:t>which led to both a downward bias on estimates of employment effects in national panel studies and an overstatement of precision in regional case studies</w:t>
      </w:r>
      <w:r w:rsidR="009E043B">
        <w:rPr>
          <w:sz w:val="24"/>
          <w:szCs w:val="24"/>
        </w:rPr>
        <w:t xml:space="preserve">. </w:t>
      </w:r>
      <w:r w:rsidR="004C5226">
        <w:rPr>
          <w:sz w:val="24"/>
          <w:szCs w:val="24"/>
        </w:rPr>
        <w:t xml:space="preserve">These two studies jointly argued that </w:t>
      </w:r>
      <w:r w:rsidR="007E242E">
        <w:rPr>
          <w:sz w:val="24"/>
          <w:szCs w:val="24"/>
        </w:rPr>
        <w:t xml:space="preserve">differences in regional </w:t>
      </w:r>
      <w:r w:rsidR="00E57C60">
        <w:rPr>
          <w:sz w:val="24"/>
          <w:szCs w:val="24"/>
        </w:rPr>
        <w:t xml:space="preserve">employment patterns </w:t>
      </w:r>
      <w:r w:rsidR="00FA342E">
        <w:rPr>
          <w:sz w:val="24"/>
          <w:szCs w:val="24"/>
        </w:rPr>
        <w:t xml:space="preserve">made </w:t>
      </w:r>
      <w:r w:rsidR="00C707C7">
        <w:rPr>
          <w:sz w:val="24"/>
          <w:szCs w:val="24"/>
        </w:rPr>
        <w:t xml:space="preserve">it problematic to use states </w:t>
      </w:r>
      <w:r w:rsidR="005F6C90">
        <w:rPr>
          <w:sz w:val="24"/>
          <w:szCs w:val="24"/>
        </w:rPr>
        <w:t xml:space="preserve">from different regions as controls for </w:t>
      </w:r>
      <w:r w:rsidR="00B2557A">
        <w:rPr>
          <w:sz w:val="24"/>
          <w:szCs w:val="24"/>
        </w:rPr>
        <w:t xml:space="preserve">each other and addressed this issue in two separate methods. </w:t>
      </w:r>
      <w:r w:rsidR="00827141">
        <w:rPr>
          <w:sz w:val="24"/>
          <w:szCs w:val="24"/>
        </w:rPr>
        <w:t xml:space="preserve">In an extension of </w:t>
      </w:r>
      <w:r w:rsidR="00CC5CE6">
        <w:rPr>
          <w:sz w:val="24"/>
          <w:szCs w:val="24"/>
        </w:rPr>
        <w:t>the</w:t>
      </w:r>
      <w:r w:rsidR="005E697B">
        <w:rPr>
          <w:sz w:val="24"/>
          <w:szCs w:val="24"/>
        </w:rPr>
        <w:t xml:space="preserve"> method used in</w:t>
      </w:r>
      <w:r w:rsidR="00CC5CE6">
        <w:rPr>
          <w:sz w:val="24"/>
          <w:szCs w:val="24"/>
        </w:rPr>
        <w:t xml:space="preserve"> </w:t>
      </w:r>
      <w:r w:rsidR="00827141">
        <w:rPr>
          <w:sz w:val="24"/>
          <w:szCs w:val="24"/>
        </w:rPr>
        <w:t>Card and Krueger</w:t>
      </w:r>
      <w:r w:rsidR="00CC5CE6">
        <w:rPr>
          <w:sz w:val="24"/>
          <w:szCs w:val="24"/>
        </w:rPr>
        <w:t xml:space="preserve"> (1994), </w:t>
      </w:r>
      <w:r w:rsidR="001B66EF">
        <w:rPr>
          <w:sz w:val="24"/>
          <w:szCs w:val="24"/>
        </w:rPr>
        <w:t>Dube et al (2010)</w:t>
      </w:r>
      <w:r w:rsidR="00F157A4">
        <w:rPr>
          <w:sz w:val="24"/>
          <w:szCs w:val="24"/>
        </w:rPr>
        <w:t xml:space="preserve"> </w:t>
      </w:r>
      <w:r w:rsidR="001667F4">
        <w:rPr>
          <w:sz w:val="24"/>
          <w:szCs w:val="24"/>
        </w:rPr>
        <w:t>use</w:t>
      </w:r>
      <w:r w:rsidR="00336BA5">
        <w:rPr>
          <w:sz w:val="24"/>
          <w:szCs w:val="24"/>
        </w:rPr>
        <w:t>s</w:t>
      </w:r>
      <w:r w:rsidR="001667F4">
        <w:rPr>
          <w:sz w:val="24"/>
          <w:szCs w:val="24"/>
        </w:rPr>
        <w:t xml:space="preserve"> a</w:t>
      </w:r>
      <w:r w:rsidR="00F157A4">
        <w:rPr>
          <w:sz w:val="24"/>
          <w:szCs w:val="24"/>
        </w:rPr>
        <w:t xml:space="preserve"> </w:t>
      </w:r>
      <w:r w:rsidR="00B32628">
        <w:rPr>
          <w:sz w:val="24"/>
          <w:szCs w:val="24"/>
        </w:rPr>
        <w:t xml:space="preserve">panel of all </w:t>
      </w:r>
      <w:r w:rsidR="00CA6DC2">
        <w:rPr>
          <w:sz w:val="24"/>
          <w:szCs w:val="24"/>
        </w:rPr>
        <w:t xml:space="preserve">318 pairs of </w:t>
      </w:r>
      <w:r w:rsidR="00D12716">
        <w:rPr>
          <w:sz w:val="24"/>
          <w:szCs w:val="24"/>
        </w:rPr>
        <w:t xml:space="preserve">counties </w:t>
      </w:r>
      <w:r w:rsidR="00F8242E">
        <w:rPr>
          <w:sz w:val="24"/>
          <w:szCs w:val="24"/>
        </w:rPr>
        <w:t xml:space="preserve">that were </w:t>
      </w:r>
      <w:r w:rsidR="00D12716">
        <w:rPr>
          <w:sz w:val="24"/>
          <w:szCs w:val="24"/>
        </w:rPr>
        <w:t>bisected by a state border</w:t>
      </w:r>
      <w:r w:rsidR="00A74A3F">
        <w:rPr>
          <w:sz w:val="24"/>
          <w:szCs w:val="24"/>
        </w:rPr>
        <w:t xml:space="preserve"> </w:t>
      </w:r>
      <w:r w:rsidR="00F8242E">
        <w:rPr>
          <w:sz w:val="24"/>
          <w:szCs w:val="24"/>
        </w:rPr>
        <w:t xml:space="preserve">and </w:t>
      </w:r>
      <w:r w:rsidR="00BA2224">
        <w:rPr>
          <w:sz w:val="24"/>
          <w:szCs w:val="24"/>
        </w:rPr>
        <w:t>provided continuous data b</w:t>
      </w:r>
      <w:r w:rsidR="009C7259">
        <w:rPr>
          <w:sz w:val="24"/>
          <w:szCs w:val="24"/>
        </w:rPr>
        <w:t xml:space="preserve">etween </w:t>
      </w:r>
      <w:r w:rsidR="001034E9">
        <w:rPr>
          <w:sz w:val="24"/>
          <w:szCs w:val="24"/>
        </w:rPr>
        <w:t>1990 and 2006</w:t>
      </w:r>
      <w:r w:rsidR="000D1901">
        <w:rPr>
          <w:sz w:val="24"/>
          <w:szCs w:val="24"/>
        </w:rPr>
        <w:t>, in whic</w:t>
      </w:r>
      <w:r w:rsidR="00D44F4A">
        <w:rPr>
          <w:sz w:val="24"/>
          <w:szCs w:val="24"/>
        </w:rPr>
        <w:t>h these cross-</w:t>
      </w:r>
      <w:r w:rsidR="008C5624">
        <w:rPr>
          <w:sz w:val="24"/>
          <w:szCs w:val="24"/>
        </w:rPr>
        <w:t xml:space="preserve">state </w:t>
      </w:r>
      <w:r w:rsidR="00D44F4A">
        <w:rPr>
          <w:sz w:val="24"/>
          <w:szCs w:val="24"/>
        </w:rPr>
        <w:t xml:space="preserve">counties would </w:t>
      </w:r>
      <w:r w:rsidR="008C5624">
        <w:rPr>
          <w:sz w:val="24"/>
          <w:szCs w:val="24"/>
        </w:rPr>
        <w:t>serve</w:t>
      </w:r>
      <w:r w:rsidR="00D44F4A">
        <w:rPr>
          <w:sz w:val="24"/>
          <w:szCs w:val="24"/>
        </w:rPr>
        <w:t xml:space="preserve"> </w:t>
      </w:r>
      <w:r w:rsidR="008C5624">
        <w:rPr>
          <w:sz w:val="24"/>
          <w:szCs w:val="24"/>
        </w:rPr>
        <w:t xml:space="preserve">as </w:t>
      </w:r>
      <w:r w:rsidR="001379D0">
        <w:rPr>
          <w:sz w:val="24"/>
          <w:szCs w:val="24"/>
        </w:rPr>
        <w:t>counterfactuals</w:t>
      </w:r>
      <w:r w:rsidR="008C5624">
        <w:rPr>
          <w:sz w:val="24"/>
          <w:szCs w:val="24"/>
        </w:rPr>
        <w:t xml:space="preserve"> for each other. </w:t>
      </w:r>
      <w:r w:rsidR="00B2027B">
        <w:rPr>
          <w:sz w:val="24"/>
          <w:szCs w:val="24"/>
        </w:rPr>
        <w:t xml:space="preserve">Employment effects were </w:t>
      </w:r>
      <w:r w:rsidR="00EC372A">
        <w:rPr>
          <w:sz w:val="24"/>
          <w:szCs w:val="24"/>
        </w:rPr>
        <w:t xml:space="preserve">found to be statistically identical to 0, with a 95% confidence interval </w:t>
      </w:r>
      <w:r w:rsidR="009F28A0">
        <w:rPr>
          <w:sz w:val="24"/>
          <w:szCs w:val="24"/>
        </w:rPr>
        <w:t xml:space="preserve">excluding </w:t>
      </w:r>
      <w:r w:rsidR="00681B5E">
        <w:rPr>
          <w:sz w:val="24"/>
          <w:szCs w:val="24"/>
        </w:rPr>
        <w:t>elasticities</w:t>
      </w:r>
      <w:r w:rsidR="009F28A0">
        <w:rPr>
          <w:sz w:val="24"/>
          <w:szCs w:val="24"/>
        </w:rPr>
        <w:t xml:space="preserve"> more negative than -0.178.</w:t>
      </w:r>
      <w:r w:rsidR="00493AD5">
        <w:rPr>
          <w:sz w:val="24"/>
          <w:szCs w:val="24"/>
        </w:rPr>
        <w:t xml:space="preserve"> Similar </w:t>
      </w:r>
      <w:r w:rsidR="00247768">
        <w:rPr>
          <w:sz w:val="24"/>
          <w:szCs w:val="24"/>
        </w:rPr>
        <w:t xml:space="preserve">results were found in Allegretto et al (2011), in which </w:t>
      </w:r>
      <w:r w:rsidR="00266079">
        <w:rPr>
          <w:sz w:val="24"/>
          <w:szCs w:val="24"/>
        </w:rPr>
        <w:t>controls for census division</w:t>
      </w:r>
      <w:r w:rsidR="0054730A">
        <w:rPr>
          <w:sz w:val="24"/>
          <w:szCs w:val="24"/>
        </w:rPr>
        <w:t xml:space="preserve">-specific time effects and </w:t>
      </w:r>
      <w:r w:rsidR="00BC3F61">
        <w:rPr>
          <w:sz w:val="24"/>
          <w:szCs w:val="24"/>
        </w:rPr>
        <w:t xml:space="preserve">state-specific time trends were added to </w:t>
      </w:r>
      <w:r w:rsidR="00500083">
        <w:rPr>
          <w:sz w:val="24"/>
          <w:szCs w:val="24"/>
        </w:rPr>
        <w:t>the</w:t>
      </w:r>
      <w:r w:rsidR="00701F92">
        <w:rPr>
          <w:sz w:val="24"/>
          <w:szCs w:val="24"/>
        </w:rPr>
        <w:t xml:space="preserve"> </w:t>
      </w:r>
      <w:r w:rsidR="00247768">
        <w:rPr>
          <w:sz w:val="24"/>
          <w:szCs w:val="24"/>
        </w:rPr>
        <w:t>standard national panel</w:t>
      </w:r>
      <w:r w:rsidR="00701F92">
        <w:rPr>
          <w:sz w:val="24"/>
          <w:szCs w:val="24"/>
        </w:rPr>
        <w:t xml:space="preserve"> </w:t>
      </w:r>
      <w:r w:rsidR="00500083">
        <w:rPr>
          <w:sz w:val="24"/>
          <w:szCs w:val="24"/>
        </w:rPr>
        <w:t>that</w:t>
      </w:r>
      <w:r w:rsidR="00223BE8">
        <w:rPr>
          <w:sz w:val="24"/>
          <w:szCs w:val="24"/>
        </w:rPr>
        <w:t xml:space="preserve"> </w:t>
      </w:r>
      <w:r w:rsidR="00701F92">
        <w:rPr>
          <w:sz w:val="24"/>
          <w:szCs w:val="24"/>
        </w:rPr>
        <w:t xml:space="preserve">only </w:t>
      </w:r>
      <w:r w:rsidR="00A703C5">
        <w:rPr>
          <w:sz w:val="24"/>
          <w:szCs w:val="24"/>
        </w:rPr>
        <w:t>control</w:t>
      </w:r>
      <w:r w:rsidR="002E3CA7">
        <w:rPr>
          <w:sz w:val="24"/>
          <w:szCs w:val="24"/>
        </w:rPr>
        <w:t>s</w:t>
      </w:r>
      <w:r w:rsidR="00A703C5">
        <w:rPr>
          <w:sz w:val="24"/>
          <w:szCs w:val="24"/>
        </w:rPr>
        <w:t xml:space="preserve"> for </w:t>
      </w:r>
      <w:r w:rsidR="00701F92">
        <w:rPr>
          <w:sz w:val="24"/>
          <w:szCs w:val="24"/>
        </w:rPr>
        <w:t>time and state fixed effects.</w:t>
      </w:r>
      <w:r w:rsidR="00A703C5">
        <w:rPr>
          <w:sz w:val="24"/>
          <w:szCs w:val="24"/>
        </w:rPr>
        <w:t xml:space="preserve"> </w:t>
      </w:r>
      <w:r w:rsidR="00574149">
        <w:rPr>
          <w:sz w:val="24"/>
          <w:szCs w:val="24"/>
        </w:rPr>
        <w:t xml:space="preserve">This method </w:t>
      </w:r>
      <w:r w:rsidR="0058085D">
        <w:rPr>
          <w:sz w:val="24"/>
          <w:szCs w:val="24"/>
        </w:rPr>
        <w:t xml:space="preserve">caused states </w:t>
      </w:r>
      <w:r w:rsidR="0058085D">
        <w:rPr>
          <w:sz w:val="24"/>
          <w:szCs w:val="24"/>
        </w:rPr>
        <w:lastRenderedPageBreak/>
        <w:t>to only be compared to those</w:t>
      </w:r>
      <w:r w:rsidR="005D447F">
        <w:rPr>
          <w:sz w:val="24"/>
          <w:szCs w:val="24"/>
        </w:rPr>
        <w:t xml:space="preserve"> in the same census </w:t>
      </w:r>
      <w:r w:rsidR="00500083">
        <w:rPr>
          <w:sz w:val="24"/>
          <w:szCs w:val="24"/>
        </w:rPr>
        <w:t>division and</w:t>
      </w:r>
      <w:r w:rsidR="005D447F">
        <w:rPr>
          <w:sz w:val="24"/>
          <w:szCs w:val="24"/>
        </w:rPr>
        <w:t xml:space="preserve"> yielded </w:t>
      </w:r>
      <w:r w:rsidR="0070646B">
        <w:rPr>
          <w:sz w:val="24"/>
          <w:szCs w:val="24"/>
        </w:rPr>
        <w:t xml:space="preserve">a </w:t>
      </w:r>
      <w:r w:rsidR="000779E5">
        <w:rPr>
          <w:sz w:val="24"/>
          <w:szCs w:val="24"/>
        </w:rPr>
        <w:t xml:space="preserve">positive but </w:t>
      </w:r>
      <w:r w:rsidR="009E28B3">
        <w:rPr>
          <w:sz w:val="24"/>
          <w:szCs w:val="24"/>
        </w:rPr>
        <w:t>non-significant elasticity of 0.047</w:t>
      </w:r>
      <w:r w:rsidR="000779E5">
        <w:rPr>
          <w:sz w:val="24"/>
          <w:szCs w:val="24"/>
        </w:rPr>
        <w:t xml:space="preserve">, </w:t>
      </w:r>
      <w:r w:rsidR="00932B73">
        <w:rPr>
          <w:sz w:val="24"/>
          <w:szCs w:val="24"/>
        </w:rPr>
        <w:t xml:space="preserve">with a 95% confidence interval that ruled out estimates more negative </w:t>
      </w:r>
      <w:r w:rsidR="00A64BC7">
        <w:rPr>
          <w:sz w:val="24"/>
          <w:szCs w:val="24"/>
        </w:rPr>
        <w:t>than -</w:t>
      </w:r>
      <w:r w:rsidR="00932B73">
        <w:rPr>
          <w:sz w:val="24"/>
          <w:szCs w:val="24"/>
        </w:rPr>
        <w:t>0.072</w:t>
      </w:r>
      <w:r w:rsidR="0070646B">
        <w:rPr>
          <w:sz w:val="24"/>
          <w:szCs w:val="24"/>
        </w:rPr>
        <w:t>.</w:t>
      </w:r>
      <w:r w:rsidR="00311186">
        <w:rPr>
          <w:sz w:val="24"/>
          <w:szCs w:val="24"/>
        </w:rPr>
        <w:t xml:space="preserve"> </w:t>
      </w:r>
    </w:p>
    <w:p w14:paraId="069F325D" w14:textId="3C4ED284" w:rsidR="00CA3082" w:rsidRPr="004C0E35" w:rsidRDefault="00CA3082" w:rsidP="002C3EE3">
      <w:pPr>
        <w:pStyle w:val="Heading1"/>
        <w:numPr>
          <w:ilvl w:val="0"/>
          <w:numId w:val="18"/>
        </w:numPr>
        <w:spacing w:line="480" w:lineRule="auto"/>
      </w:pPr>
      <w:bookmarkStart w:id="9" w:name="_Toc71466047"/>
      <w:r w:rsidRPr="004C0E35">
        <w:t>Data</w:t>
      </w:r>
      <w:bookmarkEnd w:id="9"/>
    </w:p>
    <w:p w14:paraId="199DE63E" w14:textId="49A7250B" w:rsidR="00807553" w:rsidRDefault="00CA3082" w:rsidP="001C2406">
      <w:pPr>
        <w:spacing w:line="480" w:lineRule="auto"/>
        <w:ind w:firstLine="220"/>
        <w:rPr>
          <w:sz w:val="24"/>
          <w:szCs w:val="24"/>
        </w:rPr>
      </w:pPr>
      <w:r>
        <w:rPr>
          <w:sz w:val="24"/>
          <w:szCs w:val="24"/>
        </w:rPr>
        <w:t xml:space="preserve">To measure the relationship between minimum wages and macroeconomic outcomes over time and geographical area, the empirical model uses </w:t>
      </w:r>
      <w:r w:rsidR="00363ABD">
        <w:rPr>
          <w:sz w:val="24"/>
          <w:szCs w:val="24"/>
        </w:rPr>
        <w:t xml:space="preserve">a </w:t>
      </w:r>
      <w:r>
        <w:rPr>
          <w:sz w:val="24"/>
          <w:szCs w:val="24"/>
        </w:rPr>
        <w:t xml:space="preserve">panel data </w:t>
      </w:r>
      <w:r w:rsidR="00363ABD">
        <w:rPr>
          <w:sz w:val="24"/>
          <w:szCs w:val="24"/>
        </w:rPr>
        <w:t xml:space="preserve">set that covers a </w:t>
      </w:r>
      <w:r w:rsidR="00D542F0">
        <w:rPr>
          <w:sz w:val="24"/>
          <w:szCs w:val="24"/>
        </w:rPr>
        <w:t>31-year</w:t>
      </w:r>
      <w:r w:rsidR="00363ABD">
        <w:rPr>
          <w:sz w:val="24"/>
          <w:szCs w:val="24"/>
        </w:rPr>
        <w:t xml:space="preserve"> period </w:t>
      </w:r>
      <w:r w:rsidR="006B09CE">
        <w:rPr>
          <w:sz w:val="24"/>
          <w:szCs w:val="24"/>
        </w:rPr>
        <w:t xml:space="preserve">at a quarterly </w:t>
      </w:r>
      <w:r w:rsidR="00AD59BE">
        <w:rPr>
          <w:sz w:val="24"/>
          <w:szCs w:val="24"/>
        </w:rPr>
        <w:t xml:space="preserve">frequency </w:t>
      </w:r>
      <w:r w:rsidR="00363ABD">
        <w:rPr>
          <w:sz w:val="24"/>
          <w:szCs w:val="24"/>
        </w:rPr>
        <w:t>from 19</w:t>
      </w:r>
      <w:r w:rsidR="005E7A7E">
        <w:rPr>
          <w:sz w:val="24"/>
          <w:szCs w:val="24"/>
        </w:rPr>
        <w:t>89</w:t>
      </w:r>
      <w:r w:rsidR="00363ABD">
        <w:rPr>
          <w:sz w:val="24"/>
          <w:szCs w:val="24"/>
        </w:rPr>
        <w:t xml:space="preserve"> to 2019,</w:t>
      </w:r>
      <w:r w:rsidR="00217192">
        <w:rPr>
          <w:sz w:val="24"/>
          <w:szCs w:val="24"/>
        </w:rPr>
        <w:t xml:space="preserve"> </w:t>
      </w:r>
      <w:r w:rsidR="00363ABD">
        <w:rPr>
          <w:sz w:val="24"/>
          <w:szCs w:val="24"/>
        </w:rPr>
        <w:t xml:space="preserve">with each state plus the District of Columbia serving as the cross-sectional units. </w:t>
      </w:r>
      <w:r w:rsidR="00775EBF">
        <w:rPr>
          <w:sz w:val="24"/>
          <w:szCs w:val="24"/>
        </w:rPr>
        <w:t xml:space="preserve">Minimum wages are the independent variable, and the </w:t>
      </w:r>
      <w:r w:rsidR="00AD59BE">
        <w:rPr>
          <w:sz w:val="24"/>
          <w:szCs w:val="24"/>
        </w:rPr>
        <w:t>four</w:t>
      </w:r>
      <w:r w:rsidR="00775EBF">
        <w:rPr>
          <w:sz w:val="24"/>
          <w:szCs w:val="24"/>
        </w:rPr>
        <w:t xml:space="preserve"> dependent variables are inflation</w:t>
      </w:r>
      <w:r w:rsidR="007A0916">
        <w:rPr>
          <w:sz w:val="24"/>
          <w:szCs w:val="24"/>
        </w:rPr>
        <w:t xml:space="preserve"> rates</w:t>
      </w:r>
      <w:r w:rsidR="00775EBF">
        <w:rPr>
          <w:sz w:val="24"/>
          <w:szCs w:val="24"/>
        </w:rPr>
        <w:t>, unemployment rates, labor force participation rates</w:t>
      </w:r>
      <w:r w:rsidR="00264638">
        <w:rPr>
          <w:sz w:val="24"/>
          <w:szCs w:val="24"/>
        </w:rPr>
        <w:t>, and employment to population ratios</w:t>
      </w:r>
      <w:r w:rsidR="00775EBF">
        <w:rPr>
          <w:sz w:val="24"/>
          <w:szCs w:val="24"/>
        </w:rPr>
        <w:t xml:space="preserve">. </w:t>
      </w:r>
      <w:r w:rsidR="002D423F">
        <w:rPr>
          <w:sz w:val="24"/>
          <w:szCs w:val="24"/>
        </w:rPr>
        <w:t>Though</w:t>
      </w:r>
      <w:r w:rsidR="00217192">
        <w:rPr>
          <w:sz w:val="24"/>
          <w:szCs w:val="24"/>
        </w:rPr>
        <w:t xml:space="preserve"> national level minimum wage studies that include price effects are more commonly done using metropolitan area observations</w:t>
      </w:r>
      <w:r w:rsidR="00775EBF">
        <w:rPr>
          <w:sz w:val="24"/>
          <w:szCs w:val="24"/>
        </w:rPr>
        <w:t xml:space="preserve"> due to the lack of federal reporting on state level inflation</w:t>
      </w:r>
      <w:r w:rsidR="00217192">
        <w:rPr>
          <w:sz w:val="24"/>
          <w:szCs w:val="24"/>
        </w:rPr>
        <w:t xml:space="preserve">, the </w:t>
      </w:r>
      <w:r w:rsidR="00EC6F1E">
        <w:rPr>
          <w:sz w:val="24"/>
          <w:szCs w:val="24"/>
        </w:rPr>
        <w:t xml:space="preserve">recent </w:t>
      </w:r>
      <w:r w:rsidR="00217192">
        <w:rPr>
          <w:sz w:val="24"/>
          <w:szCs w:val="24"/>
        </w:rPr>
        <w:t xml:space="preserve">availability of reliable state inflation figures </w:t>
      </w:r>
      <w:r w:rsidR="00775EBF">
        <w:rPr>
          <w:sz w:val="24"/>
          <w:szCs w:val="24"/>
        </w:rPr>
        <w:t xml:space="preserve">from </w:t>
      </w:r>
      <w:r w:rsidR="00EC6F1E">
        <w:rPr>
          <w:sz w:val="24"/>
          <w:szCs w:val="24"/>
        </w:rPr>
        <w:t xml:space="preserve">independent </w:t>
      </w:r>
      <w:r w:rsidR="00775EBF">
        <w:rPr>
          <w:sz w:val="24"/>
          <w:szCs w:val="24"/>
        </w:rPr>
        <w:t xml:space="preserve">studies </w:t>
      </w:r>
      <w:r w:rsidR="00A631E7">
        <w:rPr>
          <w:sz w:val="24"/>
          <w:szCs w:val="24"/>
        </w:rPr>
        <w:t>grants the opportunity</w:t>
      </w:r>
      <w:r w:rsidR="00217192">
        <w:rPr>
          <w:sz w:val="24"/>
          <w:szCs w:val="24"/>
        </w:rPr>
        <w:t xml:space="preserve"> for a state level analysis.</w:t>
      </w:r>
      <w:r w:rsidR="002E0626">
        <w:rPr>
          <w:sz w:val="24"/>
          <w:szCs w:val="24"/>
        </w:rPr>
        <w:t xml:space="preserve"> </w:t>
      </w:r>
      <w:r w:rsidR="00964182">
        <w:rPr>
          <w:sz w:val="24"/>
          <w:szCs w:val="24"/>
        </w:rPr>
        <w:t xml:space="preserve">Compared to </w:t>
      </w:r>
      <w:r w:rsidR="00F7045D">
        <w:rPr>
          <w:sz w:val="24"/>
          <w:szCs w:val="24"/>
        </w:rPr>
        <w:t>extrapolating</w:t>
      </w:r>
      <w:r w:rsidR="00964182">
        <w:rPr>
          <w:sz w:val="24"/>
          <w:szCs w:val="24"/>
        </w:rPr>
        <w:t xml:space="preserve"> </w:t>
      </w:r>
      <w:r w:rsidR="009B2B03">
        <w:rPr>
          <w:sz w:val="24"/>
          <w:szCs w:val="24"/>
        </w:rPr>
        <w:t xml:space="preserve">price data from </w:t>
      </w:r>
      <w:r w:rsidR="00E724F8">
        <w:rPr>
          <w:sz w:val="24"/>
          <w:szCs w:val="24"/>
        </w:rPr>
        <w:t>the</w:t>
      </w:r>
      <w:r w:rsidR="00964182">
        <w:rPr>
          <w:sz w:val="24"/>
          <w:szCs w:val="24"/>
        </w:rPr>
        <w:t xml:space="preserve"> few large metropolitan areas </w:t>
      </w:r>
      <w:r w:rsidR="00E724F8">
        <w:rPr>
          <w:sz w:val="24"/>
          <w:szCs w:val="24"/>
        </w:rPr>
        <w:t xml:space="preserve">that the BLS reports </w:t>
      </w:r>
      <w:r w:rsidR="00A0338F">
        <w:rPr>
          <w:sz w:val="24"/>
          <w:szCs w:val="24"/>
        </w:rPr>
        <w:t xml:space="preserve">consumer price index information for </w:t>
      </w:r>
      <w:r w:rsidR="00964182">
        <w:rPr>
          <w:sz w:val="24"/>
          <w:szCs w:val="24"/>
        </w:rPr>
        <w:t>to entire state</w:t>
      </w:r>
      <w:r w:rsidR="001B53FB">
        <w:rPr>
          <w:sz w:val="24"/>
          <w:szCs w:val="24"/>
        </w:rPr>
        <w:t>s</w:t>
      </w:r>
      <w:r w:rsidR="00964182">
        <w:rPr>
          <w:sz w:val="24"/>
          <w:szCs w:val="24"/>
        </w:rPr>
        <w:t xml:space="preserve">, the </w:t>
      </w:r>
      <w:r w:rsidR="00091EE3">
        <w:rPr>
          <w:sz w:val="24"/>
          <w:szCs w:val="24"/>
        </w:rPr>
        <w:t xml:space="preserve">new </w:t>
      </w:r>
      <w:r w:rsidR="00964182">
        <w:rPr>
          <w:sz w:val="24"/>
          <w:szCs w:val="24"/>
        </w:rPr>
        <w:t>state inflation rates rely on B</w:t>
      </w:r>
      <w:r w:rsidR="00091EE3">
        <w:rPr>
          <w:sz w:val="24"/>
          <w:szCs w:val="24"/>
        </w:rPr>
        <w:t xml:space="preserve">LS </w:t>
      </w:r>
      <w:r w:rsidR="00964182">
        <w:rPr>
          <w:sz w:val="24"/>
          <w:szCs w:val="24"/>
        </w:rPr>
        <w:t>micro-data across entire states</w:t>
      </w:r>
      <w:r w:rsidR="00297C9F">
        <w:rPr>
          <w:sz w:val="24"/>
          <w:szCs w:val="24"/>
        </w:rPr>
        <w:t xml:space="preserve">, </w:t>
      </w:r>
      <w:r w:rsidR="00964182">
        <w:rPr>
          <w:sz w:val="24"/>
          <w:szCs w:val="24"/>
        </w:rPr>
        <w:t>which factors in general price differences between large cities and lesser populated areas. It would not make sense to believe prices in Houston are the same as in its surrounding areas.</w:t>
      </w:r>
      <w:r w:rsidR="0041761E">
        <w:rPr>
          <w:sz w:val="24"/>
          <w:szCs w:val="24"/>
        </w:rPr>
        <w:t xml:space="preserve"> </w:t>
      </w:r>
    </w:p>
    <w:p w14:paraId="610ACAF4" w14:textId="7940D352" w:rsidR="00DE143B" w:rsidRDefault="006C0EE1" w:rsidP="001C2406">
      <w:pPr>
        <w:spacing w:line="480" w:lineRule="auto"/>
        <w:ind w:firstLine="220"/>
        <w:rPr>
          <w:sz w:val="24"/>
          <w:szCs w:val="24"/>
        </w:rPr>
      </w:pPr>
      <w:r>
        <w:rPr>
          <w:sz w:val="24"/>
          <w:szCs w:val="24"/>
        </w:rPr>
        <w:t xml:space="preserve">Additionally, </w:t>
      </w:r>
      <w:r w:rsidR="00B035EC">
        <w:rPr>
          <w:sz w:val="24"/>
          <w:szCs w:val="24"/>
        </w:rPr>
        <w:t>state</w:t>
      </w:r>
      <w:r w:rsidR="008D2A85">
        <w:rPr>
          <w:sz w:val="24"/>
          <w:szCs w:val="24"/>
        </w:rPr>
        <w:t>s</w:t>
      </w:r>
      <w:r w:rsidR="006D1395">
        <w:rPr>
          <w:sz w:val="24"/>
          <w:szCs w:val="24"/>
        </w:rPr>
        <w:t xml:space="preserve"> at the </w:t>
      </w:r>
      <w:r w:rsidR="007A7541">
        <w:rPr>
          <w:sz w:val="24"/>
          <w:szCs w:val="24"/>
        </w:rPr>
        <w:t>all-inclusive</w:t>
      </w:r>
      <w:r w:rsidR="006D1395">
        <w:rPr>
          <w:sz w:val="24"/>
          <w:szCs w:val="24"/>
        </w:rPr>
        <w:t xml:space="preserve"> </w:t>
      </w:r>
      <w:r w:rsidR="00C12F05">
        <w:rPr>
          <w:sz w:val="24"/>
          <w:szCs w:val="24"/>
        </w:rPr>
        <w:t>division</w:t>
      </w:r>
      <w:r w:rsidR="00B40202">
        <w:rPr>
          <w:sz w:val="24"/>
          <w:szCs w:val="24"/>
        </w:rPr>
        <w:t xml:space="preserve"> </w:t>
      </w:r>
      <w:r w:rsidR="008D2A85">
        <w:rPr>
          <w:sz w:val="24"/>
          <w:szCs w:val="24"/>
        </w:rPr>
        <w:t>are the</w:t>
      </w:r>
      <w:r w:rsidR="00B40202">
        <w:rPr>
          <w:sz w:val="24"/>
          <w:szCs w:val="24"/>
        </w:rPr>
        <w:t xml:space="preserve"> most disaggregated level</w:t>
      </w:r>
      <w:r w:rsidR="008D2A85">
        <w:rPr>
          <w:sz w:val="24"/>
          <w:szCs w:val="24"/>
        </w:rPr>
        <w:t xml:space="preserve"> at which all of </w:t>
      </w:r>
      <w:r w:rsidR="00C41A8F">
        <w:rPr>
          <w:sz w:val="24"/>
          <w:szCs w:val="24"/>
        </w:rPr>
        <w:t>the</w:t>
      </w:r>
      <w:r w:rsidR="001C2406">
        <w:rPr>
          <w:sz w:val="24"/>
          <w:szCs w:val="24"/>
        </w:rPr>
        <w:t xml:space="preserve"> variables of interest are available. </w:t>
      </w:r>
      <w:r w:rsidR="0076458F">
        <w:rPr>
          <w:sz w:val="24"/>
          <w:szCs w:val="24"/>
        </w:rPr>
        <w:t>La</w:t>
      </w:r>
      <w:r w:rsidR="00DF3351">
        <w:rPr>
          <w:sz w:val="24"/>
          <w:szCs w:val="24"/>
        </w:rPr>
        <w:t>bor force p</w:t>
      </w:r>
      <w:r w:rsidR="0076458F">
        <w:rPr>
          <w:sz w:val="24"/>
          <w:szCs w:val="24"/>
        </w:rPr>
        <w:t xml:space="preserve">articipation and employment to population ratio </w:t>
      </w:r>
      <w:r w:rsidR="00A33E66">
        <w:rPr>
          <w:sz w:val="24"/>
          <w:szCs w:val="24"/>
        </w:rPr>
        <w:t xml:space="preserve">in particular </w:t>
      </w:r>
      <w:r w:rsidR="0076458F">
        <w:rPr>
          <w:sz w:val="24"/>
          <w:szCs w:val="24"/>
        </w:rPr>
        <w:t xml:space="preserve">are not available at </w:t>
      </w:r>
      <w:r w:rsidR="000046C9">
        <w:rPr>
          <w:sz w:val="24"/>
          <w:szCs w:val="24"/>
        </w:rPr>
        <w:t xml:space="preserve">lower cross sections such as metropolitan </w:t>
      </w:r>
      <w:r w:rsidR="000046C9">
        <w:rPr>
          <w:sz w:val="24"/>
          <w:szCs w:val="24"/>
        </w:rPr>
        <w:lastRenderedPageBreak/>
        <w:t>area</w:t>
      </w:r>
      <w:r w:rsidR="00A86D5C">
        <w:rPr>
          <w:sz w:val="24"/>
          <w:szCs w:val="24"/>
        </w:rPr>
        <w:t>s</w:t>
      </w:r>
      <w:r w:rsidR="0076458F">
        <w:rPr>
          <w:sz w:val="24"/>
          <w:szCs w:val="24"/>
        </w:rPr>
        <w:t xml:space="preserve">. </w:t>
      </w:r>
      <w:r w:rsidR="008C7B35">
        <w:rPr>
          <w:sz w:val="24"/>
          <w:szCs w:val="24"/>
        </w:rPr>
        <w:t xml:space="preserve">Further breaking </w:t>
      </w:r>
      <w:r w:rsidR="001E630F">
        <w:rPr>
          <w:sz w:val="24"/>
          <w:szCs w:val="24"/>
        </w:rPr>
        <w:t xml:space="preserve">estimates down into </w:t>
      </w:r>
      <w:r w:rsidR="00F279AE">
        <w:rPr>
          <w:sz w:val="24"/>
          <w:szCs w:val="24"/>
        </w:rPr>
        <w:t>specific industries</w:t>
      </w:r>
      <w:r w:rsidR="001E630F">
        <w:rPr>
          <w:sz w:val="24"/>
          <w:szCs w:val="24"/>
        </w:rPr>
        <w:t>, which much of the previous literature has done,</w:t>
      </w:r>
      <w:r w:rsidR="00F279AE">
        <w:rPr>
          <w:sz w:val="24"/>
          <w:szCs w:val="24"/>
        </w:rPr>
        <w:t xml:space="preserve"> </w:t>
      </w:r>
      <w:r w:rsidR="000D5167">
        <w:rPr>
          <w:sz w:val="24"/>
          <w:szCs w:val="24"/>
        </w:rPr>
        <w:t>would not</w:t>
      </w:r>
      <w:r w:rsidR="001E630F">
        <w:rPr>
          <w:sz w:val="24"/>
          <w:szCs w:val="24"/>
        </w:rPr>
        <w:t xml:space="preserve"> make sense </w:t>
      </w:r>
      <w:r w:rsidR="004F77D3">
        <w:rPr>
          <w:sz w:val="24"/>
          <w:szCs w:val="24"/>
        </w:rPr>
        <w:t xml:space="preserve">either </w:t>
      </w:r>
      <w:r w:rsidR="001E630F">
        <w:rPr>
          <w:sz w:val="24"/>
          <w:szCs w:val="24"/>
        </w:rPr>
        <w:t xml:space="preserve">when including these </w:t>
      </w:r>
      <w:r w:rsidR="000D5167">
        <w:rPr>
          <w:sz w:val="24"/>
          <w:szCs w:val="24"/>
        </w:rPr>
        <w:t>two labor market indicators</w:t>
      </w:r>
      <w:r w:rsidR="008A4D77">
        <w:rPr>
          <w:sz w:val="24"/>
          <w:szCs w:val="24"/>
        </w:rPr>
        <w:t xml:space="preserve"> as there is no relevant “population base” for an industry</w:t>
      </w:r>
      <w:r w:rsidR="000D5167">
        <w:rPr>
          <w:sz w:val="24"/>
          <w:szCs w:val="24"/>
        </w:rPr>
        <w:t>.</w:t>
      </w:r>
      <w:r w:rsidR="00FC6320">
        <w:rPr>
          <w:sz w:val="24"/>
          <w:szCs w:val="24"/>
        </w:rPr>
        <w:t xml:space="preserve"> </w:t>
      </w:r>
      <w:r w:rsidR="000D27F8">
        <w:rPr>
          <w:sz w:val="24"/>
          <w:szCs w:val="24"/>
        </w:rPr>
        <w:t>Also</w:t>
      </w:r>
      <w:r w:rsidR="001C2406">
        <w:rPr>
          <w:sz w:val="24"/>
          <w:szCs w:val="24"/>
        </w:rPr>
        <w:t xml:space="preserve">, </w:t>
      </w:r>
      <w:r w:rsidR="00384C1A">
        <w:rPr>
          <w:sz w:val="24"/>
          <w:szCs w:val="24"/>
        </w:rPr>
        <w:t xml:space="preserve">viewing minimum wage effects through subpopulations such as teens or low-wage workers </w:t>
      </w:r>
      <w:r w:rsidR="00A43AA7">
        <w:rPr>
          <w:sz w:val="24"/>
          <w:szCs w:val="24"/>
        </w:rPr>
        <w:t xml:space="preserve">as is done in the employment effect literature </w:t>
      </w:r>
      <w:r w:rsidR="002467B4">
        <w:rPr>
          <w:sz w:val="24"/>
          <w:szCs w:val="24"/>
        </w:rPr>
        <w:t>excludes price identifying capabilities. Therefore</w:t>
      </w:r>
      <w:r w:rsidR="00FC6320">
        <w:rPr>
          <w:sz w:val="24"/>
          <w:szCs w:val="24"/>
        </w:rPr>
        <w:t xml:space="preserve"> overall, t</w:t>
      </w:r>
      <w:r w:rsidR="00183291">
        <w:rPr>
          <w:sz w:val="24"/>
          <w:szCs w:val="24"/>
        </w:rPr>
        <w:t xml:space="preserve">his state level approach </w:t>
      </w:r>
      <w:r w:rsidR="00023686">
        <w:rPr>
          <w:sz w:val="24"/>
          <w:szCs w:val="24"/>
        </w:rPr>
        <w:t xml:space="preserve">is the most logical and </w:t>
      </w:r>
      <w:r w:rsidR="00183291">
        <w:rPr>
          <w:sz w:val="24"/>
          <w:szCs w:val="24"/>
        </w:rPr>
        <w:t xml:space="preserve">allows for both a complete area coverage </w:t>
      </w:r>
      <w:r w:rsidR="00802D8B">
        <w:rPr>
          <w:sz w:val="24"/>
          <w:szCs w:val="24"/>
        </w:rPr>
        <w:t xml:space="preserve">for prices </w:t>
      </w:r>
      <w:r w:rsidR="00183291">
        <w:rPr>
          <w:sz w:val="24"/>
          <w:szCs w:val="24"/>
        </w:rPr>
        <w:t>in each state, and access to comprehensive labor market statistics directly from the Bureau of Labor Statistics</w:t>
      </w:r>
      <w:r w:rsidR="00802D8B">
        <w:rPr>
          <w:sz w:val="24"/>
          <w:szCs w:val="24"/>
        </w:rPr>
        <w:t>.</w:t>
      </w:r>
    </w:p>
    <w:p w14:paraId="51551BC3" w14:textId="71990FA4" w:rsidR="006F4D3B" w:rsidRDefault="004B29B0" w:rsidP="006F4D3B">
      <w:pPr>
        <w:spacing w:line="480" w:lineRule="auto"/>
        <w:ind w:firstLine="220"/>
        <w:rPr>
          <w:sz w:val="24"/>
          <w:szCs w:val="24"/>
        </w:rPr>
      </w:pPr>
      <w:r>
        <w:rPr>
          <w:sz w:val="24"/>
          <w:szCs w:val="24"/>
        </w:rPr>
        <w:t>Using state</w:t>
      </w:r>
      <w:r w:rsidR="00775EBF">
        <w:rPr>
          <w:sz w:val="24"/>
          <w:szCs w:val="24"/>
        </w:rPr>
        <w:t xml:space="preserve"> data </w:t>
      </w:r>
      <w:r>
        <w:rPr>
          <w:sz w:val="24"/>
          <w:szCs w:val="24"/>
        </w:rPr>
        <w:t>as opposed to metropolitan area</w:t>
      </w:r>
      <w:r w:rsidR="00775EBF">
        <w:rPr>
          <w:sz w:val="24"/>
          <w:szCs w:val="24"/>
        </w:rPr>
        <w:t>s</w:t>
      </w:r>
      <w:r>
        <w:rPr>
          <w:sz w:val="24"/>
          <w:szCs w:val="24"/>
        </w:rPr>
        <w:t xml:space="preserve"> </w:t>
      </w:r>
      <w:r w:rsidR="00DE143B">
        <w:rPr>
          <w:sz w:val="24"/>
          <w:szCs w:val="24"/>
        </w:rPr>
        <w:t xml:space="preserve">has several </w:t>
      </w:r>
      <w:r w:rsidR="00BD3ADF">
        <w:rPr>
          <w:sz w:val="24"/>
          <w:szCs w:val="24"/>
        </w:rPr>
        <w:t xml:space="preserve">additional </w:t>
      </w:r>
      <w:r w:rsidR="00DE143B">
        <w:rPr>
          <w:sz w:val="24"/>
          <w:szCs w:val="24"/>
        </w:rPr>
        <w:t>advantages. First, the problem of certain metropolitan areas covering multiple cities and states and thereby holding multiple minimum wages is eliminated. As seen in Card and Krueger (1994), the Philadelphia-Camden metropolitan area include</w:t>
      </w:r>
      <w:r w:rsidR="00EC6F1E">
        <w:rPr>
          <w:sz w:val="24"/>
          <w:szCs w:val="24"/>
        </w:rPr>
        <w:t>s</w:t>
      </w:r>
      <w:r w:rsidR="00DE143B">
        <w:rPr>
          <w:sz w:val="24"/>
          <w:szCs w:val="24"/>
        </w:rPr>
        <w:t xml:space="preserve"> both Pennsylvania and </w:t>
      </w:r>
      <w:r w:rsidR="00775EBF">
        <w:rPr>
          <w:sz w:val="24"/>
          <w:szCs w:val="24"/>
        </w:rPr>
        <w:t>New Jersey and</w:t>
      </w:r>
      <w:r w:rsidR="00DE143B">
        <w:rPr>
          <w:sz w:val="24"/>
          <w:szCs w:val="24"/>
        </w:rPr>
        <w:t xml:space="preserve"> hosted two different prevailing minimum wages</w:t>
      </w:r>
      <w:r w:rsidR="00EC6F1E">
        <w:rPr>
          <w:sz w:val="24"/>
          <w:szCs w:val="24"/>
        </w:rPr>
        <w:t xml:space="preserve"> concurrently during the </w:t>
      </w:r>
      <w:r w:rsidR="000C52C6">
        <w:rPr>
          <w:sz w:val="24"/>
          <w:szCs w:val="24"/>
        </w:rPr>
        <w:t>time frame of the study</w:t>
      </w:r>
      <w:r w:rsidR="00DE143B">
        <w:rPr>
          <w:sz w:val="24"/>
          <w:szCs w:val="24"/>
        </w:rPr>
        <w:t xml:space="preserve">. </w:t>
      </w:r>
      <w:r w:rsidR="000C52C6">
        <w:rPr>
          <w:sz w:val="24"/>
          <w:szCs w:val="24"/>
        </w:rPr>
        <w:t xml:space="preserve">A national panel study at the metropolitan level would require that such observations either involve intermediate estimates or be omitted. </w:t>
      </w:r>
      <w:r w:rsidR="00DE143B">
        <w:rPr>
          <w:sz w:val="24"/>
          <w:szCs w:val="24"/>
        </w:rPr>
        <w:t xml:space="preserve">State data </w:t>
      </w:r>
      <w:r w:rsidR="00775EBF">
        <w:rPr>
          <w:sz w:val="24"/>
          <w:szCs w:val="24"/>
        </w:rPr>
        <w:t xml:space="preserve">does </w:t>
      </w:r>
      <w:r w:rsidR="000C52C6">
        <w:rPr>
          <w:sz w:val="24"/>
          <w:szCs w:val="24"/>
        </w:rPr>
        <w:t>not face this problem, and therefore</w:t>
      </w:r>
      <w:r w:rsidR="00775EBF">
        <w:rPr>
          <w:sz w:val="24"/>
          <w:szCs w:val="24"/>
        </w:rPr>
        <w:t xml:space="preserve"> </w:t>
      </w:r>
      <w:r w:rsidR="000C52C6">
        <w:rPr>
          <w:sz w:val="24"/>
          <w:szCs w:val="24"/>
        </w:rPr>
        <w:t>reduces the possibility</w:t>
      </w:r>
      <w:r w:rsidR="00775EBF">
        <w:rPr>
          <w:sz w:val="24"/>
          <w:szCs w:val="24"/>
        </w:rPr>
        <w:t xml:space="preserve"> </w:t>
      </w:r>
      <w:r w:rsidR="000C52C6">
        <w:rPr>
          <w:sz w:val="24"/>
          <w:szCs w:val="24"/>
        </w:rPr>
        <w:t xml:space="preserve">of </w:t>
      </w:r>
      <w:r w:rsidR="00775EBF">
        <w:rPr>
          <w:sz w:val="24"/>
          <w:szCs w:val="24"/>
        </w:rPr>
        <w:t>estimation error</w:t>
      </w:r>
      <w:r w:rsidR="000C52C6">
        <w:rPr>
          <w:sz w:val="24"/>
          <w:szCs w:val="24"/>
        </w:rPr>
        <w:t xml:space="preserve"> and data omission</w:t>
      </w:r>
      <w:r w:rsidR="00775EBF">
        <w:rPr>
          <w:sz w:val="24"/>
          <w:szCs w:val="24"/>
        </w:rPr>
        <w:t>.</w:t>
      </w:r>
      <w:r w:rsidR="00DE143B">
        <w:rPr>
          <w:sz w:val="24"/>
          <w:szCs w:val="24"/>
        </w:rPr>
        <w:t xml:space="preserve"> </w:t>
      </w:r>
      <w:r w:rsidR="00775EBF">
        <w:rPr>
          <w:sz w:val="24"/>
          <w:szCs w:val="24"/>
        </w:rPr>
        <w:t xml:space="preserve">Furthermore, states have universally defined boundaries, so </w:t>
      </w:r>
      <w:r w:rsidR="00EC6F1E">
        <w:rPr>
          <w:sz w:val="24"/>
          <w:szCs w:val="24"/>
        </w:rPr>
        <w:t>the</w:t>
      </w:r>
      <w:r w:rsidR="00775EBF">
        <w:rPr>
          <w:sz w:val="24"/>
          <w:szCs w:val="24"/>
        </w:rPr>
        <w:t xml:space="preserve"> variables of interest represent the exact same geographical area. </w:t>
      </w:r>
      <w:r w:rsidR="00EC6F1E">
        <w:rPr>
          <w:sz w:val="24"/>
          <w:szCs w:val="24"/>
        </w:rPr>
        <w:t>Definitions of metropolitan area</w:t>
      </w:r>
      <w:r w:rsidR="00A71278">
        <w:rPr>
          <w:sz w:val="24"/>
          <w:szCs w:val="24"/>
        </w:rPr>
        <w:t xml:space="preserve"> boundaries</w:t>
      </w:r>
      <w:r w:rsidR="00EC6F1E">
        <w:rPr>
          <w:sz w:val="24"/>
          <w:szCs w:val="24"/>
        </w:rPr>
        <w:t xml:space="preserve"> vary, which leads to area of coverage inconsistencies as unemployment statistics are reported by MSA and inflation is reported by CMSA. </w:t>
      </w:r>
    </w:p>
    <w:p w14:paraId="17D55FEA" w14:textId="0FE688A7" w:rsidR="00B155A5" w:rsidRDefault="006F62C7" w:rsidP="008E33C1">
      <w:pPr>
        <w:spacing w:line="480" w:lineRule="auto"/>
        <w:ind w:firstLine="220"/>
        <w:rPr>
          <w:sz w:val="24"/>
          <w:szCs w:val="24"/>
        </w:rPr>
      </w:pPr>
      <w:r>
        <w:rPr>
          <w:sz w:val="24"/>
          <w:szCs w:val="24"/>
        </w:rPr>
        <w:t>One key disadvantage</w:t>
      </w:r>
      <w:r w:rsidR="00652FBC">
        <w:rPr>
          <w:sz w:val="24"/>
          <w:szCs w:val="24"/>
        </w:rPr>
        <w:t xml:space="preserve"> of state </w:t>
      </w:r>
      <w:r w:rsidR="00CF2D3C">
        <w:rPr>
          <w:sz w:val="24"/>
          <w:szCs w:val="24"/>
        </w:rPr>
        <w:t>data</w:t>
      </w:r>
      <w:r>
        <w:rPr>
          <w:sz w:val="24"/>
          <w:szCs w:val="24"/>
        </w:rPr>
        <w:t>, however, is that</w:t>
      </w:r>
      <w:r w:rsidR="00652FBC">
        <w:rPr>
          <w:sz w:val="24"/>
          <w:szCs w:val="24"/>
        </w:rPr>
        <w:t xml:space="preserve"> </w:t>
      </w:r>
      <w:r w:rsidR="00567F22">
        <w:rPr>
          <w:sz w:val="24"/>
          <w:szCs w:val="24"/>
        </w:rPr>
        <w:t>intrastate minimum wage variation is eliminated</w:t>
      </w:r>
      <w:r w:rsidR="00F20640">
        <w:rPr>
          <w:sz w:val="24"/>
          <w:szCs w:val="24"/>
        </w:rPr>
        <w:t xml:space="preserve">. </w:t>
      </w:r>
      <w:r w:rsidR="00264997">
        <w:rPr>
          <w:sz w:val="24"/>
          <w:szCs w:val="24"/>
        </w:rPr>
        <w:t xml:space="preserve">For example, San Jose city proper has a higher minimum wage than the rest of </w:t>
      </w:r>
      <w:r w:rsidR="00264997">
        <w:rPr>
          <w:sz w:val="24"/>
          <w:szCs w:val="24"/>
        </w:rPr>
        <w:lastRenderedPageBreak/>
        <w:t>the state of California</w:t>
      </w:r>
      <w:r w:rsidR="005508B7">
        <w:rPr>
          <w:sz w:val="24"/>
          <w:szCs w:val="24"/>
        </w:rPr>
        <w:t xml:space="preserve">, </w:t>
      </w:r>
      <w:r w:rsidR="00CB4EAE">
        <w:rPr>
          <w:sz w:val="24"/>
          <w:szCs w:val="24"/>
        </w:rPr>
        <w:t xml:space="preserve">as do many other cities within the state. </w:t>
      </w:r>
      <w:r w:rsidR="009A51EA">
        <w:rPr>
          <w:sz w:val="24"/>
          <w:szCs w:val="24"/>
        </w:rPr>
        <w:t xml:space="preserve">This is problematic since much of the identifying information </w:t>
      </w:r>
      <w:r w:rsidR="00286A4F">
        <w:rPr>
          <w:sz w:val="24"/>
          <w:szCs w:val="24"/>
        </w:rPr>
        <w:t xml:space="preserve">used to calculate state level statistics comes from these cities. </w:t>
      </w:r>
      <w:r w:rsidR="00B155A5">
        <w:rPr>
          <w:sz w:val="24"/>
          <w:szCs w:val="24"/>
        </w:rPr>
        <w:t xml:space="preserve">Philadelphia in particular </w:t>
      </w:r>
      <w:r w:rsidR="00DA6CF3">
        <w:rPr>
          <w:sz w:val="24"/>
          <w:szCs w:val="24"/>
        </w:rPr>
        <w:t xml:space="preserve">highlights this issue, as it is the largest city in the state of Pennsylvania </w:t>
      </w:r>
      <w:r w:rsidR="00245E41">
        <w:rPr>
          <w:sz w:val="24"/>
          <w:szCs w:val="24"/>
        </w:rPr>
        <w:t xml:space="preserve">and </w:t>
      </w:r>
      <w:r w:rsidR="00BD73EA">
        <w:rPr>
          <w:sz w:val="24"/>
          <w:szCs w:val="24"/>
        </w:rPr>
        <w:t xml:space="preserve">in 2019 </w:t>
      </w:r>
      <w:r w:rsidR="00E62361">
        <w:rPr>
          <w:sz w:val="24"/>
          <w:szCs w:val="24"/>
        </w:rPr>
        <w:t xml:space="preserve">had a city minimum wage over 80% </w:t>
      </w:r>
      <w:r w:rsidR="009645DE">
        <w:rPr>
          <w:sz w:val="24"/>
          <w:szCs w:val="24"/>
        </w:rPr>
        <w:t>higher</w:t>
      </w:r>
      <w:r w:rsidR="00E62361">
        <w:rPr>
          <w:sz w:val="24"/>
          <w:szCs w:val="24"/>
        </w:rPr>
        <w:t xml:space="preserve"> than the rest of the state, which maintains the federal minimum wage of $7.25</w:t>
      </w:r>
      <w:r w:rsidR="00230D5C">
        <w:rPr>
          <w:sz w:val="24"/>
          <w:szCs w:val="24"/>
        </w:rPr>
        <w:t>.</w:t>
      </w:r>
      <w:r w:rsidR="00990683">
        <w:rPr>
          <w:sz w:val="24"/>
          <w:szCs w:val="24"/>
        </w:rPr>
        <w:t xml:space="preserve"> </w:t>
      </w:r>
      <w:r w:rsidR="009B6B43">
        <w:rPr>
          <w:sz w:val="24"/>
          <w:szCs w:val="24"/>
        </w:rPr>
        <w:t>N</w:t>
      </w:r>
      <w:r w:rsidR="00ED09AA">
        <w:rPr>
          <w:sz w:val="24"/>
          <w:szCs w:val="24"/>
        </w:rPr>
        <w:t>ew York City</w:t>
      </w:r>
      <w:r w:rsidR="00150710">
        <w:rPr>
          <w:sz w:val="24"/>
          <w:szCs w:val="24"/>
        </w:rPr>
        <w:t>’s 2019</w:t>
      </w:r>
      <w:r w:rsidR="00ED09AA">
        <w:rPr>
          <w:sz w:val="24"/>
          <w:szCs w:val="24"/>
        </w:rPr>
        <w:t xml:space="preserve"> minimum wage </w:t>
      </w:r>
      <w:r w:rsidR="00876679">
        <w:rPr>
          <w:sz w:val="24"/>
          <w:szCs w:val="24"/>
        </w:rPr>
        <w:t xml:space="preserve">was </w:t>
      </w:r>
      <w:r w:rsidR="00ED09AA">
        <w:rPr>
          <w:sz w:val="24"/>
          <w:szCs w:val="24"/>
        </w:rPr>
        <w:t xml:space="preserve">only </w:t>
      </w:r>
      <w:r w:rsidR="001755F0">
        <w:rPr>
          <w:sz w:val="24"/>
          <w:szCs w:val="24"/>
        </w:rPr>
        <w:t xml:space="preserve">35% larger than the rest of the </w:t>
      </w:r>
      <w:proofErr w:type="gramStart"/>
      <w:r w:rsidR="001755F0">
        <w:rPr>
          <w:sz w:val="24"/>
          <w:szCs w:val="24"/>
        </w:rPr>
        <w:t>state</w:t>
      </w:r>
      <w:r w:rsidR="004A6531">
        <w:rPr>
          <w:sz w:val="24"/>
          <w:szCs w:val="24"/>
        </w:rPr>
        <w:t>’s</w:t>
      </w:r>
      <w:proofErr w:type="gramEnd"/>
      <w:r w:rsidR="004A6531">
        <w:rPr>
          <w:sz w:val="24"/>
          <w:szCs w:val="24"/>
        </w:rPr>
        <w:t>,</w:t>
      </w:r>
      <w:r w:rsidR="009B6B43">
        <w:rPr>
          <w:sz w:val="24"/>
          <w:szCs w:val="24"/>
        </w:rPr>
        <w:t xml:space="preserve"> but </w:t>
      </w:r>
      <w:r w:rsidR="00876679">
        <w:rPr>
          <w:sz w:val="24"/>
          <w:szCs w:val="24"/>
        </w:rPr>
        <w:t xml:space="preserve">the city </w:t>
      </w:r>
      <w:r w:rsidR="004C0FF7">
        <w:rPr>
          <w:sz w:val="24"/>
          <w:szCs w:val="24"/>
        </w:rPr>
        <w:t xml:space="preserve">constituted </w:t>
      </w:r>
      <w:r w:rsidR="00172E70">
        <w:rPr>
          <w:sz w:val="24"/>
          <w:szCs w:val="24"/>
        </w:rPr>
        <w:t xml:space="preserve">43% of the state population. </w:t>
      </w:r>
      <w:r w:rsidR="008E33C1">
        <w:rPr>
          <w:sz w:val="24"/>
          <w:szCs w:val="24"/>
        </w:rPr>
        <w:t>Therefore,</w:t>
      </w:r>
      <w:r w:rsidR="00AA1A72">
        <w:rPr>
          <w:sz w:val="24"/>
          <w:szCs w:val="24"/>
        </w:rPr>
        <w:t xml:space="preserve"> given </w:t>
      </w:r>
      <w:r w:rsidR="00C74D45">
        <w:rPr>
          <w:sz w:val="24"/>
          <w:szCs w:val="24"/>
        </w:rPr>
        <w:t>these cities’ importance to their states’ econom</w:t>
      </w:r>
      <w:r w:rsidR="00CA5318">
        <w:rPr>
          <w:sz w:val="24"/>
          <w:szCs w:val="24"/>
        </w:rPr>
        <w:t>ies</w:t>
      </w:r>
      <w:r w:rsidR="00C74D45">
        <w:rPr>
          <w:sz w:val="24"/>
          <w:szCs w:val="24"/>
        </w:rPr>
        <w:t xml:space="preserve">, </w:t>
      </w:r>
      <w:r w:rsidR="00532183">
        <w:rPr>
          <w:sz w:val="24"/>
          <w:szCs w:val="24"/>
        </w:rPr>
        <w:t xml:space="preserve">it is likely that the distorting impacts of </w:t>
      </w:r>
      <w:r w:rsidR="008E33C1">
        <w:rPr>
          <w:sz w:val="24"/>
          <w:szCs w:val="24"/>
        </w:rPr>
        <w:t>this state approach is nontrivial, and that there</w:t>
      </w:r>
      <w:r w:rsidR="000033F1">
        <w:rPr>
          <w:sz w:val="24"/>
          <w:szCs w:val="24"/>
        </w:rPr>
        <w:t xml:space="preserve"> is a </w:t>
      </w:r>
      <w:r w:rsidR="00CD519A">
        <w:rPr>
          <w:sz w:val="24"/>
          <w:szCs w:val="24"/>
        </w:rPr>
        <w:t xml:space="preserve">tradeoff between </w:t>
      </w:r>
      <w:r w:rsidR="00394A13">
        <w:rPr>
          <w:sz w:val="24"/>
          <w:szCs w:val="24"/>
        </w:rPr>
        <w:t xml:space="preserve">complete </w:t>
      </w:r>
      <w:r w:rsidR="000033F1">
        <w:rPr>
          <w:sz w:val="24"/>
          <w:szCs w:val="24"/>
        </w:rPr>
        <w:t>state-</w:t>
      </w:r>
      <w:r w:rsidR="00394A13">
        <w:rPr>
          <w:sz w:val="24"/>
          <w:szCs w:val="24"/>
        </w:rPr>
        <w:t>geographic coverage</w:t>
      </w:r>
      <w:r w:rsidR="00741D14">
        <w:rPr>
          <w:sz w:val="24"/>
          <w:szCs w:val="24"/>
        </w:rPr>
        <w:t xml:space="preserve"> for prices and</w:t>
      </w:r>
      <w:r w:rsidR="00394A13">
        <w:rPr>
          <w:sz w:val="24"/>
          <w:szCs w:val="24"/>
        </w:rPr>
        <w:t xml:space="preserve"> a full labor market in</w:t>
      </w:r>
      <w:r w:rsidR="00741D14">
        <w:rPr>
          <w:sz w:val="24"/>
          <w:szCs w:val="24"/>
        </w:rPr>
        <w:t xml:space="preserve">dicator vector on one </w:t>
      </w:r>
      <w:r w:rsidR="00576738">
        <w:rPr>
          <w:sz w:val="24"/>
          <w:szCs w:val="24"/>
        </w:rPr>
        <w:t>hand</w:t>
      </w:r>
      <w:r w:rsidR="00741D14">
        <w:rPr>
          <w:sz w:val="24"/>
          <w:szCs w:val="24"/>
        </w:rPr>
        <w:t xml:space="preserve">, and </w:t>
      </w:r>
      <w:r w:rsidR="0022466E">
        <w:rPr>
          <w:sz w:val="24"/>
          <w:szCs w:val="24"/>
        </w:rPr>
        <w:t xml:space="preserve">recognition of </w:t>
      </w:r>
      <w:r w:rsidR="00576738">
        <w:rPr>
          <w:sz w:val="24"/>
          <w:szCs w:val="24"/>
        </w:rPr>
        <w:t>intrastate variation on the other.</w:t>
      </w:r>
      <w:r w:rsidR="00980304">
        <w:rPr>
          <w:sz w:val="24"/>
          <w:szCs w:val="24"/>
        </w:rPr>
        <w:t xml:space="preserve"> </w:t>
      </w:r>
      <w:r w:rsidR="00834132">
        <w:rPr>
          <w:sz w:val="24"/>
          <w:szCs w:val="24"/>
        </w:rPr>
        <w:t>In other words, g</w:t>
      </w:r>
      <w:r w:rsidR="006524EB">
        <w:rPr>
          <w:sz w:val="24"/>
          <w:szCs w:val="24"/>
        </w:rPr>
        <w:t>iven the current availability of data</w:t>
      </w:r>
      <w:r w:rsidR="00E067C4">
        <w:rPr>
          <w:sz w:val="24"/>
          <w:szCs w:val="24"/>
        </w:rPr>
        <w:t>,</w:t>
      </w:r>
      <w:r w:rsidR="006524EB">
        <w:rPr>
          <w:sz w:val="24"/>
          <w:szCs w:val="24"/>
        </w:rPr>
        <w:t xml:space="preserve"> some</w:t>
      </w:r>
      <w:r w:rsidR="000D1C76">
        <w:rPr>
          <w:sz w:val="24"/>
          <w:szCs w:val="24"/>
        </w:rPr>
        <w:t xml:space="preserve"> inconsistencies in </w:t>
      </w:r>
      <w:r w:rsidR="00591439">
        <w:rPr>
          <w:sz w:val="24"/>
          <w:szCs w:val="24"/>
        </w:rPr>
        <w:t xml:space="preserve">the </w:t>
      </w:r>
      <w:r w:rsidR="003D1107">
        <w:rPr>
          <w:sz w:val="24"/>
          <w:szCs w:val="24"/>
        </w:rPr>
        <w:t xml:space="preserve">pairing of minimum wages to the dependent variables </w:t>
      </w:r>
      <w:r w:rsidR="00AE3702">
        <w:rPr>
          <w:sz w:val="24"/>
          <w:szCs w:val="24"/>
        </w:rPr>
        <w:t xml:space="preserve">will be present </w:t>
      </w:r>
      <w:r w:rsidR="00F87F62">
        <w:rPr>
          <w:sz w:val="24"/>
          <w:szCs w:val="24"/>
        </w:rPr>
        <w:t>regardless of the methodology used.</w:t>
      </w:r>
    </w:p>
    <w:p w14:paraId="3D6E388A" w14:textId="14A5750A" w:rsidR="006F4D3B" w:rsidRDefault="00E0243F" w:rsidP="00E0243F">
      <w:pPr>
        <w:spacing w:line="480" w:lineRule="auto"/>
        <w:rPr>
          <w:sz w:val="24"/>
          <w:szCs w:val="24"/>
        </w:rPr>
      </w:pPr>
      <w:r>
        <w:rPr>
          <w:sz w:val="24"/>
          <w:szCs w:val="24"/>
        </w:rPr>
        <w:tab/>
        <w:t xml:space="preserve">Table 1 provides </w:t>
      </w:r>
      <w:r w:rsidR="00F27811">
        <w:rPr>
          <w:sz w:val="24"/>
          <w:szCs w:val="24"/>
        </w:rPr>
        <w:t xml:space="preserve">descriptive statistics for </w:t>
      </w:r>
      <w:r w:rsidR="00CD519A">
        <w:rPr>
          <w:sz w:val="24"/>
          <w:szCs w:val="24"/>
        </w:rPr>
        <w:t xml:space="preserve">state minimum wages and </w:t>
      </w:r>
      <w:r w:rsidR="00F27811">
        <w:rPr>
          <w:sz w:val="24"/>
          <w:szCs w:val="24"/>
        </w:rPr>
        <w:t xml:space="preserve">each of the </w:t>
      </w:r>
      <w:r w:rsidR="00CD519A">
        <w:rPr>
          <w:sz w:val="24"/>
          <w:szCs w:val="24"/>
        </w:rPr>
        <w:t xml:space="preserve">dependent </w:t>
      </w:r>
      <w:r w:rsidR="00F27811">
        <w:rPr>
          <w:sz w:val="24"/>
          <w:szCs w:val="24"/>
        </w:rPr>
        <w:t>variables</w:t>
      </w:r>
      <w:r w:rsidR="00024CDD">
        <w:rPr>
          <w:sz w:val="24"/>
          <w:szCs w:val="24"/>
        </w:rPr>
        <w:t>.</w:t>
      </w:r>
    </w:p>
    <w:p w14:paraId="2A87B3E3" w14:textId="330CC83C" w:rsidR="00024CDD" w:rsidRDefault="00024CDD" w:rsidP="00E0243F">
      <w:pPr>
        <w:spacing w:line="480" w:lineRule="auto"/>
        <w:rPr>
          <w:sz w:val="24"/>
          <w:szCs w:val="24"/>
        </w:rPr>
      </w:pPr>
    </w:p>
    <w:p w14:paraId="0C6A6531" w14:textId="13177A36" w:rsidR="00024CDD" w:rsidRDefault="00024CDD" w:rsidP="00E0243F">
      <w:pPr>
        <w:spacing w:line="480" w:lineRule="auto"/>
        <w:rPr>
          <w:sz w:val="24"/>
          <w:szCs w:val="24"/>
        </w:rPr>
      </w:pPr>
    </w:p>
    <w:p w14:paraId="06B81E85" w14:textId="27F280EC" w:rsidR="00024CDD" w:rsidRDefault="00024CDD" w:rsidP="00E0243F">
      <w:pPr>
        <w:spacing w:line="480" w:lineRule="auto"/>
        <w:rPr>
          <w:sz w:val="24"/>
          <w:szCs w:val="24"/>
        </w:rPr>
      </w:pPr>
    </w:p>
    <w:p w14:paraId="1D48B34E" w14:textId="2E2ECDEA" w:rsidR="00024CDD" w:rsidRDefault="00024CDD" w:rsidP="00E0243F">
      <w:pPr>
        <w:spacing w:line="480" w:lineRule="auto"/>
        <w:rPr>
          <w:sz w:val="24"/>
          <w:szCs w:val="24"/>
        </w:rPr>
      </w:pPr>
    </w:p>
    <w:p w14:paraId="549E5EAD" w14:textId="4F9018D9" w:rsidR="00024CDD" w:rsidRDefault="00024CDD" w:rsidP="00E0243F">
      <w:pPr>
        <w:spacing w:line="480" w:lineRule="auto"/>
        <w:rPr>
          <w:sz w:val="24"/>
          <w:szCs w:val="24"/>
        </w:rPr>
      </w:pPr>
    </w:p>
    <w:p w14:paraId="66161565" w14:textId="77777777" w:rsidR="00024CDD" w:rsidRDefault="00024CDD" w:rsidP="00E0243F">
      <w:pPr>
        <w:spacing w:line="480" w:lineRule="auto"/>
        <w:rPr>
          <w:sz w:val="24"/>
          <w:szCs w:val="24"/>
        </w:rPr>
      </w:pPr>
    </w:p>
    <w:p w14:paraId="67982915" w14:textId="77777777" w:rsidR="00975780" w:rsidRPr="00975780" w:rsidRDefault="00975780" w:rsidP="00975780">
      <w:pPr>
        <w:widowControl w:val="0"/>
        <w:autoSpaceDE w:val="0"/>
        <w:autoSpaceDN w:val="0"/>
        <w:adjustRightInd w:val="0"/>
        <w:spacing w:after="0" w:line="240" w:lineRule="auto"/>
        <w:rPr>
          <w:rFonts w:ascii="Garamond" w:eastAsia="Times New Roman" w:hAnsi="Garamond" w:cs="Times New Roman"/>
          <w:sz w:val="28"/>
          <w:szCs w:val="28"/>
        </w:rPr>
      </w:pPr>
      <w:bookmarkStart w:id="10" w:name="_Hlk71408899"/>
      <w:r w:rsidRPr="00975780">
        <w:rPr>
          <w:rFonts w:ascii="Garamond" w:eastAsia="Times New Roman" w:hAnsi="Garamond" w:cs="Times New Roman"/>
          <w:b/>
          <w:bCs/>
          <w:sz w:val="28"/>
          <w:szCs w:val="28"/>
        </w:rPr>
        <w:lastRenderedPageBreak/>
        <w:t xml:space="preserve">Table 1: Descriptive Statistics </w:t>
      </w:r>
    </w:p>
    <w:tbl>
      <w:tblPr>
        <w:tblW w:w="5000" w:type="pct"/>
        <w:tblLook w:val="0000" w:firstRow="0" w:lastRow="0" w:firstColumn="0" w:lastColumn="0" w:noHBand="0" w:noVBand="0"/>
      </w:tblPr>
      <w:tblGrid>
        <w:gridCol w:w="2533"/>
        <w:gridCol w:w="805"/>
        <w:gridCol w:w="1411"/>
        <w:gridCol w:w="1411"/>
        <w:gridCol w:w="1411"/>
        <w:gridCol w:w="1429"/>
      </w:tblGrid>
      <w:tr w:rsidR="0036367D" w:rsidRPr="00975780" w14:paraId="5E42F5D3" w14:textId="77777777" w:rsidTr="004D77AC">
        <w:trPr>
          <w:trHeight w:val="610"/>
        </w:trPr>
        <w:tc>
          <w:tcPr>
            <w:tcW w:w="1407" w:type="pct"/>
            <w:tcBorders>
              <w:top w:val="single" w:sz="4" w:space="0" w:color="auto"/>
              <w:left w:val="nil"/>
              <w:bottom w:val="single" w:sz="10" w:space="0" w:color="auto"/>
              <w:right w:val="nil"/>
            </w:tcBorders>
          </w:tcPr>
          <w:p w14:paraId="536CF314" w14:textId="191B2B37" w:rsidR="00975780" w:rsidRPr="00975780" w:rsidRDefault="00975780" w:rsidP="00975780">
            <w:pPr>
              <w:widowControl w:val="0"/>
              <w:autoSpaceDE w:val="0"/>
              <w:autoSpaceDN w:val="0"/>
              <w:adjustRightInd w:val="0"/>
              <w:spacing w:after="0" w:line="240" w:lineRule="auto"/>
              <w:rPr>
                <w:rFonts w:ascii="Garamond" w:eastAsia="Times New Roman" w:hAnsi="Garamond" w:cs="Times New Roman"/>
                <w:sz w:val="24"/>
                <w:szCs w:val="24"/>
              </w:rPr>
            </w:pPr>
            <w:bookmarkStart w:id="11" w:name="_Hlk71408868"/>
            <w:r w:rsidRPr="00975780">
              <w:rPr>
                <w:rFonts w:ascii="Garamond" w:eastAsia="Times New Roman" w:hAnsi="Garamond" w:cs="Times New Roman"/>
                <w:sz w:val="24"/>
                <w:szCs w:val="24"/>
              </w:rPr>
              <w:t>Variable</w:t>
            </w:r>
          </w:p>
        </w:tc>
        <w:tc>
          <w:tcPr>
            <w:tcW w:w="447" w:type="pct"/>
            <w:tcBorders>
              <w:top w:val="single" w:sz="4" w:space="0" w:color="auto"/>
              <w:left w:val="nil"/>
              <w:bottom w:val="single" w:sz="10" w:space="0" w:color="auto"/>
              <w:right w:val="nil"/>
            </w:tcBorders>
          </w:tcPr>
          <w:p w14:paraId="15B6280D"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 xml:space="preserve"> </w:t>
            </w:r>
            <w:proofErr w:type="spellStart"/>
            <w:r w:rsidRPr="00975780">
              <w:rPr>
                <w:rFonts w:ascii="Garamond" w:eastAsia="Times New Roman" w:hAnsi="Garamond" w:cs="Times New Roman"/>
                <w:sz w:val="24"/>
                <w:szCs w:val="24"/>
              </w:rPr>
              <w:t>Obs</w:t>
            </w:r>
            <w:proofErr w:type="spellEnd"/>
          </w:p>
        </w:tc>
        <w:tc>
          <w:tcPr>
            <w:tcW w:w="784" w:type="pct"/>
            <w:tcBorders>
              <w:top w:val="single" w:sz="4" w:space="0" w:color="auto"/>
              <w:left w:val="nil"/>
              <w:bottom w:val="single" w:sz="10" w:space="0" w:color="auto"/>
              <w:right w:val="nil"/>
            </w:tcBorders>
          </w:tcPr>
          <w:p w14:paraId="082B2FC7"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 xml:space="preserve"> Mean</w:t>
            </w:r>
          </w:p>
        </w:tc>
        <w:tc>
          <w:tcPr>
            <w:tcW w:w="784" w:type="pct"/>
            <w:tcBorders>
              <w:top w:val="single" w:sz="4" w:space="0" w:color="auto"/>
              <w:left w:val="nil"/>
              <w:bottom w:val="single" w:sz="10" w:space="0" w:color="auto"/>
              <w:right w:val="nil"/>
            </w:tcBorders>
          </w:tcPr>
          <w:p w14:paraId="7BD4897B"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 xml:space="preserve"> Std. Dev.</w:t>
            </w:r>
          </w:p>
        </w:tc>
        <w:tc>
          <w:tcPr>
            <w:tcW w:w="784" w:type="pct"/>
            <w:tcBorders>
              <w:top w:val="single" w:sz="4" w:space="0" w:color="auto"/>
              <w:left w:val="nil"/>
              <w:bottom w:val="single" w:sz="10" w:space="0" w:color="auto"/>
              <w:right w:val="nil"/>
            </w:tcBorders>
          </w:tcPr>
          <w:p w14:paraId="23AB299F"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 xml:space="preserve"> Min</w:t>
            </w:r>
          </w:p>
        </w:tc>
        <w:tc>
          <w:tcPr>
            <w:tcW w:w="794" w:type="pct"/>
            <w:tcBorders>
              <w:top w:val="single" w:sz="4" w:space="0" w:color="auto"/>
              <w:left w:val="nil"/>
              <w:bottom w:val="single" w:sz="10" w:space="0" w:color="auto"/>
              <w:right w:val="nil"/>
            </w:tcBorders>
          </w:tcPr>
          <w:p w14:paraId="78688F00"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 xml:space="preserve"> Max</w:t>
            </w:r>
          </w:p>
        </w:tc>
      </w:tr>
      <w:tr w:rsidR="0036367D" w:rsidRPr="00975780" w14:paraId="65C95149" w14:textId="77777777" w:rsidTr="004D77AC">
        <w:trPr>
          <w:trHeight w:val="632"/>
        </w:trPr>
        <w:tc>
          <w:tcPr>
            <w:tcW w:w="1407" w:type="pct"/>
            <w:tcBorders>
              <w:top w:val="nil"/>
              <w:left w:val="nil"/>
              <w:bottom w:val="nil"/>
              <w:right w:val="nil"/>
            </w:tcBorders>
          </w:tcPr>
          <w:p w14:paraId="49DD7F30" w14:textId="4F23AF27" w:rsidR="00975780" w:rsidRPr="00975780" w:rsidRDefault="00975780" w:rsidP="00975780">
            <w:pPr>
              <w:widowControl w:val="0"/>
              <w:autoSpaceDE w:val="0"/>
              <w:autoSpaceDN w:val="0"/>
              <w:adjustRightInd w:val="0"/>
              <w:spacing w:after="0" w:line="240" w:lineRule="auto"/>
              <w:rPr>
                <w:rFonts w:ascii="Garamond" w:eastAsia="Times New Roman" w:hAnsi="Garamond" w:cs="Times New Roman"/>
                <w:sz w:val="24"/>
                <w:szCs w:val="24"/>
              </w:rPr>
            </w:pPr>
            <w:r w:rsidRPr="00975780">
              <w:rPr>
                <w:rFonts w:ascii="Garamond" w:eastAsia="Times New Roman" w:hAnsi="Garamond" w:cs="Times New Roman"/>
                <w:sz w:val="24"/>
                <w:szCs w:val="24"/>
              </w:rPr>
              <w:t xml:space="preserve"> </w:t>
            </w:r>
            <w:r w:rsidR="00192D93">
              <w:rPr>
                <w:rFonts w:ascii="Garamond" w:eastAsia="Times New Roman" w:hAnsi="Garamond" w:cs="Times New Roman"/>
                <w:sz w:val="24"/>
                <w:szCs w:val="24"/>
              </w:rPr>
              <w:t>M</w:t>
            </w:r>
            <w:r w:rsidRPr="00975780">
              <w:rPr>
                <w:rFonts w:ascii="Garamond" w:eastAsia="Times New Roman" w:hAnsi="Garamond" w:cs="Times New Roman"/>
                <w:sz w:val="24"/>
                <w:szCs w:val="24"/>
              </w:rPr>
              <w:t>in</w:t>
            </w:r>
            <w:r w:rsidR="00192D93">
              <w:rPr>
                <w:rFonts w:ascii="Garamond" w:eastAsia="Times New Roman" w:hAnsi="Garamond" w:cs="Times New Roman"/>
                <w:sz w:val="24"/>
                <w:szCs w:val="24"/>
              </w:rPr>
              <w:t xml:space="preserve">imum </w:t>
            </w:r>
            <w:r w:rsidRPr="00975780">
              <w:rPr>
                <w:rFonts w:ascii="Garamond" w:eastAsia="Times New Roman" w:hAnsi="Garamond" w:cs="Times New Roman"/>
                <w:sz w:val="24"/>
                <w:szCs w:val="24"/>
              </w:rPr>
              <w:t>wage</w:t>
            </w:r>
          </w:p>
        </w:tc>
        <w:tc>
          <w:tcPr>
            <w:tcW w:w="447" w:type="pct"/>
            <w:tcBorders>
              <w:top w:val="nil"/>
              <w:left w:val="nil"/>
              <w:bottom w:val="nil"/>
              <w:right w:val="nil"/>
            </w:tcBorders>
          </w:tcPr>
          <w:p w14:paraId="51651E9E"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6324</w:t>
            </w:r>
          </w:p>
        </w:tc>
        <w:tc>
          <w:tcPr>
            <w:tcW w:w="784" w:type="pct"/>
            <w:tcBorders>
              <w:top w:val="nil"/>
              <w:left w:val="nil"/>
              <w:bottom w:val="nil"/>
              <w:right w:val="nil"/>
            </w:tcBorders>
          </w:tcPr>
          <w:p w14:paraId="2F54667F"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6.039</w:t>
            </w:r>
          </w:p>
        </w:tc>
        <w:tc>
          <w:tcPr>
            <w:tcW w:w="784" w:type="pct"/>
            <w:tcBorders>
              <w:top w:val="nil"/>
              <w:left w:val="nil"/>
              <w:bottom w:val="nil"/>
              <w:right w:val="nil"/>
            </w:tcBorders>
          </w:tcPr>
          <w:p w14:paraId="53ECDA78"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1.688</w:t>
            </w:r>
          </w:p>
        </w:tc>
        <w:tc>
          <w:tcPr>
            <w:tcW w:w="784" w:type="pct"/>
            <w:tcBorders>
              <w:top w:val="nil"/>
              <w:left w:val="nil"/>
              <w:bottom w:val="nil"/>
              <w:right w:val="nil"/>
            </w:tcBorders>
          </w:tcPr>
          <w:p w14:paraId="4086209C"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3.35</w:t>
            </w:r>
          </w:p>
        </w:tc>
        <w:tc>
          <w:tcPr>
            <w:tcW w:w="794" w:type="pct"/>
            <w:tcBorders>
              <w:top w:val="nil"/>
              <w:left w:val="nil"/>
              <w:bottom w:val="nil"/>
              <w:right w:val="nil"/>
            </w:tcBorders>
          </w:tcPr>
          <w:p w14:paraId="749DD38A"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14</w:t>
            </w:r>
          </w:p>
        </w:tc>
      </w:tr>
      <w:tr w:rsidR="00024CDD" w:rsidRPr="00975780" w14:paraId="2EEBE9DD" w14:textId="77777777" w:rsidTr="002320EF">
        <w:trPr>
          <w:trHeight w:val="610"/>
        </w:trPr>
        <w:tc>
          <w:tcPr>
            <w:tcW w:w="1407" w:type="pct"/>
            <w:tcBorders>
              <w:top w:val="nil"/>
              <w:left w:val="nil"/>
              <w:bottom w:val="nil"/>
              <w:right w:val="nil"/>
            </w:tcBorders>
          </w:tcPr>
          <w:p w14:paraId="330B462F" w14:textId="77777777" w:rsidR="00024CDD" w:rsidRPr="00975780" w:rsidRDefault="00024CDD" w:rsidP="002320EF">
            <w:pPr>
              <w:widowControl w:val="0"/>
              <w:autoSpaceDE w:val="0"/>
              <w:autoSpaceDN w:val="0"/>
              <w:adjustRightInd w:val="0"/>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I</w:t>
            </w:r>
            <w:r w:rsidRPr="00975780">
              <w:rPr>
                <w:rFonts w:ascii="Garamond" w:eastAsia="Times New Roman" w:hAnsi="Garamond" w:cs="Times New Roman"/>
                <w:sz w:val="24"/>
                <w:szCs w:val="24"/>
              </w:rPr>
              <w:t>nflation</w:t>
            </w:r>
          </w:p>
        </w:tc>
        <w:tc>
          <w:tcPr>
            <w:tcW w:w="447" w:type="pct"/>
            <w:tcBorders>
              <w:top w:val="nil"/>
              <w:left w:val="nil"/>
              <w:bottom w:val="nil"/>
              <w:right w:val="nil"/>
            </w:tcBorders>
          </w:tcPr>
          <w:p w14:paraId="52903BC2"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3943</w:t>
            </w:r>
          </w:p>
        </w:tc>
        <w:tc>
          <w:tcPr>
            <w:tcW w:w="784" w:type="pct"/>
            <w:tcBorders>
              <w:top w:val="nil"/>
              <w:left w:val="nil"/>
              <w:bottom w:val="nil"/>
              <w:right w:val="nil"/>
            </w:tcBorders>
          </w:tcPr>
          <w:p w14:paraId="025174A5"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2.333</w:t>
            </w:r>
          </w:p>
        </w:tc>
        <w:tc>
          <w:tcPr>
            <w:tcW w:w="784" w:type="pct"/>
            <w:tcBorders>
              <w:top w:val="nil"/>
              <w:left w:val="nil"/>
              <w:bottom w:val="nil"/>
              <w:right w:val="nil"/>
            </w:tcBorders>
          </w:tcPr>
          <w:p w14:paraId="09F49864"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1.418</w:t>
            </w:r>
          </w:p>
        </w:tc>
        <w:tc>
          <w:tcPr>
            <w:tcW w:w="784" w:type="pct"/>
            <w:tcBorders>
              <w:top w:val="nil"/>
              <w:left w:val="nil"/>
              <w:bottom w:val="nil"/>
              <w:right w:val="nil"/>
            </w:tcBorders>
          </w:tcPr>
          <w:p w14:paraId="0786DB86"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-4.034</w:t>
            </w:r>
          </w:p>
        </w:tc>
        <w:tc>
          <w:tcPr>
            <w:tcW w:w="794" w:type="pct"/>
            <w:tcBorders>
              <w:top w:val="nil"/>
              <w:left w:val="nil"/>
              <w:bottom w:val="nil"/>
              <w:right w:val="nil"/>
            </w:tcBorders>
          </w:tcPr>
          <w:p w14:paraId="5BA047B6"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9.352</w:t>
            </w:r>
          </w:p>
        </w:tc>
      </w:tr>
      <w:tr w:rsidR="00024CDD" w:rsidRPr="00975780" w14:paraId="1D184D42" w14:textId="77777777" w:rsidTr="002320EF">
        <w:trPr>
          <w:trHeight w:val="630"/>
        </w:trPr>
        <w:tc>
          <w:tcPr>
            <w:tcW w:w="1407" w:type="pct"/>
            <w:tcBorders>
              <w:top w:val="nil"/>
              <w:left w:val="nil"/>
              <w:bottom w:val="nil"/>
              <w:right w:val="nil"/>
            </w:tcBorders>
          </w:tcPr>
          <w:p w14:paraId="012D07C3" w14:textId="77777777" w:rsidR="00024CDD" w:rsidRPr="00975780" w:rsidRDefault="00024CDD" w:rsidP="002320EF">
            <w:pPr>
              <w:widowControl w:val="0"/>
              <w:autoSpaceDE w:val="0"/>
              <w:autoSpaceDN w:val="0"/>
              <w:adjustRightInd w:val="0"/>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U</w:t>
            </w:r>
            <w:r w:rsidRPr="00975780">
              <w:rPr>
                <w:rFonts w:ascii="Garamond" w:eastAsia="Times New Roman" w:hAnsi="Garamond" w:cs="Times New Roman"/>
                <w:sz w:val="24"/>
                <w:szCs w:val="24"/>
              </w:rPr>
              <w:t>nemp</w:t>
            </w:r>
            <w:r>
              <w:rPr>
                <w:rFonts w:ascii="Garamond" w:eastAsia="Times New Roman" w:hAnsi="Garamond" w:cs="Times New Roman"/>
                <w:sz w:val="24"/>
                <w:szCs w:val="24"/>
              </w:rPr>
              <w:t>loyment</w:t>
            </w:r>
          </w:p>
        </w:tc>
        <w:tc>
          <w:tcPr>
            <w:tcW w:w="447" w:type="pct"/>
            <w:tcBorders>
              <w:top w:val="nil"/>
              <w:left w:val="nil"/>
              <w:bottom w:val="nil"/>
              <w:right w:val="nil"/>
            </w:tcBorders>
          </w:tcPr>
          <w:p w14:paraId="378F749E"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6324</w:t>
            </w:r>
          </w:p>
        </w:tc>
        <w:tc>
          <w:tcPr>
            <w:tcW w:w="784" w:type="pct"/>
            <w:tcBorders>
              <w:top w:val="nil"/>
              <w:left w:val="nil"/>
              <w:bottom w:val="nil"/>
              <w:right w:val="nil"/>
            </w:tcBorders>
          </w:tcPr>
          <w:p w14:paraId="1579B4C2"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5.48</w:t>
            </w:r>
          </w:p>
        </w:tc>
        <w:tc>
          <w:tcPr>
            <w:tcW w:w="784" w:type="pct"/>
            <w:tcBorders>
              <w:top w:val="nil"/>
              <w:left w:val="nil"/>
              <w:bottom w:val="nil"/>
              <w:right w:val="nil"/>
            </w:tcBorders>
          </w:tcPr>
          <w:p w14:paraId="79182FDE"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1.9</w:t>
            </w:r>
          </w:p>
        </w:tc>
        <w:tc>
          <w:tcPr>
            <w:tcW w:w="784" w:type="pct"/>
            <w:tcBorders>
              <w:top w:val="nil"/>
              <w:left w:val="nil"/>
              <w:bottom w:val="nil"/>
              <w:right w:val="nil"/>
            </w:tcBorders>
          </w:tcPr>
          <w:p w14:paraId="2FF15D19"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1.8</w:t>
            </w:r>
          </w:p>
        </w:tc>
        <w:tc>
          <w:tcPr>
            <w:tcW w:w="794" w:type="pct"/>
            <w:tcBorders>
              <w:top w:val="nil"/>
              <w:left w:val="nil"/>
              <w:bottom w:val="nil"/>
              <w:right w:val="nil"/>
            </w:tcBorders>
          </w:tcPr>
          <w:p w14:paraId="598D4EE3" w14:textId="77777777" w:rsidR="00024CDD" w:rsidRPr="00975780" w:rsidRDefault="00024CDD" w:rsidP="002320EF">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14.4</w:t>
            </w:r>
          </w:p>
        </w:tc>
      </w:tr>
      <w:tr w:rsidR="0036367D" w:rsidRPr="00975780" w14:paraId="6EDC4DF8" w14:textId="77777777" w:rsidTr="004D77AC">
        <w:trPr>
          <w:trHeight w:val="684"/>
        </w:trPr>
        <w:tc>
          <w:tcPr>
            <w:tcW w:w="1407" w:type="pct"/>
            <w:tcBorders>
              <w:top w:val="nil"/>
              <w:left w:val="nil"/>
              <w:bottom w:val="nil"/>
              <w:right w:val="nil"/>
            </w:tcBorders>
          </w:tcPr>
          <w:p w14:paraId="77405CF8" w14:textId="51B8E5AB" w:rsidR="00613783" w:rsidRPr="00975780" w:rsidRDefault="00975780" w:rsidP="00975780">
            <w:pPr>
              <w:widowControl w:val="0"/>
              <w:autoSpaceDE w:val="0"/>
              <w:autoSpaceDN w:val="0"/>
              <w:adjustRightInd w:val="0"/>
              <w:spacing w:after="0" w:line="240" w:lineRule="auto"/>
              <w:rPr>
                <w:rFonts w:ascii="Garamond" w:eastAsia="Times New Roman" w:hAnsi="Garamond" w:cs="Times New Roman"/>
                <w:sz w:val="24"/>
                <w:szCs w:val="24"/>
              </w:rPr>
            </w:pPr>
            <w:r w:rsidRPr="00975780">
              <w:rPr>
                <w:rFonts w:ascii="Garamond" w:eastAsia="Times New Roman" w:hAnsi="Garamond" w:cs="Times New Roman"/>
                <w:sz w:val="24"/>
                <w:szCs w:val="24"/>
              </w:rPr>
              <w:t xml:space="preserve"> </w:t>
            </w:r>
            <w:r w:rsidR="00613783" w:rsidRPr="00975780">
              <w:rPr>
                <w:rFonts w:ascii="Garamond" w:eastAsia="Times New Roman" w:hAnsi="Garamond" w:cs="Times New Roman"/>
                <w:sz w:val="24"/>
                <w:szCs w:val="24"/>
              </w:rPr>
              <w:t>L</w:t>
            </w:r>
            <w:r w:rsidR="00613783">
              <w:rPr>
                <w:rFonts w:ascii="Garamond" w:eastAsia="Times New Roman" w:hAnsi="Garamond" w:cs="Times New Roman"/>
                <w:sz w:val="24"/>
                <w:szCs w:val="24"/>
              </w:rPr>
              <w:t>abor force participation</w:t>
            </w:r>
          </w:p>
        </w:tc>
        <w:tc>
          <w:tcPr>
            <w:tcW w:w="447" w:type="pct"/>
            <w:tcBorders>
              <w:top w:val="nil"/>
              <w:left w:val="nil"/>
              <w:bottom w:val="nil"/>
              <w:right w:val="nil"/>
            </w:tcBorders>
          </w:tcPr>
          <w:p w14:paraId="7B3B952B"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6324</w:t>
            </w:r>
          </w:p>
        </w:tc>
        <w:tc>
          <w:tcPr>
            <w:tcW w:w="784" w:type="pct"/>
            <w:tcBorders>
              <w:top w:val="nil"/>
              <w:left w:val="nil"/>
              <w:bottom w:val="nil"/>
              <w:right w:val="nil"/>
            </w:tcBorders>
          </w:tcPr>
          <w:p w14:paraId="37D69539"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66.315</w:t>
            </w:r>
          </w:p>
        </w:tc>
        <w:tc>
          <w:tcPr>
            <w:tcW w:w="784" w:type="pct"/>
            <w:tcBorders>
              <w:top w:val="nil"/>
              <w:left w:val="nil"/>
              <w:bottom w:val="nil"/>
              <w:right w:val="nil"/>
            </w:tcBorders>
          </w:tcPr>
          <w:p w14:paraId="3E277643"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4.204</w:t>
            </w:r>
          </w:p>
        </w:tc>
        <w:tc>
          <w:tcPr>
            <w:tcW w:w="784" w:type="pct"/>
            <w:tcBorders>
              <w:top w:val="nil"/>
              <w:left w:val="nil"/>
              <w:bottom w:val="nil"/>
              <w:right w:val="nil"/>
            </w:tcBorders>
          </w:tcPr>
          <w:p w14:paraId="0AF0B7EB"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52</w:t>
            </w:r>
          </w:p>
        </w:tc>
        <w:tc>
          <w:tcPr>
            <w:tcW w:w="794" w:type="pct"/>
            <w:tcBorders>
              <w:top w:val="nil"/>
              <w:left w:val="nil"/>
              <w:bottom w:val="nil"/>
              <w:right w:val="nil"/>
            </w:tcBorders>
          </w:tcPr>
          <w:p w14:paraId="4FCC621A"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75.83</w:t>
            </w:r>
          </w:p>
        </w:tc>
      </w:tr>
      <w:tr w:rsidR="0036367D" w:rsidRPr="00975780" w14:paraId="49384AE9" w14:textId="77777777" w:rsidTr="004D77AC">
        <w:trPr>
          <w:trHeight w:val="666"/>
        </w:trPr>
        <w:tc>
          <w:tcPr>
            <w:tcW w:w="1407" w:type="pct"/>
            <w:tcBorders>
              <w:top w:val="nil"/>
              <w:left w:val="nil"/>
              <w:bottom w:val="nil"/>
              <w:right w:val="nil"/>
            </w:tcBorders>
          </w:tcPr>
          <w:p w14:paraId="14A80AB9" w14:textId="3C9EE8BF" w:rsidR="00975780" w:rsidRPr="00975780" w:rsidRDefault="00975780" w:rsidP="00975780">
            <w:pPr>
              <w:widowControl w:val="0"/>
              <w:autoSpaceDE w:val="0"/>
              <w:autoSpaceDN w:val="0"/>
              <w:adjustRightInd w:val="0"/>
              <w:spacing w:after="0" w:line="240" w:lineRule="auto"/>
              <w:rPr>
                <w:rFonts w:ascii="Garamond" w:eastAsia="Times New Roman" w:hAnsi="Garamond" w:cs="Times New Roman"/>
                <w:sz w:val="24"/>
                <w:szCs w:val="24"/>
              </w:rPr>
            </w:pPr>
            <w:r w:rsidRPr="00975780">
              <w:rPr>
                <w:rFonts w:ascii="Garamond" w:eastAsia="Times New Roman" w:hAnsi="Garamond" w:cs="Times New Roman"/>
                <w:sz w:val="24"/>
                <w:szCs w:val="24"/>
              </w:rPr>
              <w:t xml:space="preserve"> </w:t>
            </w:r>
            <w:r w:rsidR="00613783">
              <w:rPr>
                <w:rFonts w:ascii="Garamond" w:eastAsia="Times New Roman" w:hAnsi="Garamond" w:cs="Times New Roman"/>
                <w:sz w:val="24"/>
                <w:szCs w:val="24"/>
              </w:rPr>
              <w:t>Employment to population ratio</w:t>
            </w:r>
          </w:p>
        </w:tc>
        <w:tc>
          <w:tcPr>
            <w:tcW w:w="447" w:type="pct"/>
            <w:tcBorders>
              <w:top w:val="nil"/>
              <w:left w:val="nil"/>
              <w:bottom w:val="nil"/>
              <w:right w:val="nil"/>
            </w:tcBorders>
          </w:tcPr>
          <w:p w14:paraId="0DB016C7"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6324</w:t>
            </w:r>
          </w:p>
        </w:tc>
        <w:tc>
          <w:tcPr>
            <w:tcW w:w="784" w:type="pct"/>
            <w:tcBorders>
              <w:top w:val="nil"/>
              <w:left w:val="nil"/>
              <w:bottom w:val="nil"/>
              <w:right w:val="nil"/>
            </w:tcBorders>
          </w:tcPr>
          <w:p w14:paraId="37669348"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62.708</w:t>
            </w:r>
          </w:p>
        </w:tc>
        <w:tc>
          <w:tcPr>
            <w:tcW w:w="784" w:type="pct"/>
            <w:tcBorders>
              <w:top w:val="nil"/>
              <w:left w:val="nil"/>
              <w:bottom w:val="nil"/>
              <w:right w:val="nil"/>
            </w:tcBorders>
          </w:tcPr>
          <w:p w14:paraId="752CF377"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4.558</w:t>
            </w:r>
          </w:p>
        </w:tc>
        <w:tc>
          <w:tcPr>
            <w:tcW w:w="784" w:type="pct"/>
            <w:tcBorders>
              <w:top w:val="nil"/>
              <w:left w:val="nil"/>
              <w:bottom w:val="nil"/>
              <w:right w:val="nil"/>
            </w:tcBorders>
          </w:tcPr>
          <w:p w14:paraId="588512EA"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46.93</w:t>
            </w:r>
          </w:p>
        </w:tc>
        <w:tc>
          <w:tcPr>
            <w:tcW w:w="794" w:type="pct"/>
            <w:tcBorders>
              <w:top w:val="nil"/>
              <w:left w:val="nil"/>
              <w:bottom w:val="nil"/>
              <w:right w:val="nil"/>
            </w:tcBorders>
          </w:tcPr>
          <w:p w14:paraId="0433906D" w14:textId="77777777" w:rsidR="00975780" w:rsidRPr="00975780" w:rsidRDefault="00975780" w:rsidP="00975780">
            <w:pPr>
              <w:widowControl w:val="0"/>
              <w:autoSpaceDE w:val="0"/>
              <w:autoSpaceDN w:val="0"/>
              <w:adjustRightInd w:val="0"/>
              <w:spacing w:after="0" w:line="240" w:lineRule="auto"/>
              <w:jc w:val="right"/>
              <w:rPr>
                <w:rFonts w:ascii="Garamond" w:eastAsia="Times New Roman" w:hAnsi="Garamond" w:cs="Times New Roman"/>
                <w:sz w:val="24"/>
                <w:szCs w:val="24"/>
              </w:rPr>
            </w:pPr>
            <w:r w:rsidRPr="00975780">
              <w:rPr>
                <w:rFonts w:ascii="Garamond" w:eastAsia="Times New Roman" w:hAnsi="Garamond" w:cs="Times New Roman"/>
                <w:sz w:val="24"/>
                <w:szCs w:val="24"/>
              </w:rPr>
              <w:t>73.6</w:t>
            </w:r>
          </w:p>
        </w:tc>
      </w:tr>
      <w:tr w:rsidR="00975780" w:rsidRPr="00975780" w14:paraId="122DBB38" w14:textId="77777777" w:rsidTr="004D77AC">
        <w:trPr>
          <w:trHeight w:val="583"/>
        </w:trPr>
        <w:tc>
          <w:tcPr>
            <w:tcW w:w="5000" w:type="pct"/>
            <w:gridSpan w:val="6"/>
            <w:tcBorders>
              <w:top w:val="single" w:sz="6" w:space="0" w:color="auto"/>
              <w:left w:val="nil"/>
              <w:bottom w:val="single" w:sz="6" w:space="0" w:color="auto"/>
              <w:right w:val="nil"/>
            </w:tcBorders>
          </w:tcPr>
          <w:p w14:paraId="0FF07347" w14:textId="77777777" w:rsidR="00975780" w:rsidRDefault="00297FE0" w:rsidP="00975780">
            <w:pPr>
              <w:widowControl w:val="0"/>
              <w:autoSpaceDE w:val="0"/>
              <w:autoSpaceDN w:val="0"/>
              <w:adjustRightInd w:val="0"/>
              <w:spacing w:after="0" w:line="240" w:lineRule="auto"/>
              <w:rPr>
                <w:rFonts w:ascii="Garamond" w:eastAsia="Times New Roman" w:hAnsi="Garamond" w:cs="Times New Roman"/>
                <w:sz w:val="20"/>
                <w:szCs w:val="20"/>
              </w:rPr>
            </w:pPr>
            <w:r>
              <w:rPr>
                <w:rFonts w:ascii="Garamond" w:eastAsia="Times New Roman" w:hAnsi="Garamond" w:cs="Times New Roman"/>
                <w:sz w:val="20"/>
                <w:szCs w:val="20"/>
              </w:rPr>
              <w:t xml:space="preserve">Sources by variable: </w:t>
            </w:r>
          </w:p>
          <w:p w14:paraId="1D241326" w14:textId="77777777" w:rsidR="004D77AC" w:rsidRDefault="00A95B62" w:rsidP="00575729">
            <w:pPr>
              <w:widowControl w:val="0"/>
              <w:autoSpaceDE w:val="0"/>
              <w:autoSpaceDN w:val="0"/>
              <w:adjustRightInd w:val="0"/>
              <w:spacing w:after="0" w:line="240" w:lineRule="auto"/>
              <w:rPr>
                <w:rFonts w:ascii="Garamond" w:eastAsia="Times New Roman" w:hAnsi="Garamond" w:cs="Times New Roman"/>
                <w:sz w:val="20"/>
                <w:szCs w:val="20"/>
              </w:rPr>
            </w:pPr>
            <w:r>
              <w:rPr>
                <w:rFonts w:ascii="Garamond" w:eastAsia="Times New Roman" w:hAnsi="Garamond" w:cs="Times New Roman"/>
                <w:sz w:val="20"/>
                <w:szCs w:val="20"/>
              </w:rPr>
              <w:t xml:space="preserve">[1] </w:t>
            </w:r>
            <w:r w:rsidR="00297FE0">
              <w:rPr>
                <w:rFonts w:ascii="Garamond" w:eastAsia="Times New Roman" w:hAnsi="Garamond" w:cs="Times New Roman"/>
                <w:sz w:val="20"/>
                <w:szCs w:val="20"/>
              </w:rPr>
              <w:t xml:space="preserve">Minimum wage: </w:t>
            </w:r>
            <w:r w:rsidR="00575729">
              <w:rPr>
                <w:rFonts w:ascii="Garamond" w:eastAsia="Times New Roman" w:hAnsi="Garamond" w:cs="Times New Roman"/>
                <w:sz w:val="20"/>
                <w:szCs w:val="20"/>
              </w:rPr>
              <w:t xml:space="preserve">Vaghul and Zipperer </w:t>
            </w:r>
            <w:r w:rsidR="001B44CC">
              <w:rPr>
                <w:rFonts w:ascii="Garamond" w:eastAsia="Times New Roman" w:hAnsi="Garamond" w:cs="Times New Roman"/>
                <w:sz w:val="20"/>
                <w:szCs w:val="20"/>
              </w:rPr>
              <w:t xml:space="preserve">(2016) </w:t>
            </w:r>
            <w:hyperlink r:id="rId11" w:history="1">
              <w:r w:rsidRPr="00E00886">
                <w:rPr>
                  <w:rStyle w:val="Hyperlink"/>
                  <w:rFonts w:ascii="Garamond" w:eastAsia="Times New Roman" w:hAnsi="Garamond" w:cs="Times New Roman"/>
                  <w:sz w:val="20"/>
                  <w:szCs w:val="20"/>
                </w:rPr>
                <w:t>https://equitablegrowth.org/working-papers/historical-state- and-sub-state-minimum-wage-data/</w:t>
              </w:r>
            </w:hyperlink>
            <w:r w:rsidR="0016383B">
              <w:rPr>
                <w:rFonts w:ascii="Garamond" w:eastAsia="Times New Roman" w:hAnsi="Garamond" w:cs="Times New Roman"/>
                <w:sz w:val="20"/>
                <w:szCs w:val="20"/>
              </w:rPr>
              <w:t xml:space="preserve"> and various state labor department websites.</w:t>
            </w:r>
            <w:r>
              <w:rPr>
                <w:rFonts w:ascii="Garamond" w:eastAsia="Times New Roman" w:hAnsi="Garamond" w:cs="Times New Roman"/>
                <w:sz w:val="20"/>
                <w:szCs w:val="20"/>
              </w:rPr>
              <w:t xml:space="preserve">                                       </w:t>
            </w:r>
            <w:r w:rsidR="004F3BC9">
              <w:rPr>
                <w:rFonts w:ascii="Garamond" w:eastAsia="Times New Roman" w:hAnsi="Garamond" w:cs="Times New Roman"/>
                <w:sz w:val="20"/>
                <w:szCs w:val="20"/>
              </w:rPr>
              <w:t xml:space="preserve">     </w:t>
            </w:r>
          </w:p>
          <w:p w14:paraId="2FBAD5AD" w14:textId="0CB89517" w:rsidR="00575729" w:rsidRDefault="004F3BC9" w:rsidP="00575729">
            <w:pPr>
              <w:widowControl w:val="0"/>
              <w:autoSpaceDE w:val="0"/>
              <w:autoSpaceDN w:val="0"/>
              <w:adjustRightInd w:val="0"/>
              <w:spacing w:after="0" w:line="240" w:lineRule="auto"/>
              <w:rPr>
                <w:rFonts w:ascii="Garamond" w:eastAsia="Times New Roman" w:hAnsi="Garamond" w:cs="Times New Roman"/>
                <w:sz w:val="20"/>
                <w:szCs w:val="20"/>
              </w:rPr>
            </w:pPr>
            <w:r>
              <w:rPr>
                <w:rFonts w:ascii="Garamond" w:eastAsia="Times New Roman" w:hAnsi="Garamond" w:cs="Times New Roman"/>
                <w:sz w:val="20"/>
                <w:szCs w:val="20"/>
              </w:rPr>
              <w:t xml:space="preserve">[2] </w:t>
            </w:r>
            <w:r w:rsidR="0016383B">
              <w:rPr>
                <w:rFonts w:ascii="Garamond" w:eastAsia="Times New Roman" w:hAnsi="Garamond" w:cs="Times New Roman"/>
                <w:sz w:val="20"/>
                <w:szCs w:val="20"/>
              </w:rPr>
              <w:t xml:space="preserve">Labor </w:t>
            </w:r>
            <w:r w:rsidR="00F169AE">
              <w:rPr>
                <w:rFonts w:ascii="Garamond" w:eastAsia="Times New Roman" w:hAnsi="Garamond" w:cs="Times New Roman"/>
                <w:sz w:val="20"/>
                <w:szCs w:val="20"/>
              </w:rPr>
              <w:t xml:space="preserve">variables: </w:t>
            </w:r>
            <w:r w:rsidR="00575729">
              <w:rPr>
                <w:rFonts w:ascii="Garamond" w:eastAsia="Times New Roman" w:hAnsi="Garamond" w:cs="Times New Roman"/>
                <w:sz w:val="20"/>
                <w:szCs w:val="20"/>
              </w:rPr>
              <w:t xml:space="preserve">Bureau of Labor Statistics </w:t>
            </w:r>
            <w:hyperlink r:id="rId12" w:history="1">
              <w:r w:rsidR="00575729" w:rsidRPr="00E00886">
                <w:rPr>
                  <w:rStyle w:val="Hyperlink"/>
                  <w:rFonts w:ascii="Garamond" w:eastAsia="Times New Roman" w:hAnsi="Garamond" w:cs="Times New Roman"/>
                  <w:sz w:val="20"/>
                  <w:szCs w:val="20"/>
                </w:rPr>
                <w:t>https://data.bls.gov/cgi-bin/surveymost?la</w:t>
              </w:r>
            </w:hyperlink>
          </w:p>
          <w:p w14:paraId="23AD4299" w14:textId="5F96802F" w:rsidR="001B44CC" w:rsidRPr="00575729" w:rsidRDefault="004F3BC9" w:rsidP="00575729">
            <w:pPr>
              <w:widowControl w:val="0"/>
              <w:autoSpaceDE w:val="0"/>
              <w:autoSpaceDN w:val="0"/>
              <w:adjustRightInd w:val="0"/>
              <w:spacing w:after="0" w:line="240" w:lineRule="auto"/>
              <w:rPr>
                <w:rFonts w:ascii="Garamond" w:eastAsia="Times New Roman" w:hAnsi="Garamond" w:cs="Times New Roman"/>
                <w:sz w:val="20"/>
                <w:szCs w:val="20"/>
                <w:u w:val="single"/>
              </w:rPr>
            </w:pPr>
            <w:r>
              <w:rPr>
                <w:rFonts w:ascii="Garamond" w:eastAsia="Times New Roman" w:hAnsi="Garamond" w:cs="Times New Roman"/>
                <w:sz w:val="20"/>
                <w:szCs w:val="20"/>
              </w:rPr>
              <w:t>[3]</w:t>
            </w:r>
            <w:r w:rsidR="001B44CC">
              <w:rPr>
                <w:rFonts w:ascii="Garamond" w:eastAsia="Times New Roman" w:hAnsi="Garamond" w:cs="Times New Roman"/>
                <w:sz w:val="20"/>
                <w:szCs w:val="20"/>
              </w:rPr>
              <w:t xml:space="preserve"> Inflation: </w:t>
            </w:r>
            <w:r w:rsidR="00A67872">
              <w:rPr>
                <w:rFonts w:ascii="Garamond" w:eastAsia="Times New Roman" w:hAnsi="Garamond" w:cs="Times New Roman"/>
                <w:sz w:val="20"/>
                <w:szCs w:val="20"/>
              </w:rPr>
              <w:t>Hazell et al (2020)</w:t>
            </w:r>
            <w:r w:rsidR="00034C6B">
              <w:rPr>
                <w:rFonts w:ascii="Garamond" w:eastAsia="Times New Roman" w:hAnsi="Garamond" w:cs="Times New Roman"/>
                <w:sz w:val="20"/>
                <w:szCs w:val="20"/>
              </w:rPr>
              <w:t xml:space="preserve"> </w:t>
            </w:r>
            <w:hyperlink r:id="rId13" w:history="1">
              <w:r w:rsidR="001B7C4A" w:rsidRPr="00E00886">
                <w:rPr>
                  <w:rStyle w:val="Hyperlink"/>
                  <w:rFonts w:ascii="Garamond" w:eastAsia="Times New Roman" w:hAnsi="Garamond" w:cs="Times New Roman"/>
                  <w:sz w:val="20"/>
                  <w:szCs w:val="20"/>
                </w:rPr>
                <w:t>https://sites.google.com/view/jadhazell/state-consumer-price-index</w:t>
              </w:r>
            </w:hyperlink>
            <w:r w:rsidR="001B7C4A">
              <w:rPr>
                <w:rFonts w:ascii="Garamond" w:eastAsia="Times New Roman" w:hAnsi="Garamond" w:cs="Times New Roman"/>
                <w:sz w:val="20"/>
                <w:szCs w:val="20"/>
              </w:rPr>
              <w:t xml:space="preserve"> </w:t>
            </w:r>
          </w:p>
          <w:p w14:paraId="068407D9" w14:textId="2DA40DD6" w:rsidR="0016383B" w:rsidRPr="00975780" w:rsidRDefault="0016383B" w:rsidP="00975780">
            <w:pPr>
              <w:widowControl w:val="0"/>
              <w:autoSpaceDE w:val="0"/>
              <w:autoSpaceDN w:val="0"/>
              <w:adjustRightInd w:val="0"/>
              <w:spacing w:after="0" w:line="240" w:lineRule="auto"/>
              <w:rPr>
                <w:rFonts w:ascii="Garamond" w:eastAsia="Times New Roman" w:hAnsi="Garamond" w:cs="Times New Roman"/>
                <w:sz w:val="20"/>
                <w:szCs w:val="20"/>
              </w:rPr>
            </w:pPr>
          </w:p>
        </w:tc>
      </w:tr>
      <w:tr w:rsidR="00297FE0" w:rsidRPr="00975780" w14:paraId="51BF47CB" w14:textId="77777777" w:rsidTr="004D77AC">
        <w:trPr>
          <w:trHeight w:val="583"/>
        </w:trPr>
        <w:tc>
          <w:tcPr>
            <w:tcW w:w="5000" w:type="pct"/>
            <w:gridSpan w:val="6"/>
            <w:tcBorders>
              <w:top w:val="single" w:sz="6" w:space="0" w:color="auto"/>
              <w:left w:val="nil"/>
              <w:bottom w:val="nil"/>
              <w:right w:val="nil"/>
            </w:tcBorders>
          </w:tcPr>
          <w:p w14:paraId="427D0896" w14:textId="77777777" w:rsidR="00297FE0" w:rsidRDefault="00297FE0" w:rsidP="00975780">
            <w:pPr>
              <w:widowControl w:val="0"/>
              <w:autoSpaceDE w:val="0"/>
              <w:autoSpaceDN w:val="0"/>
              <w:adjustRightInd w:val="0"/>
              <w:spacing w:after="0" w:line="240" w:lineRule="auto"/>
              <w:rPr>
                <w:rFonts w:ascii="Garamond" w:eastAsia="Times New Roman" w:hAnsi="Garamond" w:cs="Times New Roman"/>
                <w:sz w:val="20"/>
                <w:szCs w:val="20"/>
              </w:rPr>
            </w:pPr>
          </w:p>
        </w:tc>
      </w:tr>
      <w:bookmarkEnd w:id="10"/>
      <w:bookmarkEnd w:id="11"/>
    </w:tbl>
    <w:p w14:paraId="1357CAB1" w14:textId="26973BEF" w:rsidR="00F27811" w:rsidRDefault="00F27811" w:rsidP="00E0243F">
      <w:pPr>
        <w:spacing w:line="480" w:lineRule="auto"/>
        <w:rPr>
          <w:sz w:val="24"/>
          <w:szCs w:val="24"/>
        </w:rPr>
      </w:pPr>
    </w:p>
    <w:p w14:paraId="5E6E7A2A" w14:textId="356FE681" w:rsidR="004C0E35" w:rsidRPr="004C0E35" w:rsidRDefault="004C0E35" w:rsidP="005F74E9">
      <w:pPr>
        <w:pStyle w:val="Heading2"/>
        <w:numPr>
          <w:ilvl w:val="0"/>
          <w:numId w:val="23"/>
        </w:numPr>
        <w:spacing w:line="480" w:lineRule="auto"/>
      </w:pPr>
      <w:bookmarkStart w:id="12" w:name="_Toc71466048"/>
      <w:r w:rsidRPr="004C0E35">
        <w:t>Minimum Wage Data</w:t>
      </w:r>
      <w:bookmarkEnd w:id="12"/>
    </w:p>
    <w:p w14:paraId="0F7D4588" w14:textId="0E4C39E2" w:rsidR="008C0768" w:rsidRDefault="004C0E35" w:rsidP="008C0768">
      <w:pPr>
        <w:spacing w:line="480" w:lineRule="auto"/>
        <w:ind w:firstLine="360"/>
        <w:rPr>
          <w:sz w:val="24"/>
          <w:szCs w:val="24"/>
        </w:rPr>
      </w:pPr>
      <w:r>
        <w:rPr>
          <w:sz w:val="24"/>
          <w:szCs w:val="24"/>
        </w:rPr>
        <w:t xml:space="preserve">The primary independent variable used in this paper is state level minimum wages </w:t>
      </w:r>
      <w:r w:rsidR="003229FF">
        <w:rPr>
          <w:sz w:val="24"/>
          <w:szCs w:val="24"/>
        </w:rPr>
        <w:t xml:space="preserve">and is documented in annual time series format by the Department of Labor. Values reported </w:t>
      </w:r>
      <w:r w:rsidR="00084C15">
        <w:rPr>
          <w:sz w:val="24"/>
          <w:szCs w:val="24"/>
        </w:rPr>
        <w:t xml:space="preserve">on the DOL website </w:t>
      </w:r>
      <w:r w:rsidR="003229FF">
        <w:rPr>
          <w:sz w:val="24"/>
          <w:szCs w:val="24"/>
        </w:rPr>
        <w:t>reflect the legislated wage floor in each state as of January</w:t>
      </w:r>
      <w:r w:rsidR="00084C15">
        <w:rPr>
          <w:sz w:val="24"/>
          <w:szCs w:val="24"/>
        </w:rPr>
        <w:t xml:space="preserve"> first of each year</w:t>
      </w:r>
      <w:r w:rsidR="00DA12F8">
        <w:rPr>
          <w:sz w:val="24"/>
          <w:szCs w:val="24"/>
        </w:rPr>
        <w:t xml:space="preserve"> and </w:t>
      </w:r>
      <w:r w:rsidR="00C93FF9">
        <w:rPr>
          <w:sz w:val="24"/>
          <w:szCs w:val="24"/>
        </w:rPr>
        <w:t>do not</w:t>
      </w:r>
      <w:r w:rsidR="00DA12F8">
        <w:rPr>
          <w:sz w:val="24"/>
          <w:szCs w:val="24"/>
        </w:rPr>
        <w:t xml:space="preserve"> include effective dates</w:t>
      </w:r>
      <w:r w:rsidR="002E27BF">
        <w:rPr>
          <w:sz w:val="24"/>
          <w:szCs w:val="24"/>
        </w:rPr>
        <w:t xml:space="preserve">, </w:t>
      </w:r>
      <w:r w:rsidR="00284E15">
        <w:rPr>
          <w:sz w:val="24"/>
          <w:szCs w:val="24"/>
        </w:rPr>
        <w:t>so</w:t>
      </w:r>
      <w:r w:rsidR="00793E4F">
        <w:rPr>
          <w:sz w:val="24"/>
          <w:szCs w:val="24"/>
        </w:rPr>
        <w:t xml:space="preserve"> data </w:t>
      </w:r>
      <w:r w:rsidR="00D35B11">
        <w:rPr>
          <w:sz w:val="24"/>
          <w:szCs w:val="24"/>
        </w:rPr>
        <w:t>provided by</w:t>
      </w:r>
      <w:r w:rsidR="00793E4F">
        <w:rPr>
          <w:sz w:val="24"/>
          <w:szCs w:val="24"/>
        </w:rPr>
        <w:t xml:space="preserve"> </w:t>
      </w:r>
      <w:r w:rsidR="00284E15" w:rsidRPr="00284E15">
        <w:rPr>
          <w:sz w:val="24"/>
          <w:szCs w:val="24"/>
        </w:rPr>
        <w:t>Vaghul and Zipperer (2016)</w:t>
      </w:r>
      <w:r w:rsidR="00793E4F">
        <w:rPr>
          <w:sz w:val="24"/>
          <w:szCs w:val="24"/>
        </w:rPr>
        <w:t xml:space="preserve"> and various </w:t>
      </w:r>
      <w:r w:rsidR="00BB686D">
        <w:rPr>
          <w:sz w:val="24"/>
          <w:szCs w:val="24"/>
        </w:rPr>
        <w:t>state labor websites were used</w:t>
      </w:r>
      <w:r w:rsidR="00D35B11">
        <w:rPr>
          <w:sz w:val="24"/>
          <w:szCs w:val="24"/>
        </w:rPr>
        <w:t xml:space="preserve"> to find these dates.</w:t>
      </w:r>
      <w:r w:rsidR="00C65131">
        <w:rPr>
          <w:sz w:val="24"/>
          <w:szCs w:val="24"/>
        </w:rPr>
        <w:t xml:space="preserve"> Each of these dates of minimum wage increases are then </w:t>
      </w:r>
      <w:r w:rsidR="005D46D4">
        <w:rPr>
          <w:sz w:val="24"/>
          <w:szCs w:val="24"/>
        </w:rPr>
        <w:t>corresponded with the quarter in which they occur in.</w:t>
      </w:r>
      <w:r w:rsidR="008C0768">
        <w:rPr>
          <w:sz w:val="24"/>
          <w:szCs w:val="24"/>
        </w:rPr>
        <w:t xml:space="preserve"> 571 discrete minimum wage changes are documented in this panel set</w:t>
      </w:r>
      <w:r w:rsidR="00A403D6">
        <w:rPr>
          <w:sz w:val="24"/>
          <w:szCs w:val="24"/>
        </w:rPr>
        <w:t xml:space="preserve"> and are detailed in Table </w:t>
      </w:r>
      <w:r w:rsidR="00974B3C">
        <w:rPr>
          <w:sz w:val="24"/>
          <w:szCs w:val="24"/>
        </w:rPr>
        <w:t>A</w:t>
      </w:r>
      <w:r w:rsidR="00A403D6">
        <w:rPr>
          <w:sz w:val="24"/>
          <w:szCs w:val="24"/>
        </w:rPr>
        <w:t>1.</w:t>
      </w:r>
    </w:p>
    <w:p w14:paraId="7EDFD3CC" w14:textId="759918E5" w:rsidR="00FE2F81" w:rsidRDefault="00A15DFB" w:rsidP="00D40D7C">
      <w:pPr>
        <w:spacing w:line="480" w:lineRule="auto"/>
        <w:ind w:firstLine="360"/>
        <w:rPr>
          <w:sz w:val="24"/>
          <w:szCs w:val="24"/>
        </w:rPr>
      </w:pPr>
      <w:r w:rsidRPr="00A15DFB">
        <w:rPr>
          <w:sz w:val="24"/>
          <w:szCs w:val="24"/>
        </w:rPr>
        <w:t xml:space="preserve">Worker coverage </w:t>
      </w:r>
      <w:r w:rsidR="005D46D4">
        <w:rPr>
          <w:sz w:val="24"/>
          <w:szCs w:val="24"/>
        </w:rPr>
        <w:t xml:space="preserve">for minimum wages </w:t>
      </w:r>
      <w:r w:rsidRPr="00A15DFB">
        <w:rPr>
          <w:sz w:val="24"/>
          <w:szCs w:val="24"/>
        </w:rPr>
        <w:t xml:space="preserve">is defined </w:t>
      </w:r>
      <w:r w:rsidR="00C467F6">
        <w:rPr>
          <w:sz w:val="24"/>
          <w:szCs w:val="24"/>
        </w:rPr>
        <w:t xml:space="preserve">by the Department of Labor </w:t>
      </w:r>
      <w:r w:rsidRPr="00A15DFB">
        <w:rPr>
          <w:sz w:val="24"/>
          <w:szCs w:val="24"/>
        </w:rPr>
        <w:t xml:space="preserve">to extend to nonsupervisory, nonfarm, private sector employment. In the case where state minimum </w:t>
      </w:r>
      <w:r w:rsidRPr="00A15DFB">
        <w:rPr>
          <w:sz w:val="24"/>
          <w:szCs w:val="24"/>
        </w:rPr>
        <w:lastRenderedPageBreak/>
        <w:t>wages differ from the federal level, the higher of the two is adopted as the effective minimum wage</w:t>
      </w:r>
      <w:r w:rsidR="00172224">
        <w:rPr>
          <w:sz w:val="24"/>
          <w:szCs w:val="24"/>
        </w:rPr>
        <w:t>.</w:t>
      </w:r>
      <w:r w:rsidR="00464C92">
        <w:rPr>
          <w:sz w:val="24"/>
          <w:szCs w:val="24"/>
        </w:rPr>
        <w:t xml:space="preserve"> </w:t>
      </w:r>
      <w:r w:rsidR="00464C92" w:rsidRPr="00464C92">
        <w:rPr>
          <w:sz w:val="24"/>
          <w:szCs w:val="24"/>
        </w:rPr>
        <w:t xml:space="preserve">Certain irregularities are present in the minimum wages, as some states opted to legislate different </w:t>
      </w:r>
      <w:r w:rsidR="00EB447F">
        <w:rPr>
          <w:sz w:val="24"/>
          <w:szCs w:val="24"/>
        </w:rPr>
        <w:t>levels</w:t>
      </w:r>
      <w:r w:rsidR="00464C92" w:rsidRPr="00464C92">
        <w:rPr>
          <w:sz w:val="24"/>
          <w:szCs w:val="24"/>
        </w:rPr>
        <w:t xml:space="preserve"> for </w:t>
      </w:r>
      <w:r w:rsidR="001D028A">
        <w:rPr>
          <w:sz w:val="24"/>
          <w:szCs w:val="24"/>
        </w:rPr>
        <w:t>firms</w:t>
      </w:r>
      <w:r w:rsidR="00464C92" w:rsidRPr="00464C92">
        <w:rPr>
          <w:sz w:val="24"/>
          <w:szCs w:val="24"/>
        </w:rPr>
        <w:t xml:space="preserve"> of different sizes</w:t>
      </w:r>
      <w:r w:rsidR="00095700">
        <w:rPr>
          <w:sz w:val="24"/>
          <w:szCs w:val="24"/>
        </w:rPr>
        <w:t>,</w:t>
      </w:r>
      <w:r w:rsidR="00F71961">
        <w:rPr>
          <w:sz w:val="24"/>
          <w:szCs w:val="24"/>
        </w:rPr>
        <w:t xml:space="preserve"> using criteria such as</w:t>
      </w:r>
      <w:r w:rsidR="001D028A">
        <w:rPr>
          <w:sz w:val="24"/>
          <w:szCs w:val="24"/>
        </w:rPr>
        <w:t xml:space="preserve"> </w:t>
      </w:r>
      <w:r w:rsidR="00464C92" w:rsidRPr="00464C92">
        <w:rPr>
          <w:sz w:val="24"/>
          <w:szCs w:val="24"/>
        </w:rPr>
        <w:t>number of employees and annual receipts. In these cases, the highest value is the one included within the data set, as the lower values are reserved for only a small share of employers</w:t>
      </w:r>
      <w:r w:rsidR="00124702" w:rsidRPr="00124702">
        <w:rPr>
          <w:sz w:val="24"/>
          <w:szCs w:val="24"/>
        </w:rPr>
        <w:t xml:space="preserve">. </w:t>
      </w:r>
    </w:p>
    <w:p w14:paraId="23E19A4F" w14:textId="7C9140DA" w:rsidR="00BB07F8" w:rsidRPr="007A77DE" w:rsidRDefault="00FB496B" w:rsidP="005F74E9">
      <w:pPr>
        <w:pStyle w:val="Heading2"/>
        <w:numPr>
          <w:ilvl w:val="0"/>
          <w:numId w:val="23"/>
        </w:numPr>
        <w:spacing w:line="480" w:lineRule="auto"/>
      </w:pPr>
      <w:bookmarkStart w:id="13" w:name="_Toc71466049"/>
      <w:bookmarkStart w:id="14" w:name="_Hlk58116168"/>
      <w:r w:rsidRPr="007A77DE">
        <w:t>Dependent Variable</w:t>
      </w:r>
      <w:r w:rsidR="00BB07F8" w:rsidRPr="007A77DE">
        <w:t xml:space="preserve"> Data</w:t>
      </w:r>
      <w:bookmarkEnd w:id="13"/>
    </w:p>
    <w:bookmarkEnd w:id="14"/>
    <w:p w14:paraId="36F453B6" w14:textId="07A0A98E" w:rsidR="007F07D2" w:rsidRPr="00FB496B" w:rsidRDefault="00BB07F8" w:rsidP="00A10021">
      <w:pPr>
        <w:spacing w:line="480" w:lineRule="auto"/>
        <w:ind w:firstLine="360"/>
        <w:rPr>
          <w:sz w:val="24"/>
          <w:szCs w:val="24"/>
        </w:rPr>
      </w:pPr>
      <w:r>
        <w:rPr>
          <w:sz w:val="24"/>
          <w:szCs w:val="24"/>
        </w:rPr>
        <w:t xml:space="preserve">Since inflation </w:t>
      </w:r>
      <w:r w:rsidR="008E2AB1">
        <w:rPr>
          <w:sz w:val="24"/>
          <w:szCs w:val="24"/>
        </w:rPr>
        <w:t>is not</w:t>
      </w:r>
      <w:r>
        <w:rPr>
          <w:sz w:val="24"/>
          <w:szCs w:val="24"/>
        </w:rPr>
        <w:t xml:space="preserve"> documented at the state level by any federal agencies, unofficial estimates</w:t>
      </w:r>
      <w:r w:rsidR="008E2AB1">
        <w:rPr>
          <w:sz w:val="24"/>
          <w:szCs w:val="24"/>
        </w:rPr>
        <w:t xml:space="preserve"> by Hazell et al </w:t>
      </w:r>
      <w:r w:rsidR="00034C6B">
        <w:rPr>
          <w:sz w:val="24"/>
          <w:szCs w:val="24"/>
        </w:rPr>
        <w:t>(</w:t>
      </w:r>
      <w:r w:rsidR="008E2AB1">
        <w:rPr>
          <w:sz w:val="24"/>
          <w:szCs w:val="24"/>
        </w:rPr>
        <w:t>2020</w:t>
      </w:r>
      <w:r w:rsidR="00034C6B">
        <w:rPr>
          <w:sz w:val="24"/>
          <w:szCs w:val="24"/>
        </w:rPr>
        <w:t>)</w:t>
      </w:r>
      <w:r w:rsidR="008E2AB1">
        <w:rPr>
          <w:sz w:val="24"/>
          <w:szCs w:val="24"/>
        </w:rPr>
        <w:t xml:space="preserve"> </w:t>
      </w:r>
      <w:r w:rsidR="00D97350">
        <w:rPr>
          <w:sz w:val="24"/>
          <w:szCs w:val="24"/>
        </w:rPr>
        <w:t xml:space="preserve">are used as </w:t>
      </w:r>
      <w:r w:rsidR="00390433">
        <w:rPr>
          <w:sz w:val="24"/>
          <w:szCs w:val="24"/>
        </w:rPr>
        <w:t xml:space="preserve">a </w:t>
      </w:r>
      <w:r w:rsidR="00D97350">
        <w:rPr>
          <w:sz w:val="24"/>
          <w:szCs w:val="24"/>
        </w:rPr>
        <w:t xml:space="preserve">substitute. </w:t>
      </w:r>
      <w:r w:rsidR="00F2462E">
        <w:rPr>
          <w:sz w:val="24"/>
          <w:szCs w:val="24"/>
        </w:rPr>
        <w:t>Estimated inflation rates drawn from this study</w:t>
      </w:r>
      <w:r w:rsidR="00157321">
        <w:rPr>
          <w:sz w:val="24"/>
          <w:szCs w:val="24"/>
        </w:rPr>
        <w:t xml:space="preserve"> are</w:t>
      </w:r>
      <w:r w:rsidR="00F2462E">
        <w:rPr>
          <w:sz w:val="24"/>
          <w:szCs w:val="24"/>
        </w:rPr>
        <w:t xml:space="preserve"> </w:t>
      </w:r>
      <w:r w:rsidR="00487840">
        <w:rPr>
          <w:sz w:val="24"/>
          <w:szCs w:val="24"/>
        </w:rPr>
        <w:t xml:space="preserve">annualized quarterly inflation rates and cover </w:t>
      </w:r>
      <w:r w:rsidR="00455379">
        <w:rPr>
          <w:sz w:val="24"/>
          <w:szCs w:val="24"/>
        </w:rPr>
        <w:t xml:space="preserve">the years 1989-2017 for </w:t>
      </w:r>
      <w:r w:rsidR="00851AE7">
        <w:rPr>
          <w:sz w:val="24"/>
          <w:szCs w:val="24"/>
        </w:rPr>
        <w:t>33 states plus DC</w:t>
      </w:r>
      <w:r w:rsidR="00487840">
        <w:rPr>
          <w:sz w:val="24"/>
          <w:szCs w:val="24"/>
        </w:rPr>
        <w:t xml:space="preserve">. </w:t>
      </w:r>
      <w:r w:rsidR="00D97350">
        <w:rPr>
          <w:sz w:val="24"/>
          <w:szCs w:val="24"/>
        </w:rPr>
        <w:t xml:space="preserve">These figures </w:t>
      </w:r>
      <w:r w:rsidR="00146F51">
        <w:rPr>
          <w:sz w:val="24"/>
          <w:szCs w:val="24"/>
        </w:rPr>
        <w:t xml:space="preserve">were originally </w:t>
      </w:r>
      <w:r w:rsidR="00F303D0">
        <w:rPr>
          <w:sz w:val="24"/>
          <w:szCs w:val="24"/>
        </w:rPr>
        <w:t>used</w:t>
      </w:r>
      <w:r w:rsidR="00146F51">
        <w:rPr>
          <w:sz w:val="24"/>
          <w:szCs w:val="24"/>
        </w:rPr>
        <w:t xml:space="preserve"> to study</w:t>
      </w:r>
      <w:r w:rsidR="00390433">
        <w:rPr>
          <w:sz w:val="24"/>
          <w:szCs w:val="24"/>
        </w:rPr>
        <w:t xml:space="preserve"> the </w:t>
      </w:r>
      <w:r w:rsidR="00F303D0">
        <w:rPr>
          <w:sz w:val="24"/>
          <w:szCs w:val="24"/>
        </w:rPr>
        <w:t xml:space="preserve">behavior of the </w:t>
      </w:r>
      <w:r w:rsidR="00390433">
        <w:rPr>
          <w:sz w:val="24"/>
          <w:szCs w:val="24"/>
        </w:rPr>
        <w:t xml:space="preserve">Phillips Curve, and are </w:t>
      </w:r>
      <w:r w:rsidR="008E2AB1">
        <w:rPr>
          <w:sz w:val="24"/>
          <w:szCs w:val="24"/>
        </w:rPr>
        <w:t xml:space="preserve">constructed </w:t>
      </w:r>
      <w:r w:rsidR="00390433">
        <w:rPr>
          <w:sz w:val="24"/>
          <w:szCs w:val="24"/>
        </w:rPr>
        <w:t>using</w:t>
      </w:r>
      <w:r w:rsidR="008E2AB1">
        <w:rPr>
          <w:sz w:val="24"/>
          <w:szCs w:val="24"/>
        </w:rPr>
        <w:t xml:space="preserve"> Bureau of Labor Statistics micro</w:t>
      </w:r>
      <w:r w:rsidR="00390433">
        <w:rPr>
          <w:sz w:val="24"/>
          <w:szCs w:val="24"/>
        </w:rPr>
        <w:t>-price</w:t>
      </w:r>
      <w:r w:rsidR="008E2AB1">
        <w:rPr>
          <w:sz w:val="24"/>
          <w:szCs w:val="24"/>
        </w:rPr>
        <w:t xml:space="preserve"> data</w:t>
      </w:r>
      <w:r w:rsidR="00390433">
        <w:rPr>
          <w:sz w:val="24"/>
          <w:szCs w:val="24"/>
        </w:rPr>
        <w:t xml:space="preserve"> that covers approximately 70% of consumer spending in the United States. </w:t>
      </w:r>
      <w:r w:rsidR="00930BD6">
        <w:rPr>
          <w:sz w:val="24"/>
          <w:szCs w:val="24"/>
        </w:rPr>
        <w:t>Advantages of these inflation estimates over those of other studies</w:t>
      </w:r>
      <w:r w:rsidR="00686082">
        <w:rPr>
          <w:sz w:val="24"/>
          <w:szCs w:val="24"/>
        </w:rPr>
        <w:t xml:space="preserve"> that are based on </w:t>
      </w:r>
      <w:r w:rsidR="00964772">
        <w:rPr>
          <w:sz w:val="24"/>
          <w:szCs w:val="24"/>
        </w:rPr>
        <w:t>cost-of-living</w:t>
      </w:r>
      <w:r w:rsidR="0032007E">
        <w:rPr>
          <w:sz w:val="24"/>
          <w:szCs w:val="24"/>
        </w:rPr>
        <w:t xml:space="preserve"> estimates or scanner price data</w:t>
      </w:r>
      <w:r w:rsidR="00930BD6">
        <w:rPr>
          <w:sz w:val="24"/>
          <w:szCs w:val="24"/>
        </w:rPr>
        <w:t xml:space="preserve"> </w:t>
      </w:r>
      <w:r w:rsidR="00E63603">
        <w:rPr>
          <w:sz w:val="24"/>
          <w:szCs w:val="24"/>
        </w:rPr>
        <w:t xml:space="preserve">are </w:t>
      </w:r>
      <w:r w:rsidR="00930BD6">
        <w:rPr>
          <w:sz w:val="24"/>
          <w:szCs w:val="24"/>
        </w:rPr>
        <w:t xml:space="preserve">its longer sample period, extensive geographic coverage, and </w:t>
      </w:r>
      <w:r w:rsidR="00E63603">
        <w:rPr>
          <w:sz w:val="24"/>
          <w:szCs w:val="24"/>
        </w:rPr>
        <w:t xml:space="preserve">calculation method that does not rely on data from other regions to fill the gaps in BLS reporting. </w:t>
      </w:r>
    </w:p>
    <w:p w14:paraId="19F8FDCF" w14:textId="2E798679" w:rsidR="00CA3082" w:rsidRDefault="00090E91" w:rsidP="00A10021">
      <w:pPr>
        <w:spacing w:line="480" w:lineRule="auto"/>
        <w:ind w:firstLine="360"/>
        <w:rPr>
          <w:sz w:val="24"/>
          <w:szCs w:val="24"/>
        </w:rPr>
      </w:pPr>
      <w:r>
        <w:rPr>
          <w:sz w:val="24"/>
          <w:szCs w:val="24"/>
        </w:rPr>
        <w:t xml:space="preserve">Data for </w:t>
      </w:r>
      <w:r w:rsidR="00D91C38">
        <w:rPr>
          <w:sz w:val="24"/>
          <w:szCs w:val="24"/>
        </w:rPr>
        <w:t xml:space="preserve">state </w:t>
      </w:r>
      <w:r>
        <w:rPr>
          <w:sz w:val="24"/>
          <w:szCs w:val="24"/>
        </w:rPr>
        <w:t>unemployment</w:t>
      </w:r>
      <w:r w:rsidR="00804015">
        <w:rPr>
          <w:sz w:val="24"/>
          <w:szCs w:val="24"/>
        </w:rPr>
        <w:t xml:space="preserve">, </w:t>
      </w:r>
      <w:r w:rsidR="00D91C38">
        <w:rPr>
          <w:sz w:val="24"/>
          <w:szCs w:val="24"/>
        </w:rPr>
        <w:t>labor force participation rates</w:t>
      </w:r>
      <w:r w:rsidR="00804015">
        <w:rPr>
          <w:sz w:val="24"/>
          <w:szCs w:val="24"/>
        </w:rPr>
        <w:t>, and employment to population ratios</w:t>
      </w:r>
      <w:r w:rsidR="00D91C38">
        <w:rPr>
          <w:sz w:val="24"/>
          <w:szCs w:val="24"/>
        </w:rPr>
        <w:t xml:space="preserve"> are </w:t>
      </w:r>
      <w:r w:rsidR="00DB5E3A">
        <w:rPr>
          <w:sz w:val="24"/>
          <w:szCs w:val="24"/>
        </w:rPr>
        <w:t>taken directly from the Bureau of Labor Statistics websit</w:t>
      </w:r>
      <w:r w:rsidR="00D45DF9">
        <w:rPr>
          <w:sz w:val="24"/>
          <w:szCs w:val="24"/>
        </w:rPr>
        <w:t>e</w:t>
      </w:r>
      <w:r w:rsidR="00BD3064">
        <w:rPr>
          <w:sz w:val="24"/>
          <w:szCs w:val="24"/>
        </w:rPr>
        <w:t>, which relies on their</w:t>
      </w:r>
      <w:r w:rsidR="00D45DF9">
        <w:rPr>
          <w:sz w:val="24"/>
          <w:szCs w:val="24"/>
        </w:rPr>
        <w:t xml:space="preserve"> Local Area </w:t>
      </w:r>
      <w:r w:rsidR="0038054C">
        <w:rPr>
          <w:sz w:val="24"/>
          <w:szCs w:val="24"/>
        </w:rPr>
        <w:t xml:space="preserve">Unemployment Statistics (LAUS) </w:t>
      </w:r>
      <w:r w:rsidR="002323C1">
        <w:rPr>
          <w:sz w:val="24"/>
          <w:szCs w:val="24"/>
        </w:rPr>
        <w:t xml:space="preserve">program </w:t>
      </w:r>
      <w:r w:rsidR="0002342C">
        <w:rPr>
          <w:sz w:val="24"/>
          <w:szCs w:val="24"/>
        </w:rPr>
        <w:t xml:space="preserve">to collect and report state, county, metropolitan, and other local level labor </w:t>
      </w:r>
      <w:r w:rsidR="00604C3D">
        <w:rPr>
          <w:sz w:val="24"/>
          <w:szCs w:val="24"/>
        </w:rPr>
        <w:t xml:space="preserve">force statistics. </w:t>
      </w:r>
      <w:r w:rsidR="00263FB6">
        <w:rPr>
          <w:sz w:val="24"/>
          <w:szCs w:val="24"/>
        </w:rPr>
        <w:t>These estimates are available at the month and year frequency</w:t>
      </w:r>
      <w:r w:rsidR="00C12643">
        <w:rPr>
          <w:sz w:val="24"/>
          <w:szCs w:val="24"/>
        </w:rPr>
        <w:t xml:space="preserve"> and rely on </w:t>
      </w:r>
      <w:r w:rsidR="002604C3">
        <w:rPr>
          <w:sz w:val="24"/>
          <w:szCs w:val="24"/>
        </w:rPr>
        <w:t xml:space="preserve">estimation models </w:t>
      </w:r>
      <w:r w:rsidR="00F444F7">
        <w:rPr>
          <w:sz w:val="24"/>
          <w:szCs w:val="24"/>
        </w:rPr>
        <w:t>that use</w:t>
      </w:r>
      <w:r w:rsidR="001F3CF7">
        <w:rPr>
          <w:sz w:val="24"/>
          <w:szCs w:val="24"/>
        </w:rPr>
        <w:t xml:space="preserve"> </w:t>
      </w:r>
      <w:r w:rsidR="001F3CF7">
        <w:rPr>
          <w:sz w:val="24"/>
          <w:szCs w:val="24"/>
        </w:rPr>
        <w:lastRenderedPageBreak/>
        <w:t xml:space="preserve">information from </w:t>
      </w:r>
      <w:r w:rsidR="00307509">
        <w:rPr>
          <w:sz w:val="24"/>
          <w:szCs w:val="24"/>
        </w:rPr>
        <w:t xml:space="preserve">several surveys </w:t>
      </w:r>
      <w:r w:rsidR="00B50A01">
        <w:rPr>
          <w:sz w:val="24"/>
          <w:szCs w:val="24"/>
        </w:rPr>
        <w:t xml:space="preserve">and </w:t>
      </w:r>
      <w:r w:rsidR="00DB6C84">
        <w:rPr>
          <w:sz w:val="24"/>
          <w:szCs w:val="24"/>
        </w:rPr>
        <w:t>unemployment insurance claim</w:t>
      </w:r>
      <w:r w:rsidR="00761755">
        <w:rPr>
          <w:sz w:val="24"/>
          <w:szCs w:val="24"/>
        </w:rPr>
        <w:t xml:space="preserve"> counts</w:t>
      </w:r>
      <w:r w:rsidR="00DB6C84">
        <w:rPr>
          <w:sz w:val="24"/>
          <w:szCs w:val="24"/>
        </w:rPr>
        <w:t>.</w:t>
      </w:r>
      <w:r w:rsidR="00EF511D">
        <w:rPr>
          <w:sz w:val="24"/>
          <w:szCs w:val="24"/>
        </w:rPr>
        <w:t xml:space="preserve"> </w:t>
      </w:r>
      <w:r w:rsidR="00687468">
        <w:rPr>
          <w:sz w:val="24"/>
          <w:szCs w:val="24"/>
        </w:rPr>
        <w:t>Figures</w:t>
      </w:r>
      <w:r w:rsidR="00EF511D">
        <w:rPr>
          <w:sz w:val="24"/>
          <w:szCs w:val="24"/>
        </w:rPr>
        <w:t xml:space="preserve"> </w:t>
      </w:r>
      <w:r w:rsidR="00310413">
        <w:rPr>
          <w:sz w:val="24"/>
          <w:szCs w:val="24"/>
        </w:rPr>
        <w:t>for</w:t>
      </w:r>
      <w:r w:rsidR="00622ADF">
        <w:rPr>
          <w:sz w:val="24"/>
          <w:szCs w:val="24"/>
        </w:rPr>
        <w:t xml:space="preserve"> states </w:t>
      </w:r>
      <w:r w:rsidR="00EF511D">
        <w:rPr>
          <w:sz w:val="24"/>
          <w:szCs w:val="24"/>
        </w:rPr>
        <w:t>are adjusted to</w:t>
      </w:r>
      <w:r w:rsidR="00622ADF">
        <w:rPr>
          <w:sz w:val="24"/>
          <w:szCs w:val="24"/>
        </w:rPr>
        <w:t xml:space="preserve"> sum to the national </w:t>
      </w:r>
      <w:r w:rsidR="00310413">
        <w:rPr>
          <w:sz w:val="24"/>
          <w:szCs w:val="24"/>
        </w:rPr>
        <w:t xml:space="preserve">estimates </w:t>
      </w:r>
      <w:r w:rsidR="00974983">
        <w:rPr>
          <w:sz w:val="24"/>
          <w:szCs w:val="24"/>
        </w:rPr>
        <w:t>reported in</w:t>
      </w:r>
      <w:r w:rsidR="00450D47">
        <w:rPr>
          <w:sz w:val="24"/>
          <w:szCs w:val="24"/>
        </w:rPr>
        <w:t xml:space="preserve"> the Current Population Survey.</w:t>
      </w:r>
    </w:p>
    <w:p w14:paraId="0728A77A" w14:textId="2CFE6807" w:rsidR="00405597" w:rsidRDefault="00405597" w:rsidP="00A10021">
      <w:pPr>
        <w:spacing w:line="480" w:lineRule="auto"/>
        <w:ind w:firstLine="360"/>
        <w:rPr>
          <w:sz w:val="24"/>
          <w:szCs w:val="24"/>
        </w:rPr>
      </w:pPr>
      <w:r w:rsidRPr="00405597">
        <w:rPr>
          <w:sz w:val="24"/>
          <w:szCs w:val="24"/>
        </w:rPr>
        <w:t xml:space="preserve">The inclusion of </w:t>
      </w:r>
      <w:r w:rsidR="005C1F1F">
        <w:rPr>
          <w:sz w:val="24"/>
          <w:szCs w:val="24"/>
        </w:rPr>
        <w:t xml:space="preserve">these </w:t>
      </w:r>
      <w:r w:rsidRPr="00405597">
        <w:rPr>
          <w:sz w:val="24"/>
          <w:szCs w:val="24"/>
        </w:rPr>
        <w:t>three different measures of employment allows for a complete analysis of the employment effects, as each of these variables represents a different subpopulation</w:t>
      </w:r>
      <w:r w:rsidR="005C1F1F">
        <w:rPr>
          <w:sz w:val="24"/>
          <w:szCs w:val="24"/>
        </w:rPr>
        <w:t xml:space="preserve"> with definitions as follows:</w:t>
      </w:r>
    </w:p>
    <w:p w14:paraId="36E9AE9C" w14:textId="6DA4AF4E" w:rsidR="00371E75" w:rsidRPr="003A5319" w:rsidRDefault="005379D2" w:rsidP="003A5319">
      <w:pPr>
        <w:pStyle w:val="ListParagraph"/>
        <w:numPr>
          <w:ilvl w:val="0"/>
          <w:numId w:val="28"/>
        </w:numPr>
        <w:spacing w:line="480" w:lineRule="auto"/>
        <w:rPr>
          <w:rFonts w:eastAsiaTheme="minorEastAsia"/>
          <w:sz w:val="24"/>
          <w:szCs w:val="24"/>
        </w:rPr>
      </w:pPr>
      <m:oMath>
        <m:r>
          <w:rPr>
            <w:rFonts w:ascii="Cambria Math" w:hAnsi="Cambria Math"/>
            <w:sz w:val="24"/>
            <w:szCs w:val="24"/>
          </w:rPr>
          <m:t xml:space="preserve">Unemployment Rate= </m:t>
        </m:r>
        <m:f>
          <m:fPr>
            <m:ctrlPr>
              <w:rPr>
                <w:rFonts w:ascii="Cambria Math" w:hAnsi="Cambria Math"/>
                <w:i/>
                <w:sz w:val="24"/>
                <w:szCs w:val="24"/>
              </w:rPr>
            </m:ctrlPr>
          </m:fPr>
          <m:num>
            <m:r>
              <w:rPr>
                <w:rFonts w:ascii="Cambria Math" w:hAnsi="Cambria Math"/>
                <w:sz w:val="24"/>
                <w:szCs w:val="24"/>
              </w:rPr>
              <m:t>unemployed workers</m:t>
            </m:r>
          </m:num>
          <m:den>
            <m:r>
              <w:rPr>
                <w:rFonts w:ascii="Cambria Math" w:hAnsi="Cambria Math"/>
                <w:sz w:val="24"/>
                <w:szCs w:val="24"/>
              </w:rPr>
              <m:t>total labor force</m:t>
            </m:r>
          </m:den>
        </m:f>
        <m:r>
          <w:rPr>
            <w:rFonts w:ascii="Cambria Math" w:hAnsi="Cambria Math"/>
            <w:sz w:val="24"/>
            <w:szCs w:val="24"/>
          </w:rPr>
          <m:t xml:space="preserve"> x 100</m:t>
        </m:r>
      </m:oMath>
    </w:p>
    <w:p w14:paraId="58152DAD" w14:textId="3A23B789" w:rsidR="00C90CD9" w:rsidRDefault="00DE316A" w:rsidP="00A10021">
      <w:pPr>
        <w:spacing w:line="480" w:lineRule="auto"/>
        <w:ind w:firstLine="720"/>
        <w:rPr>
          <w:rFonts w:eastAsiaTheme="minorEastAsia"/>
          <w:sz w:val="24"/>
          <w:szCs w:val="24"/>
        </w:rPr>
      </w:pPr>
      <w:r>
        <w:rPr>
          <w:rFonts w:eastAsiaTheme="minorEastAsia"/>
          <w:sz w:val="24"/>
          <w:szCs w:val="24"/>
        </w:rPr>
        <w:t>U</w:t>
      </w:r>
      <w:r w:rsidR="00C90CD9">
        <w:rPr>
          <w:rFonts w:eastAsiaTheme="minorEastAsia"/>
          <w:sz w:val="24"/>
          <w:szCs w:val="24"/>
        </w:rPr>
        <w:t>nemployed workers are classified as those who were not employed during a survey reference week and had made at least one effort to find a job in the preceding 4 weeks, whether it be formally taking part in an employment process or simply seeking assistance from social connections. Discouraged workers and other potential workers who had not made efforts to find employment in the preceding four weeks are</w:t>
      </w:r>
      <w:r w:rsidR="00C65E47">
        <w:rPr>
          <w:rFonts w:eastAsiaTheme="minorEastAsia"/>
          <w:sz w:val="24"/>
          <w:szCs w:val="24"/>
        </w:rPr>
        <w:t xml:space="preserve"> not classified as part</w:t>
      </w:r>
      <w:r w:rsidR="00231AF2">
        <w:rPr>
          <w:rFonts w:eastAsiaTheme="minorEastAsia"/>
          <w:sz w:val="24"/>
          <w:szCs w:val="24"/>
        </w:rPr>
        <w:t>icipants in the</w:t>
      </w:r>
      <w:r w:rsidR="00C90CD9">
        <w:rPr>
          <w:rFonts w:eastAsiaTheme="minorEastAsia"/>
          <w:sz w:val="24"/>
          <w:szCs w:val="24"/>
        </w:rPr>
        <w:t xml:space="preserve"> labor force,</w:t>
      </w:r>
      <w:r w:rsidR="009324B7">
        <w:rPr>
          <w:rFonts w:eastAsiaTheme="minorEastAsia"/>
          <w:sz w:val="24"/>
          <w:szCs w:val="24"/>
        </w:rPr>
        <w:t xml:space="preserve"> which is itself the sum total of </w:t>
      </w:r>
      <w:r w:rsidR="00231AF2">
        <w:rPr>
          <w:rFonts w:eastAsiaTheme="minorEastAsia"/>
          <w:sz w:val="24"/>
          <w:szCs w:val="24"/>
        </w:rPr>
        <w:t>those</w:t>
      </w:r>
      <w:r w:rsidR="009324B7">
        <w:rPr>
          <w:rFonts w:eastAsiaTheme="minorEastAsia"/>
          <w:sz w:val="24"/>
          <w:szCs w:val="24"/>
        </w:rPr>
        <w:t xml:space="preserve"> who are </w:t>
      </w:r>
      <w:r w:rsidR="00231AF2">
        <w:rPr>
          <w:rFonts w:eastAsiaTheme="minorEastAsia"/>
          <w:sz w:val="24"/>
          <w:szCs w:val="24"/>
        </w:rPr>
        <w:t xml:space="preserve">either </w:t>
      </w:r>
      <w:r w:rsidR="009324B7">
        <w:rPr>
          <w:rFonts w:eastAsiaTheme="minorEastAsia"/>
          <w:sz w:val="24"/>
          <w:szCs w:val="24"/>
        </w:rPr>
        <w:t xml:space="preserve">employed </w:t>
      </w:r>
      <w:r w:rsidR="00231AF2">
        <w:rPr>
          <w:rFonts w:eastAsiaTheme="minorEastAsia"/>
          <w:sz w:val="24"/>
          <w:szCs w:val="24"/>
        </w:rPr>
        <w:t>or</w:t>
      </w:r>
      <w:r w:rsidR="009324B7">
        <w:rPr>
          <w:rFonts w:eastAsiaTheme="minorEastAsia"/>
          <w:sz w:val="24"/>
          <w:szCs w:val="24"/>
        </w:rPr>
        <w:t xml:space="preserve"> unemployed.</w:t>
      </w:r>
      <w:r w:rsidR="00C90CD9">
        <w:rPr>
          <w:rFonts w:eastAsiaTheme="minorEastAsia"/>
          <w:sz w:val="24"/>
          <w:szCs w:val="24"/>
        </w:rPr>
        <w:t xml:space="preserve"> </w:t>
      </w:r>
      <w:r w:rsidR="009324B7">
        <w:rPr>
          <w:rFonts w:eastAsiaTheme="minorEastAsia"/>
          <w:sz w:val="24"/>
          <w:szCs w:val="24"/>
        </w:rPr>
        <w:t xml:space="preserve">Thus, these individuals are </w:t>
      </w:r>
      <w:r w:rsidR="00C90CD9">
        <w:rPr>
          <w:rFonts w:eastAsiaTheme="minorEastAsia"/>
          <w:sz w:val="24"/>
          <w:szCs w:val="24"/>
        </w:rPr>
        <w:t>excluded from unemployment figures</w:t>
      </w:r>
      <w:r w:rsidR="00F06686">
        <w:rPr>
          <w:rFonts w:eastAsiaTheme="minorEastAsia"/>
          <w:sz w:val="24"/>
          <w:szCs w:val="24"/>
        </w:rPr>
        <w:t>, and s</w:t>
      </w:r>
      <w:r w:rsidR="002E33C2">
        <w:rPr>
          <w:rFonts w:eastAsiaTheme="minorEastAsia"/>
          <w:sz w:val="24"/>
          <w:szCs w:val="24"/>
        </w:rPr>
        <w:t>eparate</w:t>
      </w:r>
      <w:r w:rsidR="00C90CD9">
        <w:rPr>
          <w:rFonts w:eastAsiaTheme="minorEastAsia"/>
          <w:sz w:val="24"/>
          <w:szCs w:val="24"/>
        </w:rPr>
        <w:t xml:space="preserve"> metrics </w:t>
      </w:r>
      <w:r w:rsidR="002E33C2">
        <w:rPr>
          <w:rFonts w:eastAsiaTheme="minorEastAsia"/>
          <w:sz w:val="24"/>
          <w:szCs w:val="24"/>
        </w:rPr>
        <w:t>that are</w:t>
      </w:r>
      <w:r w:rsidR="00437DBB">
        <w:rPr>
          <w:rFonts w:eastAsiaTheme="minorEastAsia"/>
          <w:sz w:val="24"/>
          <w:szCs w:val="24"/>
        </w:rPr>
        <w:t xml:space="preserve"> not</w:t>
      </w:r>
      <w:r w:rsidR="00C90CD9">
        <w:rPr>
          <w:rFonts w:eastAsiaTheme="minorEastAsia"/>
          <w:sz w:val="24"/>
          <w:szCs w:val="24"/>
        </w:rPr>
        <w:t xml:space="preserve"> denominated in total labor force </w:t>
      </w:r>
      <w:r w:rsidR="00985502">
        <w:rPr>
          <w:rFonts w:eastAsiaTheme="minorEastAsia"/>
          <w:sz w:val="24"/>
          <w:szCs w:val="24"/>
        </w:rPr>
        <w:t>are</w:t>
      </w:r>
      <w:r w:rsidR="00C90CD9">
        <w:rPr>
          <w:rFonts w:eastAsiaTheme="minorEastAsia"/>
          <w:sz w:val="24"/>
          <w:szCs w:val="24"/>
        </w:rPr>
        <w:t xml:space="preserve"> needed to account for </w:t>
      </w:r>
      <w:r w:rsidR="00F06686">
        <w:rPr>
          <w:rFonts w:eastAsiaTheme="minorEastAsia"/>
          <w:sz w:val="24"/>
          <w:szCs w:val="24"/>
        </w:rPr>
        <w:t>this coverage gap</w:t>
      </w:r>
      <w:r w:rsidR="00C90CD9">
        <w:rPr>
          <w:rFonts w:eastAsiaTheme="minorEastAsia"/>
          <w:sz w:val="24"/>
          <w:szCs w:val="24"/>
        </w:rPr>
        <w:t>.</w:t>
      </w:r>
    </w:p>
    <w:p w14:paraId="5B47A362" w14:textId="62CD4645" w:rsidR="00C90CD9" w:rsidRPr="003A5319" w:rsidRDefault="00C90CD9" w:rsidP="003A5319">
      <w:pPr>
        <w:pStyle w:val="ListParagraph"/>
        <w:numPr>
          <w:ilvl w:val="0"/>
          <w:numId w:val="28"/>
        </w:numPr>
        <w:spacing w:line="480" w:lineRule="auto"/>
        <w:rPr>
          <w:rFonts w:eastAsiaTheme="minorEastAsia"/>
          <w:sz w:val="24"/>
          <w:szCs w:val="24"/>
        </w:rPr>
      </w:pPr>
      <m:oMath>
        <m:r>
          <w:rPr>
            <w:rFonts w:ascii="Cambria Math" w:eastAsiaTheme="minorEastAsia" w:hAnsi="Cambria Math"/>
            <w:sz w:val="24"/>
            <w:szCs w:val="24"/>
          </w:rPr>
          <m:t xml:space="preserve">Labor Force Participation= </m:t>
        </m:r>
        <m:f>
          <m:fPr>
            <m:ctrlPr>
              <w:rPr>
                <w:rFonts w:ascii="Cambria Math" w:eastAsiaTheme="minorEastAsia" w:hAnsi="Cambria Math"/>
                <w:i/>
                <w:sz w:val="24"/>
                <w:szCs w:val="24"/>
              </w:rPr>
            </m:ctrlPr>
          </m:fPr>
          <m:num>
            <m:r>
              <w:rPr>
                <w:rFonts w:ascii="Cambria Math" w:eastAsiaTheme="minorEastAsia" w:hAnsi="Cambria Math"/>
                <w:sz w:val="24"/>
                <w:szCs w:val="24"/>
              </w:rPr>
              <m:t>total labor force</m:t>
            </m:r>
          </m:num>
          <m:den>
            <m:r>
              <w:rPr>
                <w:rFonts w:ascii="Cambria Math" w:eastAsiaTheme="minorEastAsia" w:hAnsi="Cambria Math"/>
                <w:sz w:val="24"/>
                <w:szCs w:val="24"/>
              </w:rPr>
              <m:t>civilian noninstitutional population</m:t>
            </m:r>
          </m:den>
        </m:f>
      </m:oMath>
      <w:r w:rsidRPr="003A5319">
        <w:rPr>
          <w:rFonts w:eastAsiaTheme="minorEastAsia"/>
          <w:sz w:val="24"/>
          <w:szCs w:val="24"/>
        </w:rPr>
        <w:t xml:space="preserve"> x 100</w:t>
      </w:r>
    </w:p>
    <w:p w14:paraId="667428FC" w14:textId="1A56E1E1" w:rsidR="00E435A3" w:rsidRDefault="00E61814" w:rsidP="00A10021">
      <w:pPr>
        <w:spacing w:line="480" w:lineRule="auto"/>
        <w:ind w:firstLine="720"/>
        <w:rPr>
          <w:rFonts w:eastAsiaTheme="minorEastAsia"/>
          <w:sz w:val="24"/>
          <w:szCs w:val="24"/>
        </w:rPr>
      </w:pPr>
      <w:r>
        <w:rPr>
          <w:rFonts w:eastAsiaTheme="minorEastAsia"/>
          <w:sz w:val="24"/>
          <w:szCs w:val="24"/>
        </w:rPr>
        <w:t xml:space="preserve">Civilian noninstitutional population </w:t>
      </w:r>
      <w:r w:rsidR="00C266E0">
        <w:rPr>
          <w:rFonts w:eastAsiaTheme="minorEastAsia"/>
          <w:sz w:val="24"/>
          <w:szCs w:val="24"/>
        </w:rPr>
        <w:t xml:space="preserve">is the general population </w:t>
      </w:r>
      <w:r w:rsidR="00747067">
        <w:rPr>
          <w:rFonts w:eastAsiaTheme="minorEastAsia"/>
          <w:sz w:val="24"/>
          <w:szCs w:val="24"/>
        </w:rPr>
        <w:t xml:space="preserve">base </w:t>
      </w:r>
      <w:r w:rsidR="0017162B">
        <w:rPr>
          <w:rFonts w:eastAsiaTheme="minorEastAsia"/>
          <w:sz w:val="24"/>
          <w:szCs w:val="24"/>
        </w:rPr>
        <w:t>that</w:t>
      </w:r>
      <w:r w:rsidR="00C266E0">
        <w:rPr>
          <w:rFonts w:eastAsiaTheme="minorEastAsia"/>
          <w:sz w:val="24"/>
          <w:szCs w:val="24"/>
        </w:rPr>
        <w:t xml:space="preserve"> the </w:t>
      </w:r>
      <w:r w:rsidR="00747067">
        <w:rPr>
          <w:rFonts w:eastAsiaTheme="minorEastAsia"/>
          <w:sz w:val="24"/>
          <w:szCs w:val="24"/>
        </w:rPr>
        <w:t>Bureau of Labor Statistics</w:t>
      </w:r>
      <w:r w:rsidR="0017162B">
        <w:rPr>
          <w:rFonts w:eastAsiaTheme="minorEastAsia"/>
          <w:sz w:val="24"/>
          <w:szCs w:val="24"/>
        </w:rPr>
        <w:t xml:space="preserve"> </w:t>
      </w:r>
      <w:r w:rsidR="004512DB">
        <w:rPr>
          <w:rFonts w:eastAsiaTheme="minorEastAsia"/>
          <w:sz w:val="24"/>
          <w:szCs w:val="24"/>
        </w:rPr>
        <w:t>c</w:t>
      </w:r>
      <w:r w:rsidR="00AA49B6">
        <w:rPr>
          <w:rFonts w:eastAsiaTheme="minorEastAsia"/>
          <w:sz w:val="24"/>
          <w:szCs w:val="24"/>
        </w:rPr>
        <w:t>oncerns itself</w:t>
      </w:r>
      <w:r w:rsidR="004512DB">
        <w:rPr>
          <w:rFonts w:eastAsiaTheme="minorEastAsia"/>
          <w:sz w:val="24"/>
          <w:szCs w:val="24"/>
        </w:rPr>
        <w:t xml:space="preserve"> with</w:t>
      </w:r>
      <w:r w:rsidR="00F37B66">
        <w:rPr>
          <w:rFonts w:eastAsiaTheme="minorEastAsia"/>
          <w:sz w:val="24"/>
          <w:szCs w:val="24"/>
        </w:rPr>
        <w:t>,</w:t>
      </w:r>
      <w:r w:rsidR="00FC0240">
        <w:rPr>
          <w:rFonts w:eastAsiaTheme="minorEastAsia"/>
          <w:sz w:val="24"/>
          <w:szCs w:val="24"/>
        </w:rPr>
        <w:t xml:space="preserve"> </w:t>
      </w:r>
      <w:r w:rsidR="0017162B">
        <w:rPr>
          <w:rFonts w:eastAsiaTheme="minorEastAsia"/>
          <w:sz w:val="24"/>
          <w:szCs w:val="24"/>
        </w:rPr>
        <w:t xml:space="preserve">and refers to </w:t>
      </w:r>
      <w:r w:rsidR="0022351E">
        <w:rPr>
          <w:rFonts w:eastAsiaTheme="minorEastAsia"/>
          <w:sz w:val="24"/>
          <w:szCs w:val="24"/>
        </w:rPr>
        <w:t xml:space="preserve">all individuals over the age of sixteen who are neither </w:t>
      </w:r>
      <w:r w:rsidR="00A0726B">
        <w:rPr>
          <w:rFonts w:eastAsiaTheme="minorEastAsia"/>
          <w:sz w:val="24"/>
          <w:szCs w:val="24"/>
        </w:rPr>
        <w:t xml:space="preserve">serving active duty in the armed forces </w:t>
      </w:r>
      <w:r w:rsidR="00603ED5">
        <w:rPr>
          <w:rFonts w:eastAsiaTheme="minorEastAsia"/>
          <w:sz w:val="24"/>
          <w:szCs w:val="24"/>
        </w:rPr>
        <w:t>nor</w:t>
      </w:r>
      <w:r w:rsidR="00A0726B">
        <w:rPr>
          <w:rFonts w:eastAsiaTheme="minorEastAsia"/>
          <w:sz w:val="24"/>
          <w:szCs w:val="24"/>
        </w:rPr>
        <w:t xml:space="preserve"> </w:t>
      </w:r>
      <w:r w:rsidR="004F5926">
        <w:rPr>
          <w:rFonts w:eastAsiaTheme="minorEastAsia"/>
          <w:sz w:val="24"/>
          <w:szCs w:val="24"/>
        </w:rPr>
        <w:t xml:space="preserve">institutionalized in jails, </w:t>
      </w:r>
      <w:r w:rsidR="00516D38">
        <w:rPr>
          <w:rFonts w:eastAsiaTheme="minorEastAsia"/>
          <w:sz w:val="24"/>
          <w:szCs w:val="24"/>
        </w:rPr>
        <w:t>correctional</w:t>
      </w:r>
      <w:r w:rsidR="0083232A">
        <w:rPr>
          <w:rFonts w:eastAsiaTheme="minorEastAsia"/>
          <w:sz w:val="24"/>
          <w:szCs w:val="24"/>
        </w:rPr>
        <w:t xml:space="preserve"> </w:t>
      </w:r>
      <w:r w:rsidR="0083232A">
        <w:rPr>
          <w:rFonts w:eastAsiaTheme="minorEastAsia"/>
          <w:sz w:val="24"/>
          <w:szCs w:val="24"/>
        </w:rPr>
        <w:lastRenderedPageBreak/>
        <w:t xml:space="preserve">facilities, </w:t>
      </w:r>
      <w:r w:rsidR="00FC0240">
        <w:rPr>
          <w:rFonts w:eastAsiaTheme="minorEastAsia"/>
          <w:sz w:val="24"/>
          <w:szCs w:val="24"/>
        </w:rPr>
        <w:t>etc</w:t>
      </w:r>
      <w:r w:rsidR="0083232A">
        <w:rPr>
          <w:rFonts w:eastAsiaTheme="minorEastAsia"/>
          <w:sz w:val="24"/>
          <w:szCs w:val="24"/>
        </w:rPr>
        <w:t>.</w:t>
      </w:r>
      <w:r w:rsidR="00603ED5">
        <w:rPr>
          <w:rFonts w:eastAsiaTheme="minorEastAsia"/>
          <w:sz w:val="24"/>
          <w:szCs w:val="24"/>
        </w:rPr>
        <w:t xml:space="preserve"> </w:t>
      </w:r>
      <w:r w:rsidR="00947883">
        <w:rPr>
          <w:rFonts w:eastAsiaTheme="minorEastAsia"/>
          <w:sz w:val="24"/>
          <w:szCs w:val="24"/>
        </w:rPr>
        <w:t>Relating</w:t>
      </w:r>
      <w:r w:rsidR="00751068">
        <w:rPr>
          <w:rFonts w:eastAsiaTheme="minorEastAsia"/>
          <w:sz w:val="24"/>
          <w:szCs w:val="24"/>
        </w:rPr>
        <w:t xml:space="preserve"> </w:t>
      </w:r>
      <w:r w:rsidR="00947883">
        <w:rPr>
          <w:rFonts w:eastAsiaTheme="minorEastAsia"/>
          <w:sz w:val="24"/>
          <w:szCs w:val="24"/>
        </w:rPr>
        <w:t xml:space="preserve">total </w:t>
      </w:r>
      <w:r w:rsidR="00751068">
        <w:rPr>
          <w:rFonts w:eastAsiaTheme="minorEastAsia"/>
          <w:sz w:val="24"/>
          <w:szCs w:val="24"/>
        </w:rPr>
        <w:t xml:space="preserve">labor force </w:t>
      </w:r>
      <w:r w:rsidR="00947883">
        <w:rPr>
          <w:rFonts w:eastAsiaTheme="minorEastAsia"/>
          <w:sz w:val="24"/>
          <w:szCs w:val="24"/>
        </w:rPr>
        <w:t xml:space="preserve">to the civilian population base </w:t>
      </w:r>
      <w:r w:rsidR="002A43F5">
        <w:rPr>
          <w:rFonts w:eastAsiaTheme="minorEastAsia"/>
          <w:sz w:val="24"/>
          <w:szCs w:val="24"/>
        </w:rPr>
        <w:t>measures aggregate</w:t>
      </w:r>
      <w:r w:rsidR="00D26350">
        <w:rPr>
          <w:rFonts w:eastAsiaTheme="minorEastAsia"/>
          <w:sz w:val="24"/>
          <w:szCs w:val="24"/>
        </w:rPr>
        <w:t xml:space="preserve"> self-selection behavior in</w:t>
      </w:r>
      <w:r w:rsidR="002A43F5">
        <w:rPr>
          <w:rFonts w:eastAsiaTheme="minorEastAsia"/>
          <w:sz w:val="24"/>
          <w:szCs w:val="24"/>
        </w:rPr>
        <w:t xml:space="preserve"> </w:t>
      </w:r>
      <w:r w:rsidR="00D26350">
        <w:rPr>
          <w:rFonts w:eastAsiaTheme="minorEastAsia"/>
          <w:sz w:val="24"/>
          <w:szCs w:val="24"/>
        </w:rPr>
        <w:t xml:space="preserve">the </w:t>
      </w:r>
      <w:r w:rsidR="002A43F5">
        <w:rPr>
          <w:rFonts w:eastAsiaTheme="minorEastAsia"/>
          <w:sz w:val="24"/>
          <w:szCs w:val="24"/>
        </w:rPr>
        <w:t xml:space="preserve">labor force, which </w:t>
      </w:r>
      <w:r w:rsidR="009D6463">
        <w:rPr>
          <w:rFonts w:eastAsiaTheme="minorEastAsia"/>
          <w:sz w:val="24"/>
          <w:szCs w:val="24"/>
        </w:rPr>
        <w:t>helps correct for the blind spots of the unemployment rate</w:t>
      </w:r>
      <w:r w:rsidR="002A43F5">
        <w:rPr>
          <w:rFonts w:eastAsiaTheme="minorEastAsia"/>
          <w:sz w:val="24"/>
          <w:szCs w:val="24"/>
        </w:rPr>
        <w:t xml:space="preserve"> </w:t>
      </w:r>
      <w:r w:rsidR="009D6463">
        <w:rPr>
          <w:rFonts w:eastAsiaTheme="minorEastAsia"/>
          <w:sz w:val="24"/>
          <w:szCs w:val="24"/>
        </w:rPr>
        <w:t xml:space="preserve">as </w:t>
      </w:r>
      <w:r w:rsidR="001E2398">
        <w:rPr>
          <w:rFonts w:eastAsiaTheme="minorEastAsia"/>
          <w:sz w:val="24"/>
          <w:szCs w:val="24"/>
        </w:rPr>
        <w:t xml:space="preserve">those individuals who were previously unaccounted for </w:t>
      </w:r>
      <w:r w:rsidR="00BC3FF6">
        <w:rPr>
          <w:rFonts w:eastAsiaTheme="minorEastAsia"/>
          <w:sz w:val="24"/>
          <w:szCs w:val="24"/>
        </w:rPr>
        <w:t>are made</w:t>
      </w:r>
      <w:r w:rsidR="002A43F5">
        <w:rPr>
          <w:rFonts w:eastAsiaTheme="minorEastAsia"/>
          <w:sz w:val="24"/>
          <w:szCs w:val="24"/>
        </w:rPr>
        <w:t xml:space="preserve"> visible by this statistic.</w:t>
      </w:r>
    </w:p>
    <w:p w14:paraId="3CE78CD7" w14:textId="3C4062E5" w:rsidR="00C90CD9" w:rsidRPr="003A5319" w:rsidRDefault="00C90CD9" w:rsidP="003A5319">
      <w:pPr>
        <w:pStyle w:val="ListParagraph"/>
        <w:numPr>
          <w:ilvl w:val="0"/>
          <w:numId w:val="28"/>
        </w:numPr>
        <w:spacing w:line="480" w:lineRule="auto"/>
        <w:rPr>
          <w:rFonts w:eastAsiaTheme="minorEastAsia"/>
          <w:sz w:val="24"/>
          <w:szCs w:val="24"/>
        </w:rPr>
      </w:pPr>
      <m:oMath>
        <m:r>
          <w:rPr>
            <w:rFonts w:ascii="Cambria Math" w:eastAsiaTheme="minorEastAsia" w:hAnsi="Cambria Math"/>
            <w:sz w:val="24"/>
            <w:szCs w:val="24"/>
          </w:rPr>
          <m:t xml:space="preserve">Employment to Population Ratio= </m:t>
        </m:r>
        <m:f>
          <m:fPr>
            <m:ctrlPr>
              <w:rPr>
                <w:rFonts w:ascii="Cambria Math" w:eastAsiaTheme="minorEastAsia" w:hAnsi="Cambria Math"/>
                <w:i/>
                <w:sz w:val="24"/>
                <w:szCs w:val="24"/>
              </w:rPr>
            </m:ctrlPr>
          </m:fPr>
          <m:num>
            <m:r>
              <w:rPr>
                <w:rFonts w:ascii="Cambria Math" w:eastAsiaTheme="minorEastAsia" w:hAnsi="Cambria Math"/>
                <w:sz w:val="24"/>
                <w:szCs w:val="24"/>
              </w:rPr>
              <m:t>employed workers</m:t>
            </m:r>
          </m:num>
          <m:den>
            <m:r>
              <w:rPr>
                <w:rFonts w:ascii="Cambria Math" w:eastAsiaTheme="minorEastAsia" w:hAnsi="Cambria Math"/>
                <w:sz w:val="24"/>
                <w:szCs w:val="24"/>
              </w:rPr>
              <m:t>civilian noninstitutional population</m:t>
            </m:r>
          </m:den>
        </m:f>
      </m:oMath>
      <w:r w:rsidRPr="003A5319">
        <w:rPr>
          <w:rFonts w:eastAsiaTheme="minorEastAsia"/>
          <w:sz w:val="24"/>
          <w:szCs w:val="24"/>
        </w:rPr>
        <w:t xml:space="preserve"> x 100</w:t>
      </w:r>
    </w:p>
    <w:p w14:paraId="2FC26BBF" w14:textId="779ADC1D" w:rsidR="009C4509" w:rsidRDefault="00EC1ED9" w:rsidP="00A10021">
      <w:pPr>
        <w:spacing w:line="480" w:lineRule="auto"/>
        <w:ind w:firstLine="720"/>
        <w:rPr>
          <w:rFonts w:eastAsiaTheme="minorEastAsia"/>
          <w:sz w:val="24"/>
          <w:szCs w:val="24"/>
        </w:rPr>
      </w:pPr>
      <w:r>
        <w:rPr>
          <w:rFonts w:eastAsiaTheme="minorEastAsia"/>
          <w:sz w:val="24"/>
          <w:szCs w:val="24"/>
        </w:rPr>
        <w:t xml:space="preserve">Often referred to as the “employment rate,” this figure </w:t>
      </w:r>
      <w:r w:rsidR="005750E1">
        <w:rPr>
          <w:rFonts w:eastAsiaTheme="minorEastAsia"/>
          <w:sz w:val="24"/>
          <w:szCs w:val="24"/>
        </w:rPr>
        <w:t xml:space="preserve">is dissimilar to the unemployment rate in that it is denominated in civilian noninstitutional population </w:t>
      </w:r>
      <w:r w:rsidR="0023280B">
        <w:rPr>
          <w:rFonts w:eastAsiaTheme="minorEastAsia"/>
          <w:sz w:val="24"/>
          <w:szCs w:val="24"/>
        </w:rPr>
        <w:t xml:space="preserve">rather than total labor force, </w:t>
      </w:r>
      <w:r w:rsidR="005750E1">
        <w:rPr>
          <w:rFonts w:eastAsiaTheme="minorEastAsia"/>
          <w:sz w:val="24"/>
          <w:szCs w:val="24"/>
        </w:rPr>
        <w:t xml:space="preserve">and therefore </w:t>
      </w:r>
      <w:r>
        <w:rPr>
          <w:rFonts w:eastAsiaTheme="minorEastAsia"/>
          <w:sz w:val="24"/>
          <w:szCs w:val="24"/>
        </w:rPr>
        <w:t xml:space="preserve">does not equate to </w:t>
      </w:r>
      <w:r w:rsidR="005750E1">
        <w:rPr>
          <w:rFonts w:eastAsiaTheme="minorEastAsia"/>
          <w:sz w:val="24"/>
          <w:szCs w:val="24"/>
        </w:rPr>
        <w:t xml:space="preserve">an inverse of the unemployment rate. </w:t>
      </w:r>
      <w:r w:rsidR="00A973FB">
        <w:rPr>
          <w:rFonts w:eastAsiaTheme="minorEastAsia"/>
          <w:sz w:val="24"/>
          <w:szCs w:val="24"/>
        </w:rPr>
        <w:t xml:space="preserve">The employment rate and the unemployment rate do not sum together to </w:t>
      </w:r>
      <w:r w:rsidR="001C6AA1">
        <w:rPr>
          <w:rFonts w:eastAsiaTheme="minorEastAsia"/>
          <w:sz w:val="24"/>
          <w:szCs w:val="24"/>
        </w:rPr>
        <w:t>100%</w:t>
      </w:r>
      <w:r w:rsidR="00A973FB">
        <w:rPr>
          <w:rFonts w:eastAsiaTheme="minorEastAsia"/>
          <w:sz w:val="24"/>
          <w:szCs w:val="24"/>
        </w:rPr>
        <w:t>.</w:t>
      </w:r>
    </w:p>
    <w:p w14:paraId="365FCB35" w14:textId="74F68FF8" w:rsidR="008C24A2" w:rsidRDefault="0023280B" w:rsidP="005E2D08">
      <w:pPr>
        <w:spacing w:line="480" w:lineRule="auto"/>
        <w:ind w:firstLine="720"/>
        <w:rPr>
          <w:rFonts w:eastAsiaTheme="minorEastAsia"/>
          <w:sz w:val="24"/>
          <w:szCs w:val="24"/>
        </w:rPr>
      </w:pPr>
      <w:r>
        <w:rPr>
          <w:rFonts w:eastAsiaTheme="minorEastAsia"/>
          <w:sz w:val="24"/>
          <w:szCs w:val="24"/>
        </w:rPr>
        <w:t xml:space="preserve">Employed workers is defined as </w:t>
      </w:r>
      <w:r w:rsidR="00212692">
        <w:rPr>
          <w:rFonts w:eastAsiaTheme="minorEastAsia"/>
          <w:sz w:val="24"/>
          <w:szCs w:val="24"/>
        </w:rPr>
        <w:t>anyone who</w:t>
      </w:r>
      <w:r w:rsidR="00E425B4">
        <w:rPr>
          <w:rFonts w:eastAsiaTheme="minorEastAsia"/>
          <w:sz w:val="24"/>
          <w:szCs w:val="24"/>
        </w:rPr>
        <w:t>,</w:t>
      </w:r>
      <w:r w:rsidR="00212692">
        <w:rPr>
          <w:rFonts w:eastAsiaTheme="minorEastAsia"/>
          <w:sz w:val="24"/>
          <w:szCs w:val="24"/>
        </w:rPr>
        <w:t xml:space="preserve"> </w:t>
      </w:r>
      <w:r w:rsidR="003C3D7B">
        <w:rPr>
          <w:rFonts w:eastAsiaTheme="minorEastAsia"/>
          <w:sz w:val="24"/>
          <w:szCs w:val="24"/>
        </w:rPr>
        <w:t>within the survey reference week</w:t>
      </w:r>
      <w:r w:rsidR="00E425B4">
        <w:rPr>
          <w:rFonts w:eastAsiaTheme="minorEastAsia"/>
          <w:sz w:val="24"/>
          <w:szCs w:val="24"/>
        </w:rPr>
        <w:t>,</w:t>
      </w:r>
      <w:r w:rsidR="003C3D7B">
        <w:rPr>
          <w:rFonts w:eastAsiaTheme="minorEastAsia"/>
          <w:sz w:val="24"/>
          <w:szCs w:val="24"/>
        </w:rPr>
        <w:t xml:space="preserve"> </w:t>
      </w:r>
      <w:r w:rsidR="00212692">
        <w:rPr>
          <w:rFonts w:eastAsiaTheme="minorEastAsia"/>
          <w:sz w:val="24"/>
          <w:szCs w:val="24"/>
        </w:rPr>
        <w:t>worked for at least 1 hour</w:t>
      </w:r>
      <w:r w:rsidR="003C3D7B">
        <w:rPr>
          <w:rFonts w:eastAsiaTheme="minorEastAsia"/>
          <w:sz w:val="24"/>
          <w:szCs w:val="24"/>
        </w:rPr>
        <w:t xml:space="preserve"> </w:t>
      </w:r>
      <w:r w:rsidR="005C23D3">
        <w:rPr>
          <w:rFonts w:eastAsiaTheme="minorEastAsia"/>
          <w:sz w:val="24"/>
          <w:szCs w:val="24"/>
        </w:rPr>
        <w:t xml:space="preserve">under </w:t>
      </w:r>
      <w:r w:rsidR="00F24210">
        <w:rPr>
          <w:rFonts w:eastAsiaTheme="minorEastAsia"/>
          <w:sz w:val="24"/>
          <w:szCs w:val="24"/>
        </w:rPr>
        <w:t>empl</w:t>
      </w:r>
      <w:r w:rsidR="00A6147F">
        <w:rPr>
          <w:rFonts w:eastAsiaTheme="minorEastAsia"/>
          <w:sz w:val="24"/>
          <w:szCs w:val="24"/>
        </w:rPr>
        <w:t>oyee status</w:t>
      </w:r>
      <w:r w:rsidR="005C23D3">
        <w:rPr>
          <w:rFonts w:eastAsiaTheme="minorEastAsia"/>
          <w:sz w:val="24"/>
          <w:szCs w:val="24"/>
        </w:rPr>
        <w:t xml:space="preserve"> or self</w:t>
      </w:r>
      <w:r w:rsidR="00F24210">
        <w:rPr>
          <w:rFonts w:eastAsiaTheme="minorEastAsia"/>
          <w:sz w:val="24"/>
          <w:szCs w:val="24"/>
        </w:rPr>
        <w:t>-</w:t>
      </w:r>
      <w:r w:rsidR="005C23D3">
        <w:rPr>
          <w:rFonts w:eastAsiaTheme="minorEastAsia"/>
          <w:sz w:val="24"/>
          <w:szCs w:val="24"/>
        </w:rPr>
        <w:t>employment,</w:t>
      </w:r>
      <w:r w:rsidR="00491840">
        <w:rPr>
          <w:rFonts w:eastAsiaTheme="minorEastAsia"/>
          <w:sz w:val="24"/>
          <w:szCs w:val="24"/>
        </w:rPr>
        <w:t xml:space="preserve"> were temporarily absent from a job to which they would return, or worked</w:t>
      </w:r>
      <w:r w:rsidR="00575225">
        <w:rPr>
          <w:rFonts w:eastAsiaTheme="minorEastAsia"/>
          <w:sz w:val="24"/>
          <w:szCs w:val="24"/>
        </w:rPr>
        <w:t xml:space="preserve"> without pay</w:t>
      </w:r>
      <w:r w:rsidR="00173981">
        <w:rPr>
          <w:rFonts w:eastAsiaTheme="minorEastAsia"/>
          <w:sz w:val="24"/>
          <w:szCs w:val="24"/>
        </w:rPr>
        <w:t xml:space="preserve"> for</w:t>
      </w:r>
      <w:r w:rsidR="00575225">
        <w:rPr>
          <w:rFonts w:eastAsiaTheme="minorEastAsia"/>
          <w:sz w:val="24"/>
          <w:szCs w:val="24"/>
        </w:rPr>
        <w:t xml:space="preserve"> a minimum of 15</w:t>
      </w:r>
      <w:r w:rsidR="00173981">
        <w:rPr>
          <w:rFonts w:eastAsiaTheme="minorEastAsia"/>
          <w:sz w:val="24"/>
          <w:szCs w:val="24"/>
        </w:rPr>
        <w:t xml:space="preserve"> hours at a family-owned enterprise.</w:t>
      </w:r>
      <w:r w:rsidR="0065575A">
        <w:rPr>
          <w:rFonts w:eastAsiaTheme="minorEastAsia"/>
          <w:sz w:val="24"/>
          <w:szCs w:val="24"/>
        </w:rPr>
        <w:t xml:space="preserve"> </w:t>
      </w:r>
      <w:r w:rsidR="00494633">
        <w:rPr>
          <w:rFonts w:eastAsiaTheme="minorEastAsia"/>
          <w:sz w:val="24"/>
          <w:szCs w:val="24"/>
        </w:rPr>
        <w:t>Like the labor force participation rate, t</w:t>
      </w:r>
      <w:r w:rsidR="0065575A">
        <w:rPr>
          <w:rFonts w:eastAsiaTheme="minorEastAsia"/>
          <w:sz w:val="24"/>
          <w:szCs w:val="24"/>
        </w:rPr>
        <w:t xml:space="preserve">he ratio between employed workers and civilian population </w:t>
      </w:r>
      <w:r w:rsidR="009141A1">
        <w:rPr>
          <w:rFonts w:eastAsiaTheme="minorEastAsia"/>
          <w:sz w:val="24"/>
          <w:szCs w:val="24"/>
        </w:rPr>
        <w:t xml:space="preserve">remedies the </w:t>
      </w:r>
      <w:r w:rsidR="000E4D63">
        <w:rPr>
          <w:rFonts w:eastAsiaTheme="minorEastAsia"/>
          <w:sz w:val="24"/>
          <w:szCs w:val="24"/>
        </w:rPr>
        <w:t>workforce</w:t>
      </w:r>
      <w:r w:rsidR="002F57C1">
        <w:rPr>
          <w:rFonts w:eastAsiaTheme="minorEastAsia"/>
          <w:sz w:val="24"/>
          <w:szCs w:val="24"/>
        </w:rPr>
        <w:t>-</w:t>
      </w:r>
      <w:r w:rsidR="000E4D63">
        <w:rPr>
          <w:rFonts w:eastAsiaTheme="minorEastAsia"/>
          <w:sz w:val="24"/>
          <w:szCs w:val="24"/>
        </w:rPr>
        <w:t xml:space="preserve">absence </w:t>
      </w:r>
      <w:r w:rsidR="007D6E23">
        <w:rPr>
          <w:rFonts w:eastAsiaTheme="minorEastAsia"/>
          <w:sz w:val="24"/>
          <w:szCs w:val="24"/>
        </w:rPr>
        <w:t>cover</w:t>
      </w:r>
      <w:r w:rsidR="00B65832">
        <w:rPr>
          <w:rFonts w:eastAsiaTheme="minorEastAsia"/>
          <w:sz w:val="24"/>
          <w:szCs w:val="24"/>
        </w:rPr>
        <w:t>age</w:t>
      </w:r>
      <w:r w:rsidR="007D6E23">
        <w:rPr>
          <w:rFonts w:eastAsiaTheme="minorEastAsia"/>
          <w:sz w:val="24"/>
          <w:szCs w:val="24"/>
        </w:rPr>
        <w:t xml:space="preserve"> gap in the unemployment rate</w:t>
      </w:r>
      <w:r w:rsidR="00B65832">
        <w:rPr>
          <w:rFonts w:eastAsiaTheme="minorEastAsia"/>
          <w:sz w:val="24"/>
          <w:szCs w:val="24"/>
        </w:rPr>
        <w:t>.</w:t>
      </w:r>
    </w:p>
    <w:p w14:paraId="6B7A38D4" w14:textId="30593F1D" w:rsidR="00CA3082" w:rsidRPr="000C622F" w:rsidRDefault="00CA3082" w:rsidP="005F74E9">
      <w:pPr>
        <w:pStyle w:val="Heading1"/>
        <w:numPr>
          <w:ilvl w:val="0"/>
          <w:numId w:val="18"/>
        </w:numPr>
        <w:spacing w:line="480" w:lineRule="auto"/>
      </w:pPr>
      <w:bookmarkStart w:id="15" w:name="_Toc71466050"/>
      <w:bookmarkStart w:id="16" w:name="_Hlk58203272"/>
      <w:r w:rsidRPr="000C622F">
        <w:t>Empirical Model</w:t>
      </w:r>
      <w:bookmarkEnd w:id="15"/>
    </w:p>
    <w:bookmarkEnd w:id="16"/>
    <w:p w14:paraId="234D98A7" w14:textId="39E0C7CA" w:rsidR="00E55AA9" w:rsidRDefault="00C61A19" w:rsidP="001C2DF7">
      <w:pPr>
        <w:spacing w:line="480" w:lineRule="auto"/>
        <w:ind w:firstLine="220"/>
        <w:rPr>
          <w:sz w:val="24"/>
          <w:szCs w:val="24"/>
        </w:rPr>
      </w:pPr>
      <w:r>
        <w:rPr>
          <w:sz w:val="24"/>
          <w:szCs w:val="24"/>
        </w:rPr>
        <w:t xml:space="preserve">To estimate the effect of minimum wages on </w:t>
      </w:r>
      <w:r w:rsidR="00400B62">
        <w:rPr>
          <w:sz w:val="24"/>
          <w:szCs w:val="24"/>
        </w:rPr>
        <w:t xml:space="preserve">inflation </w:t>
      </w:r>
      <w:r w:rsidR="00F62FA9">
        <w:rPr>
          <w:sz w:val="24"/>
          <w:szCs w:val="24"/>
        </w:rPr>
        <w:t>and employment, four different fixed effects specifications are run on each of the dependent variables</w:t>
      </w:r>
      <w:r w:rsidR="00C8149C">
        <w:rPr>
          <w:sz w:val="24"/>
          <w:szCs w:val="24"/>
        </w:rPr>
        <w:t xml:space="preserve">: inflation, </w:t>
      </w:r>
      <w:r w:rsidR="00400B62">
        <w:rPr>
          <w:sz w:val="24"/>
          <w:szCs w:val="24"/>
        </w:rPr>
        <w:t xml:space="preserve">unemployment, labor force participation, </w:t>
      </w:r>
      <w:r w:rsidR="00997198">
        <w:rPr>
          <w:sz w:val="24"/>
          <w:szCs w:val="24"/>
        </w:rPr>
        <w:t>and employment to population ratio</w:t>
      </w:r>
      <w:r w:rsidR="008A53B2">
        <w:rPr>
          <w:sz w:val="24"/>
          <w:szCs w:val="24"/>
        </w:rPr>
        <w:t xml:space="preserve">. </w:t>
      </w:r>
      <w:r w:rsidR="009551ED">
        <w:rPr>
          <w:sz w:val="24"/>
          <w:szCs w:val="24"/>
        </w:rPr>
        <w:t xml:space="preserve">This strategy is common in minimum wage research and allows for the geographical and time </w:t>
      </w:r>
      <w:r w:rsidR="009551ED">
        <w:rPr>
          <w:sz w:val="24"/>
          <w:szCs w:val="24"/>
        </w:rPr>
        <w:lastRenderedPageBreak/>
        <w:t xml:space="preserve">related variation in minimum wages to be fully captured and accounted for. </w:t>
      </w:r>
      <w:bookmarkStart w:id="17" w:name="_Hlk58201796"/>
      <w:r w:rsidR="00693524">
        <w:rPr>
          <w:sz w:val="24"/>
          <w:szCs w:val="24"/>
        </w:rPr>
        <w:t xml:space="preserve">The inclusion of three different </w:t>
      </w:r>
      <w:r w:rsidR="00960DD7">
        <w:rPr>
          <w:sz w:val="24"/>
          <w:szCs w:val="24"/>
        </w:rPr>
        <w:t>employment</w:t>
      </w:r>
      <w:r w:rsidR="00693524">
        <w:rPr>
          <w:sz w:val="24"/>
          <w:szCs w:val="24"/>
        </w:rPr>
        <w:t xml:space="preserve"> indicators allows for full population </w:t>
      </w:r>
      <w:r w:rsidR="0067281E">
        <w:rPr>
          <w:sz w:val="24"/>
          <w:szCs w:val="24"/>
        </w:rPr>
        <w:t xml:space="preserve">coverage such that </w:t>
      </w:r>
      <w:r w:rsidR="00960DD7">
        <w:rPr>
          <w:sz w:val="24"/>
          <w:szCs w:val="24"/>
        </w:rPr>
        <w:t xml:space="preserve">all possible effects experienced in the labor market will be accounted for. </w:t>
      </w:r>
      <w:r w:rsidR="008D14B1">
        <w:rPr>
          <w:sz w:val="24"/>
          <w:szCs w:val="24"/>
        </w:rPr>
        <w:t xml:space="preserve">Minimum wages </w:t>
      </w:r>
      <w:r w:rsidR="000B7651">
        <w:rPr>
          <w:sz w:val="24"/>
          <w:szCs w:val="24"/>
        </w:rPr>
        <w:t xml:space="preserve">in log format </w:t>
      </w:r>
      <w:r w:rsidR="008D14B1">
        <w:rPr>
          <w:sz w:val="24"/>
          <w:szCs w:val="24"/>
        </w:rPr>
        <w:t xml:space="preserve">are the independent variable in each of these regressions and will be related to the </w:t>
      </w:r>
      <w:r w:rsidR="006F40D1">
        <w:rPr>
          <w:sz w:val="24"/>
          <w:szCs w:val="24"/>
        </w:rPr>
        <w:t>four</w:t>
      </w:r>
      <w:r w:rsidR="008D14B1">
        <w:rPr>
          <w:sz w:val="24"/>
          <w:szCs w:val="24"/>
        </w:rPr>
        <w:t xml:space="preserve"> dependent variables</w:t>
      </w:r>
      <w:r w:rsidR="005829E6">
        <w:rPr>
          <w:sz w:val="24"/>
          <w:szCs w:val="24"/>
        </w:rPr>
        <w:t xml:space="preserve"> in level format</w:t>
      </w:r>
      <w:r w:rsidR="00E27E12">
        <w:rPr>
          <w:sz w:val="24"/>
          <w:szCs w:val="24"/>
        </w:rPr>
        <w:t>.</w:t>
      </w:r>
      <w:r w:rsidR="00AF2019">
        <w:rPr>
          <w:sz w:val="24"/>
          <w:szCs w:val="24"/>
        </w:rPr>
        <w:t xml:space="preserve"> Clustered standard errors </w:t>
      </w:r>
      <w:r w:rsidR="00E913DC">
        <w:rPr>
          <w:sz w:val="24"/>
          <w:szCs w:val="24"/>
        </w:rPr>
        <w:t xml:space="preserve">at the state level </w:t>
      </w:r>
      <w:r w:rsidR="00AF2019">
        <w:rPr>
          <w:sz w:val="24"/>
          <w:szCs w:val="24"/>
        </w:rPr>
        <w:t xml:space="preserve">are built into the </w:t>
      </w:r>
      <w:r w:rsidR="00E913DC">
        <w:rPr>
          <w:sz w:val="24"/>
          <w:szCs w:val="24"/>
        </w:rPr>
        <w:t xml:space="preserve">fixed effects regression method. </w:t>
      </w:r>
      <w:r w:rsidR="00E27E12">
        <w:rPr>
          <w:sz w:val="24"/>
          <w:szCs w:val="24"/>
        </w:rPr>
        <w:t>T</w:t>
      </w:r>
      <w:r w:rsidR="008D14B1">
        <w:rPr>
          <w:sz w:val="24"/>
          <w:szCs w:val="24"/>
        </w:rPr>
        <w:t>he estimation models a</w:t>
      </w:r>
      <w:r w:rsidR="00E27E12">
        <w:rPr>
          <w:sz w:val="24"/>
          <w:szCs w:val="24"/>
        </w:rPr>
        <w:t>re as</w:t>
      </w:r>
      <w:r w:rsidR="008D14B1">
        <w:rPr>
          <w:sz w:val="24"/>
          <w:szCs w:val="24"/>
        </w:rPr>
        <w:t xml:space="preserve"> follows</w:t>
      </w:r>
      <w:r w:rsidR="00A419D1">
        <w:rPr>
          <w:sz w:val="24"/>
          <w:szCs w:val="24"/>
        </w:rPr>
        <w:t>:</w:t>
      </w:r>
    </w:p>
    <w:p w14:paraId="50086DAC" w14:textId="40A56E7A" w:rsidR="00497B15" w:rsidRDefault="00497B15" w:rsidP="00E55AA9">
      <w:pPr>
        <w:pStyle w:val="Heading2"/>
        <w:numPr>
          <w:ilvl w:val="0"/>
          <w:numId w:val="27"/>
        </w:numPr>
        <w:spacing w:line="480" w:lineRule="auto"/>
      </w:pPr>
      <w:bookmarkStart w:id="18" w:name="_Toc71466051"/>
      <w:r>
        <w:t>Baseline:</w:t>
      </w:r>
      <w:bookmarkEnd w:id="18"/>
    </w:p>
    <w:bookmarkStart w:id="19" w:name="_Hlk70868673"/>
    <w:p w14:paraId="6D092FD6" w14:textId="029E5DEA" w:rsidR="004E195F" w:rsidRPr="00C26369" w:rsidRDefault="00000000" w:rsidP="004E195F">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Inflation</m:t>
            </m:r>
          </m:e>
          <m:sub>
            <m:r>
              <w:rPr>
                <w:rFonts w:ascii="Cambria Math" w:hAnsi="Cambria Math"/>
                <w:sz w:val="24"/>
                <w:szCs w:val="24"/>
              </w:rPr>
              <m:t>st</m:t>
            </m:r>
          </m:sub>
        </m:sSub>
      </m:oMath>
      <w:r w:rsidR="004E195F"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p>
    <w:p w14:paraId="147D0E18" w14:textId="6CAA209A" w:rsidR="004E195F" w:rsidRPr="00C26369" w:rsidRDefault="00000000" w:rsidP="004E195F">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Unemployment</m:t>
            </m:r>
          </m:e>
          <m:sub>
            <m:r>
              <w:rPr>
                <w:rFonts w:ascii="Cambria Math" w:hAnsi="Cambria Math"/>
                <w:sz w:val="24"/>
                <w:szCs w:val="24"/>
              </w:rPr>
              <m:t>st</m:t>
            </m:r>
          </m:sub>
        </m:sSub>
      </m:oMath>
      <w:r w:rsidR="004E195F"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r w:rsidR="004E195F">
        <w:rPr>
          <w:rFonts w:eastAsiaTheme="minorEastAsia"/>
          <w:sz w:val="24"/>
          <w:szCs w:val="24"/>
        </w:rPr>
        <w:t xml:space="preserve">                </w:t>
      </w:r>
    </w:p>
    <w:bookmarkStart w:id="20" w:name="_Hlk68968829"/>
    <w:p w14:paraId="1C92712F" w14:textId="20232AA4" w:rsidR="004E195F" w:rsidRDefault="00000000" w:rsidP="004E195F">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LFParticipation</m:t>
            </m:r>
          </m:e>
          <m:sub>
            <m:r>
              <w:rPr>
                <w:rFonts w:ascii="Cambria Math" w:hAnsi="Cambria Math"/>
                <w:sz w:val="24"/>
                <w:szCs w:val="24"/>
              </w:rPr>
              <m:t>st</m:t>
            </m:r>
          </m:sub>
        </m:sSub>
      </m:oMath>
      <w:r w:rsidR="004E195F"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r w:rsidR="004E195F">
        <w:rPr>
          <w:rFonts w:eastAsiaTheme="minorEastAsia"/>
          <w:sz w:val="24"/>
          <w:szCs w:val="24"/>
        </w:rPr>
        <w:t xml:space="preserve">  </w:t>
      </w:r>
    </w:p>
    <w:bookmarkEnd w:id="20"/>
    <w:p w14:paraId="4BC7E227" w14:textId="73C1A7D9" w:rsidR="00D54118" w:rsidRPr="004E195F" w:rsidRDefault="00000000" w:rsidP="004E195F">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Emp/pop</m:t>
            </m:r>
          </m:e>
          <m:sub>
            <m:r>
              <w:rPr>
                <w:rFonts w:ascii="Cambria Math" w:hAnsi="Cambria Math"/>
                <w:sz w:val="24"/>
                <w:szCs w:val="24"/>
              </w:rPr>
              <m:t>st</m:t>
            </m:r>
          </m:sub>
        </m:sSub>
      </m:oMath>
      <w:r w:rsidR="004E195F"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r w:rsidR="004E195F">
        <w:rPr>
          <w:rFonts w:eastAsiaTheme="minorEastAsia"/>
          <w:sz w:val="24"/>
          <w:szCs w:val="24"/>
        </w:rPr>
        <w:t xml:space="preserve">  </w:t>
      </w:r>
      <w:r w:rsidR="00660A0C">
        <w:rPr>
          <w:rFonts w:eastAsiaTheme="minorEastAsia"/>
          <w:sz w:val="24"/>
          <w:szCs w:val="24"/>
        </w:rPr>
        <w:t xml:space="preserve">                                 </w:t>
      </w:r>
      <w:r w:rsidR="000E1D84">
        <w:rPr>
          <w:rFonts w:eastAsiaTheme="minorEastAsia"/>
          <w:sz w:val="24"/>
          <w:szCs w:val="24"/>
        </w:rPr>
        <w:t xml:space="preserve">            </w:t>
      </w:r>
      <w:bookmarkEnd w:id="19"/>
      <w:r w:rsidR="007624A6">
        <w:rPr>
          <w:rFonts w:eastAsiaTheme="minorEastAsia"/>
          <w:sz w:val="24"/>
          <w:szCs w:val="24"/>
        </w:rPr>
        <w:t xml:space="preserve">  </w:t>
      </w:r>
    </w:p>
    <w:p w14:paraId="352BF9BC" w14:textId="0025F8F3" w:rsidR="003D285A" w:rsidRPr="003D285A" w:rsidRDefault="00B8145B" w:rsidP="00E55AA9">
      <w:pPr>
        <w:spacing w:line="480" w:lineRule="auto"/>
        <w:rPr>
          <w:rFonts w:eastAsiaTheme="minorEastAsia"/>
          <w:sz w:val="24"/>
          <w:szCs w:val="24"/>
        </w:rPr>
      </w:pPr>
      <w:r>
        <w:rPr>
          <w:rFonts w:eastAsiaTheme="minorEastAsia"/>
          <w:sz w:val="24"/>
          <w:szCs w:val="24"/>
        </w:rPr>
        <w:t xml:space="preserve">where subscripts </w:t>
      </w:r>
      <w:r>
        <w:rPr>
          <w:rFonts w:eastAsiaTheme="minorEastAsia"/>
          <w:i/>
          <w:iCs/>
          <w:sz w:val="24"/>
          <w:szCs w:val="24"/>
        </w:rPr>
        <w:t xml:space="preserve">s </w:t>
      </w:r>
      <w:r>
        <w:rPr>
          <w:rFonts w:eastAsiaTheme="minorEastAsia"/>
          <w:sz w:val="24"/>
          <w:szCs w:val="24"/>
        </w:rPr>
        <w:t xml:space="preserve">and </w:t>
      </w:r>
      <w:r>
        <w:rPr>
          <w:rFonts w:eastAsiaTheme="minorEastAsia"/>
          <w:i/>
          <w:iCs/>
          <w:sz w:val="24"/>
          <w:szCs w:val="24"/>
        </w:rPr>
        <w:t>t</w:t>
      </w:r>
      <w:r>
        <w:rPr>
          <w:rFonts w:eastAsiaTheme="minorEastAsia"/>
          <w:sz w:val="24"/>
          <w:szCs w:val="24"/>
        </w:rPr>
        <w:t xml:space="preserve"> represent state and </w:t>
      </w:r>
      <w:r w:rsidR="00A366D1">
        <w:rPr>
          <w:rFonts w:eastAsiaTheme="minorEastAsia"/>
          <w:sz w:val="24"/>
          <w:szCs w:val="24"/>
        </w:rPr>
        <w:t>quarter-</w:t>
      </w:r>
      <w:r>
        <w:rPr>
          <w:rFonts w:eastAsiaTheme="minorEastAsia"/>
          <w:sz w:val="24"/>
          <w:szCs w:val="24"/>
        </w:rPr>
        <w:t>year values. State indicators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m:t>
        </m:r>
      </m:oMath>
      <w:r>
        <w:rPr>
          <w:rFonts w:eastAsiaTheme="minorEastAsia"/>
          <w:sz w:val="24"/>
          <w:szCs w:val="24"/>
        </w:rPr>
        <w:t xml:space="preserve"> and year indicators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oMath>
      <w:r>
        <w:rPr>
          <w:rFonts w:eastAsiaTheme="minorEastAsia"/>
          <w:sz w:val="24"/>
          <w:szCs w:val="24"/>
        </w:rPr>
        <w:t xml:space="preserve"> are included to control for time invariant heterogeneity between states and general time trend effects</w:t>
      </w:r>
      <w:r w:rsidR="009232F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st</m:t>
            </m:r>
          </m:sub>
        </m:sSub>
      </m:oMath>
      <w:r w:rsidR="009232F2">
        <w:rPr>
          <w:rFonts w:eastAsiaTheme="minorEastAsia"/>
          <w:sz w:val="24"/>
          <w:szCs w:val="24"/>
        </w:rPr>
        <w:t xml:space="preserve"> is a control for </w:t>
      </w:r>
      <w:r w:rsidR="006A108E">
        <w:rPr>
          <w:rFonts w:eastAsiaTheme="minorEastAsia"/>
          <w:sz w:val="24"/>
          <w:szCs w:val="24"/>
        </w:rPr>
        <w:t xml:space="preserve">the unemployment rate and is only </w:t>
      </w:r>
      <w:r w:rsidR="00B5439A">
        <w:rPr>
          <w:rFonts w:eastAsiaTheme="minorEastAsia"/>
          <w:sz w:val="24"/>
          <w:szCs w:val="24"/>
        </w:rPr>
        <w:t xml:space="preserve">used in the inflation </w:t>
      </w:r>
      <w:bookmarkStart w:id="21" w:name="_Hlk68968675"/>
      <w:r w:rsidR="00DC538E">
        <w:rPr>
          <w:rFonts w:eastAsiaTheme="minorEastAsia"/>
          <w:sz w:val="24"/>
          <w:szCs w:val="24"/>
        </w:rPr>
        <w:t>regression.</w:t>
      </w:r>
      <w:r w:rsidR="009232F2">
        <w:rPr>
          <w:rFonts w:eastAsiaTheme="minorEastAsia"/>
          <w:sz w:val="24"/>
          <w:szCs w:val="24"/>
        </w:rPr>
        <w:t xml:space="preserve"> </w:t>
      </w:r>
      <w:bookmarkEnd w:id="21"/>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r>
        <w:rPr>
          <w:rFonts w:eastAsiaTheme="minorEastAsia"/>
          <w:sz w:val="24"/>
          <w:szCs w:val="24"/>
        </w:rPr>
        <w:t xml:space="preserve"> is a time and state variant error term. </w:t>
      </w:r>
    </w:p>
    <w:p w14:paraId="1E1719C0" w14:textId="356A9757" w:rsidR="00497B15" w:rsidRDefault="008573E9" w:rsidP="00E55AA9">
      <w:pPr>
        <w:pStyle w:val="Heading2"/>
        <w:numPr>
          <w:ilvl w:val="0"/>
          <w:numId w:val="27"/>
        </w:numPr>
        <w:spacing w:line="480" w:lineRule="auto"/>
      </w:pPr>
      <w:bookmarkStart w:id="22" w:name="_Toc71466052"/>
      <w:r>
        <w:t>GDP Controlled:</w:t>
      </w:r>
      <w:bookmarkEnd w:id="22"/>
    </w:p>
    <w:bookmarkStart w:id="23" w:name="_Hlk68968784"/>
    <w:p w14:paraId="4FF25C6D" w14:textId="7703424A" w:rsidR="00B8145B" w:rsidRPr="00C26369" w:rsidRDefault="00000000" w:rsidP="00E55AA9">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m:t>
            </m:r>
          </m:sub>
        </m:sSub>
      </m:oMath>
      <w:r w:rsidR="00B8145B"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m:t>
        </m:r>
        <w:bookmarkStart w:id="24" w:name="_Hlk71030446"/>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st</m:t>
            </m:r>
          </m:sub>
        </m:sSub>
        <w:bookmarkEnd w:id="24"/>
        <m:r>
          <w:rPr>
            <w:rFonts w:ascii="Cambria Math" w:hAnsi="Cambria Math"/>
            <w:sz w:val="24"/>
            <w:szCs w:val="24"/>
          </w:rPr>
          <m:t>+ φ</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p>
    <w:bookmarkEnd w:id="23"/>
    <w:p w14:paraId="541A75ED" w14:textId="1DB702B6" w:rsidR="008573E9" w:rsidRDefault="00000000" w:rsidP="00E55AA9">
      <w:pPr>
        <w:spacing w:line="480" w:lineRule="auto"/>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m:t>
            </m:r>
          </m:sub>
        </m:sSub>
      </m:oMath>
      <w:r w:rsidR="00781C22">
        <w:rPr>
          <w:rFonts w:eastAsiaTheme="minorEastAsia"/>
          <w:sz w:val="24"/>
          <w:szCs w:val="24"/>
        </w:rPr>
        <w:t xml:space="preserve"> represents the exact same </w:t>
      </w:r>
      <w:r w:rsidR="008B150F">
        <w:rPr>
          <w:rFonts w:eastAsiaTheme="minorEastAsia"/>
          <w:sz w:val="24"/>
          <w:szCs w:val="24"/>
        </w:rPr>
        <w:t>dependent variables as in the former specifications.</w:t>
      </w:r>
      <w:r w:rsidR="00781C2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st</m:t>
            </m:r>
          </m:sub>
        </m:sSub>
      </m:oMath>
      <w:r w:rsidR="00D54118">
        <w:rPr>
          <w:rFonts w:eastAsiaTheme="minorEastAsia"/>
          <w:sz w:val="24"/>
          <w:szCs w:val="24"/>
        </w:rPr>
        <w:t xml:space="preserve">  represents an additional control vector </w:t>
      </w:r>
      <w:r w:rsidR="00955B98">
        <w:rPr>
          <w:rFonts w:eastAsiaTheme="minorEastAsia"/>
          <w:sz w:val="24"/>
          <w:szCs w:val="24"/>
        </w:rPr>
        <w:t xml:space="preserve">for </w:t>
      </w:r>
      <w:r w:rsidR="00D54118">
        <w:rPr>
          <w:rFonts w:eastAsiaTheme="minorEastAsia"/>
          <w:sz w:val="24"/>
          <w:szCs w:val="24"/>
        </w:rPr>
        <w:t xml:space="preserve">state GDP </w:t>
      </w:r>
      <w:r w:rsidR="00E55AA9">
        <w:rPr>
          <w:rFonts w:eastAsiaTheme="minorEastAsia"/>
          <w:sz w:val="24"/>
          <w:szCs w:val="24"/>
        </w:rPr>
        <w:t xml:space="preserve">in order </w:t>
      </w:r>
      <w:r w:rsidR="00D54118">
        <w:rPr>
          <w:rFonts w:eastAsiaTheme="minorEastAsia"/>
          <w:sz w:val="24"/>
          <w:szCs w:val="24"/>
        </w:rPr>
        <w:t xml:space="preserve">to separate effects caused by minimum wages and effects caused by </w:t>
      </w:r>
      <w:r w:rsidR="00E55AA9">
        <w:rPr>
          <w:rFonts w:eastAsiaTheme="minorEastAsia"/>
          <w:sz w:val="24"/>
          <w:szCs w:val="24"/>
        </w:rPr>
        <w:t>macroeconomic variation</w:t>
      </w:r>
      <w:r w:rsidR="00D54118">
        <w:rPr>
          <w:rFonts w:eastAsiaTheme="minorEastAsia"/>
          <w:sz w:val="24"/>
          <w:szCs w:val="24"/>
        </w:rPr>
        <w:t>.</w:t>
      </w:r>
    </w:p>
    <w:p w14:paraId="070A9F9A" w14:textId="6A8377B9" w:rsidR="008573E9" w:rsidRDefault="00445168" w:rsidP="00E55AA9">
      <w:pPr>
        <w:pStyle w:val="Heading2"/>
        <w:numPr>
          <w:ilvl w:val="0"/>
          <w:numId w:val="27"/>
        </w:numPr>
        <w:spacing w:line="480" w:lineRule="auto"/>
      </w:pPr>
      <w:bookmarkStart w:id="25" w:name="_Toc71466053"/>
      <w:r>
        <w:lastRenderedPageBreak/>
        <w:t xml:space="preserve">Time-variant State </w:t>
      </w:r>
      <w:r w:rsidR="00B8145B">
        <w:t>Heterogeneity</w:t>
      </w:r>
      <w:bookmarkEnd w:id="25"/>
    </w:p>
    <w:p w14:paraId="5094D3BD" w14:textId="7EEBCC6C" w:rsidR="005B120B" w:rsidRPr="00020B7D" w:rsidRDefault="005B120B" w:rsidP="00020B7D">
      <w:pPr>
        <w:spacing w:line="480" w:lineRule="auto"/>
        <w:rPr>
          <w:sz w:val="24"/>
          <w:szCs w:val="24"/>
        </w:rPr>
      </w:pPr>
      <w:r w:rsidRPr="00020B7D">
        <w:rPr>
          <w:sz w:val="24"/>
          <w:szCs w:val="24"/>
        </w:rPr>
        <w:t xml:space="preserve">An additional set of two specifications that include time-variant state effects </w:t>
      </w:r>
      <w:r w:rsidR="00020B7D" w:rsidRPr="00020B7D">
        <w:rPr>
          <w:sz w:val="24"/>
          <w:szCs w:val="24"/>
        </w:rPr>
        <w:t xml:space="preserve">where </w:t>
      </w:r>
      <w:r w:rsidR="00020B7D" w:rsidRPr="00020B7D">
        <w:rPr>
          <w:i/>
          <w:iCs/>
          <w:sz w:val="24"/>
          <w:szCs w:val="24"/>
        </w:rPr>
        <w:t>time</w:t>
      </w:r>
      <w:r w:rsidR="00020B7D" w:rsidRPr="00020B7D">
        <w:rPr>
          <w:sz w:val="24"/>
          <w:szCs w:val="24"/>
        </w:rPr>
        <w:t xml:space="preserve"> is the actual year and quarter value rather than an indicator </w:t>
      </w:r>
      <w:r w:rsidRPr="00020B7D">
        <w:rPr>
          <w:sz w:val="24"/>
          <w:szCs w:val="24"/>
        </w:rPr>
        <w:t>are detailed in general form as follows:</w:t>
      </w:r>
    </w:p>
    <w:bookmarkStart w:id="26" w:name="_Hlk68969312"/>
    <w:p w14:paraId="46DD9C2D" w14:textId="126B4BB4" w:rsidR="00E55AA9" w:rsidRPr="00C26369" w:rsidRDefault="00000000" w:rsidP="00E55AA9">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m:t>
            </m:r>
          </m:sub>
        </m:sSub>
      </m:oMath>
      <w:r w:rsidR="00E55AA9"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*time+</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p>
    <w:p w14:paraId="7169DE1B" w14:textId="7D5B33A1" w:rsidR="00B8145B" w:rsidRPr="00B8145B" w:rsidRDefault="00B8145B" w:rsidP="00B8145B">
      <w:pPr>
        <w:pStyle w:val="Heading2"/>
        <w:numPr>
          <w:ilvl w:val="0"/>
          <w:numId w:val="27"/>
        </w:numPr>
      </w:pPr>
      <w:bookmarkStart w:id="27" w:name="_Toc71466054"/>
      <w:bookmarkEnd w:id="26"/>
      <w:r>
        <w:t>Full Specification</w:t>
      </w:r>
      <w:bookmarkEnd w:id="27"/>
      <w:r>
        <w:t xml:space="preserve"> </w:t>
      </w:r>
    </w:p>
    <w:p w14:paraId="0354C1E7" w14:textId="77777777" w:rsidR="008573E9" w:rsidRPr="008573E9" w:rsidRDefault="008573E9" w:rsidP="008573E9"/>
    <w:p w14:paraId="796E4641" w14:textId="37B44F9B" w:rsidR="00DC4E94" w:rsidRPr="00020B7D" w:rsidRDefault="00020B7D" w:rsidP="00DC4E94">
      <w:pPr>
        <w:spacing w:line="480" w:lineRule="auto"/>
        <w:rPr>
          <w:rFonts w:eastAsiaTheme="minorEastAsia"/>
          <w:sz w:val="24"/>
          <w:szCs w:val="24"/>
        </w:rPr>
      </w:pPr>
      <w:bookmarkStart w:id="28" w:name="_Hlk68969122"/>
      <w:bookmarkEnd w:id="17"/>
      <w:r>
        <w:rPr>
          <w:sz w:val="24"/>
          <w:szCs w:val="24"/>
        </w:rPr>
        <w:t>The final specification includes all previously introduced controls:</w:t>
      </w:r>
      <w:r w:rsidR="00D527A3">
        <w:rPr>
          <w:sz w:val="24"/>
          <w:szCs w:val="24"/>
        </w:rPr>
        <w:t xml:space="preserve"> </w:t>
      </w:r>
      <w:bookmarkEnd w:id="28"/>
    </w:p>
    <w:p w14:paraId="0F91156D" w14:textId="0A537AF8" w:rsidR="00020B7D" w:rsidRPr="00C26369" w:rsidRDefault="00000000" w:rsidP="00020B7D">
      <w:pPr>
        <w:spacing w:line="480" w:lineRule="auto"/>
        <w:ind w:left="72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m:t>
            </m:r>
          </m:sub>
        </m:sSub>
      </m:oMath>
      <w:r w:rsidR="00020B7D" w:rsidRPr="00C26369">
        <w:rPr>
          <w:sz w:val="24"/>
          <w:szCs w:val="24"/>
        </w:rPr>
        <w:t xml:space="preserve"> = </w:t>
      </w:r>
      <m:oMath>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+δ</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minwage</m:t>
                    </m:r>
                  </m:e>
                  <m:sub>
                    <m:r>
                      <w:rPr>
                        <w:rFonts w:ascii="Cambria Math" w:hAnsi="Cambria Math"/>
                        <w:sz w:val="24"/>
                        <w:szCs w:val="24"/>
                      </w:rPr>
                      <m:t>st</m:t>
                    </m:r>
                  </m:sub>
                </m:sSub>
              </m:e>
            </m:d>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st</m:t>
            </m:r>
          </m:sub>
        </m:sSub>
        <m: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r>
          <w:rPr>
            <w:rFonts w:ascii="Cambria Math" w:hAnsi="Cambria Math"/>
            <w:sz w:val="24"/>
            <w:szCs w:val="24"/>
          </w:rPr>
          <m:t>*time</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st</m:t>
            </m:r>
          </m:sub>
        </m:sSub>
      </m:oMath>
    </w:p>
    <w:p w14:paraId="1CA27856" w14:textId="35FCD999" w:rsidR="00A419D1" w:rsidRDefault="005F63CB" w:rsidP="001C2DF7">
      <w:pPr>
        <w:spacing w:line="480" w:lineRule="auto"/>
        <w:rPr>
          <w:sz w:val="24"/>
          <w:szCs w:val="24"/>
        </w:rPr>
      </w:pPr>
      <w:r>
        <w:rPr>
          <w:sz w:val="24"/>
          <w:szCs w:val="24"/>
        </w:rPr>
        <w:t xml:space="preserve">Lead and lag variables </w:t>
      </w:r>
      <w:r w:rsidR="002D39A7">
        <w:rPr>
          <w:sz w:val="24"/>
          <w:szCs w:val="24"/>
        </w:rPr>
        <w:t xml:space="preserve">to adjust for serial correlation </w:t>
      </w:r>
      <w:r>
        <w:rPr>
          <w:sz w:val="24"/>
          <w:szCs w:val="24"/>
        </w:rPr>
        <w:t>are not included in any of these specifications</w:t>
      </w:r>
      <w:r w:rsidR="002D39A7">
        <w:rPr>
          <w:sz w:val="24"/>
          <w:szCs w:val="24"/>
        </w:rPr>
        <w:t xml:space="preserve"> </w:t>
      </w:r>
      <w:r>
        <w:rPr>
          <w:sz w:val="24"/>
          <w:szCs w:val="24"/>
        </w:rPr>
        <w:t>as previous studies have</w:t>
      </w:r>
      <w:r w:rsidR="002D39A7">
        <w:rPr>
          <w:sz w:val="24"/>
          <w:szCs w:val="24"/>
        </w:rPr>
        <w:t xml:space="preserve"> found their importance to be negligible. </w:t>
      </w:r>
      <w:r w:rsidR="00AB2122">
        <w:rPr>
          <w:sz w:val="24"/>
          <w:szCs w:val="24"/>
        </w:rPr>
        <w:t>To obtain direct elasticities, each of the dependent variables except inflation is logged</w:t>
      </w:r>
      <w:r w:rsidR="00B4115C">
        <w:rPr>
          <w:sz w:val="24"/>
          <w:szCs w:val="24"/>
        </w:rPr>
        <w:t xml:space="preserve">. </w:t>
      </w:r>
      <w:r w:rsidR="00C01B90">
        <w:rPr>
          <w:sz w:val="24"/>
          <w:szCs w:val="24"/>
        </w:rPr>
        <w:t>Negative i</w:t>
      </w:r>
      <w:r w:rsidR="00B4115C">
        <w:rPr>
          <w:sz w:val="24"/>
          <w:szCs w:val="24"/>
        </w:rPr>
        <w:t xml:space="preserve">nflation estimates </w:t>
      </w:r>
      <w:r w:rsidR="00C01B90">
        <w:rPr>
          <w:sz w:val="24"/>
          <w:szCs w:val="24"/>
        </w:rPr>
        <w:t xml:space="preserve">within the dataset </w:t>
      </w:r>
      <w:r w:rsidR="00BE270C">
        <w:rPr>
          <w:sz w:val="24"/>
          <w:szCs w:val="24"/>
        </w:rPr>
        <w:t>do not allow for th</w:t>
      </w:r>
      <w:r w:rsidR="00B71854">
        <w:rPr>
          <w:sz w:val="24"/>
          <w:szCs w:val="24"/>
        </w:rPr>
        <w:t>is variable to</w:t>
      </w:r>
      <w:r w:rsidR="00C01B90">
        <w:rPr>
          <w:sz w:val="24"/>
          <w:szCs w:val="24"/>
        </w:rPr>
        <w:t xml:space="preserve"> be logged</w:t>
      </w:r>
      <w:r w:rsidR="00B26F4F">
        <w:rPr>
          <w:sz w:val="24"/>
          <w:szCs w:val="24"/>
        </w:rPr>
        <w:t xml:space="preserve">, </w:t>
      </w:r>
      <w:r w:rsidR="00B71854">
        <w:rPr>
          <w:sz w:val="24"/>
          <w:szCs w:val="24"/>
        </w:rPr>
        <w:t>so</w:t>
      </w:r>
      <w:r w:rsidR="00B26F4F">
        <w:rPr>
          <w:sz w:val="24"/>
          <w:szCs w:val="24"/>
        </w:rPr>
        <w:t xml:space="preserve"> elasticities are alternatively obtained by dividing inflation</w:t>
      </w:r>
      <w:r w:rsidR="00993BD2">
        <w:rPr>
          <w:sz w:val="24"/>
          <w:szCs w:val="24"/>
        </w:rPr>
        <w:t>’s</w:t>
      </w:r>
      <w:r w:rsidR="00B26F4F">
        <w:rPr>
          <w:sz w:val="24"/>
          <w:szCs w:val="24"/>
        </w:rPr>
        <w:t xml:space="preserve"> coefficient by </w:t>
      </w:r>
      <w:r w:rsidR="00993BD2">
        <w:rPr>
          <w:sz w:val="24"/>
          <w:szCs w:val="24"/>
        </w:rPr>
        <w:t>its mean value.</w:t>
      </w:r>
    </w:p>
    <w:p w14:paraId="7A6CE5C9" w14:textId="1F2705C3" w:rsidR="00744A12" w:rsidRDefault="001F7F5D" w:rsidP="006B7A9D">
      <w:pPr>
        <w:pStyle w:val="Heading1"/>
        <w:numPr>
          <w:ilvl w:val="0"/>
          <w:numId w:val="18"/>
        </w:numPr>
        <w:spacing w:line="480" w:lineRule="auto"/>
      </w:pPr>
      <w:bookmarkStart w:id="29" w:name="_Toc71466055"/>
      <w:r w:rsidRPr="000C622F">
        <w:t xml:space="preserve">Empirical </w:t>
      </w:r>
      <w:r>
        <w:t>Results</w:t>
      </w:r>
      <w:bookmarkEnd w:id="29"/>
    </w:p>
    <w:p w14:paraId="3714D9CA" w14:textId="05962A73" w:rsidR="006B7A9D" w:rsidRPr="003A3B2F" w:rsidRDefault="006B7A9D" w:rsidP="000B58F7">
      <w:pPr>
        <w:spacing w:line="480" w:lineRule="auto"/>
        <w:ind w:firstLine="220"/>
        <w:rPr>
          <w:sz w:val="24"/>
          <w:szCs w:val="24"/>
        </w:rPr>
      </w:pPr>
      <w:r w:rsidRPr="003A3B2F">
        <w:rPr>
          <w:sz w:val="24"/>
          <w:szCs w:val="24"/>
        </w:rPr>
        <w:t>I</w:t>
      </w:r>
      <w:r w:rsidR="00C773D5" w:rsidRPr="003A3B2F">
        <w:rPr>
          <w:sz w:val="24"/>
          <w:szCs w:val="24"/>
        </w:rPr>
        <w:t xml:space="preserve">n this section I discuss the price and employment effects </w:t>
      </w:r>
      <w:r w:rsidR="00972037" w:rsidRPr="003A3B2F">
        <w:rPr>
          <w:sz w:val="24"/>
          <w:szCs w:val="24"/>
        </w:rPr>
        <w:t xml:space="preserve">that are estimated using the </w:t>
      </w:r>
      <w:r w:rsidR="002C5EDE" w:rsidRPr="003A3B2F">
        <w:rPr>
          <w:sz w:val="24"/>
          <w:szCs w:val="24"/>
        </w:rPr>
        <w:t>previously described methods.</w:t>
      </w:r>
      <w:r w:rsidR="00FF3CF8" w:rsidRPr="003A3B2F">
        <w:rPr>
          <w:sz w:val="24"/>
          <w:szCs w:val="24"/>
        </w:rPr>
        <w:t xml:space="preserve"> </w:t>
      </w:r>
      <w:r w:rsidR="00EF001C" w:rsidRPr="003A3B2F">
        <w:rPr>
          <w:sz w:val="24"/>
          <w:szCs w:val="24"/>
        </w:rPr>
        <w:t>These effects are separated</w:t>
      </w:r>
      <w:r w:rsidR="005829E6">
        <w:rPr>
          <w:sz w:val="24"/>
          <w:szCs w:val="24"/>
        </w:rPr>
        <w:t xml:space="preserve"> between price and </w:t>
      </w:r>
      <w:r w:rsidR="00CA695D">
        <w:rPr>
          <w:sz w:val="24"/>
          <w:szCs w:val="24"/>
        </w:rPr>
        <w:t>employment effects</w:t>
      </w:r>
      <w:r w:rsidR="0010760F">
        <w:rPr>
          <w:sz w:val="24"/>
          <w:szCs w:val="24"/>
        </w:rPr>
        <w:t xml:space="preserve"> and are measured in level-log models for ease of interpretation. </w:t>
      </w:r>
      <w:r w:rsidR="00F82433">
        <w:rPr>
          <w:sz w:val="24"/>
          <w:szCs w:val="24"/>
        </w:rPr>
        <w:t>Each of the coefficients are therefore semi-</w:t>
      </w:r>
      <w:r w:rsidR="00936861">
        <w:rPr>
          <w:sz w:val="24"/>
          <w:szCs w:val="24"/>
        </w:rPr>
        <w:t>elasticities and</w:t>
      </w:r>
      <w:r w:rsidR="00F82433">
        <w:rPr>
          <w:sz w:val="24"/>
          <w:szCs w:val="24"/>
        </w:rPr>
        <w:t xml:space="preserve"> are interpreted as a 1% change in minimum wages </w:t>
      </w:r>
      <w:r w:rsidR="00C1650B">
        <w:rPr>
          <w:sz w:val="24"/>
          <w:szCs w:val="24"/>
        </w:rPr>
        <w:t xml:space="preserve">associating with a </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100</m:t>
            </m:r>
          </m:den>
        </m:f>
      </m:oMath>
      <w:r w:rsidR="00C1650B">
        <w:rPr>
          <w:sz w:val="24"/>
          <w:szCs w:val="24"/>
        </w:rPr>
        <w:t xml:space="preserve"> </w:t>
      </w:r>
      <w:r w:rsidR="00936861">
        <w:rPr>
          <w:sz w:val="24"/>
          <w:szCs w:val="24"/>
        </w:rPr>
        <w:t xml:space="preserve">change in levels. The dependent variables, the inflation rate, the unemployment rate, the labor </w:t>
      </w:r>
      <w:r w:rsidR="009A6C18">
        <w:rPr>
          <w:sz w:val="24"/>
          <w:szCs w:val="24"/>
        </w:rPr>
        <w:t xml:space="preserve">force participation rate, and the employment to </w:t>
      </w:r>
      <w:r w:rsidR="009A6C18">
        <w:rPr>
          <w:sz w:val="24"/>
          <w:szCs w:val="24"/>
        </w:rPr>
        <w:lastRenderedPageBreak/>
        <w:t>population ratio, are all denoted in percentage points.</w:t>
      </w:r>
      <w:r w:rsidR="000E6484">
        <w:rPr>
          <w:sz w:val="24"/>
          <w:szCs w:val="24"/>
        </w:rPr>
        <w:t xml:space="preserve"> This means that a hypothetical semi-elasticity of 0.5 would be interpreted as </w:t>
      </w:r>
      <w:r w:rsidR="00B12FA0">
        <w:rPr>
          <w:sz w:val="24"/>
          <w:szCs w:val="24"/>
        </w:rPr>
        <w:t>a 1% increase in the minimum wage equating to a 0.</w:t>
      </w:r>
      <w:r w:rsidR="009C032A">
        <w:rPr>
          <w:sz w:val="24"/>
          <w:szCs w:val="24"/>
        </w:rPr>
        <w:t>00</w:t>
      </w:r>
      <w:r w:rsidR="00B12FA0">
        <w:rPr>
          <w:sz w:val="24"/>
          <w:szCs w:val="24"/>
        </w:rPr>
        <w:t xml:space="preserve">5 percentage point increase in the </w:t>
      </w:r>
      <w:r w:rsidR="00934ADF">
        <w:rPr>
          <w:sz w:val="24"/>
          <w:szCs w:val="24"/>
        </w:rPr>
        <w:t>dependent variable.</w:t>
      </w:r>
      <w:r w:rsidR="00584423">
        <w:rPr>
          <w:sz w:val="24"/>
          <w:szCs w:val="24"/>
        </w:rPr>
        <w:t xml:space="preserve"> </w:t>
      </w:r>
      <w:r w:rsidR="00E263A8">
        <w:rPr>
          <w:sz w:val="24"/>
          <w:szCs w:val="24"/>
        </w:rPr>
        <w:t>Standard error</w:t>
      </w:r>
      <w:r w:rsidR="003A4E78">
        <w:rPr>
          <w:sz w:val="24"/>
          <w:szCs w:val="24"/>
        </w:rPr>
        <w:t>s for these estimates are clustered at the state level</w:t>
      </w:r>
      <w:r w:rsidR="009C032A">
        <w:rPr>
          <w:sz w:val="24"/>
          <w:szCs w:val="24"/>
        </w:rPr>
        <w:t xml:space="preserve"> by default </w:t>
      </w:r>
      <w:r w:rsidR="00116CE3">
        <w:rPr>
          <w:sz w:val="24"/>
          <w:szCs w:val="24"/>
        </w:rPr>
        <w:t xml:space="preserve">in the </w:t>
      </w:r>
      <w:r w:rsidR="009C032A">
        <w:rPr>
          <w:sz w:val="24"/>
          <w:szCs w:val="24"/>
        </w:rPr>
        <w:t>fixed effects regression model</w:t>
      </w:r>
      <w:r w:rsidR="00116CE3">
        <w:rPr>
          <w:sz w:val="24"/>
          <w:szCs w:val="24"/>
        </w:rPr>
        <w:t>s</w:t>
      </w:r>
      <w:r w:rsidR="003A4E78">
        <w:rPr>
          <w:sz w:val="24"/>
          <w:szCs w:val="24"/>
        </w:rPr>
        <w:t>.</w:t>
      </w:r>
      <w:r w:rsidR="00AD4417">
        <w:rPr>
          <w:sz w:val="24"/>
          <w:szCs w:val="24"/>
        </w:rPr>
        <w:t xml:space="preserve"> The </w:t>
      </w:r>
      <w:r w:rsidR="00A41C7C">
        <w:rPr>
          <w:sz w:val="24"/>
          <w:szCs w:val="24"/>
        </w:rPr>
        <w:t xml:space="preserve">model with </w:t>
      </w:r>
      <w:r w:rsidR="002203A0">
        <w:rPr>
          <w:sz w:val="24"/>
          <w:szCs w:val="24"/>
        </w:rPr>
        <w:t xml:space="preserve">the full set of controls </w:t>
      </w:r>
      <w:r w:rsidR="00AD4417">
        <w:rPr>
          <w:sz w:val="24"/>
          <w:szCs w:val="24"/>
        </w:rPr>
        <w:t>is t</w:t>
      </w:r>
      <w:r w:rsidR="002203A0">
        <w:rPr>
          <w:sz w:val="24"/>
          <w:szCs w:val="24"/>
        </w:rPr>
        <w:t>he preferred specification,</w:t>
      </w:r>
      <w:r w:rsidR="005E42BC">
        <w:rPr>
          <w:sz w:val="24"/>
          <w:szCs w:val="24"/>
        </w:rPr>
        <w:t xml:space="preserve"> and is given extra consideration in </w:t>
      </w:r>
      <w:r w:rsidR="005272D4">
        <w:rPr>
          <w:sz w:val="24"/>
          <w:szCs w:val="24"/>
        </w:rPr>
        <w:t xml:space="preserve">interpreting </w:t>
      </w:r>
      <w:r w:rsidR="005E42BC">
        <w:rPr>
          <w:sz w:val="24"/>
          <w:szCs w:val="24"/>
        </w:rPr>
        <w:t>each of the variables’ regression results.</w:t>
      </w:r>
    </w:p>
    <w:p w14:paraId="6D00AA84" w14:textId="722AC305" w:rsidR="0042730B" w:rsidRDefault="0042730B" w:rsidP="006B7A9D">
      <w:pPr>
        <w:pStyle w:val="Heading2"/>
        <w:numPr>
          <w:ilvl w:val="0"/>
          <w:numId w:val="25"/>
        </w:numPr>
        <w:spacing w:line="480" w:lineRule="auto"/>
      </w:pPr>
      <w:bookmarkStart w:id="30" w:name="_Toc71466056"/>
      <w:r>
        <w:t>Price Effects</w:t>
      </w:r>
      <w:bookmarkEnd w:id="30"/>
    </w:p>
    <w:p w14:paraId="76274215" w14:textId="5BC0CA72" w:rsidR="00275CDC" w:rsidRDefault="006E1033" w:rsidP="008C06E5">
      <w:pPr>
        <w:spacing w:line="480" w:lineRule="auto"/>
        <w:ind w:firstLine="360"/>
        <w:rPr>
          <w:sz w:val="24"/>
          <w:szCs w:val="24"/>
        </w:rPr>
      </w:pPr>
      <w:r>
        <w:rPr>
          <w:sz w:val="24"/>
          <w:szCs w:val="24"/>
        </w:rPr>
        <w:t xml:space="preserve">Table </w:t>
      </w:r>
      <w:r w:rsidR="009F68D9">
        <w:rPr>
          <w:sz w:val="24"/>
          <w:szCs w:val="24"/>
        </w:rPr>
        <w:t>2</w:t>
      </w:r>
      <w:r>
        <w:rPr>
          <w:sz w:val="24"/>
          <w:szCs w:val="24"/>
        </w:rPr>
        <w:t xml:space="preserve"> summarizes the </w:t>
      </w:r>
      <w:r w:rsidR="000E557B">
        <w:rPr>
          <w:sz w:val="24"/>
          <w:szCs w:val="24"/>
        </w:rPr>
        <w:t>four different specifications for inflation</w:t>
      </w:r>
      <w:r w:rsidR="00276A7A">
        <w:rPr>
          <w:sz w:val="24"/>
          <w:szCs w:val="24"/>
        </w:rPr>
        <w:t xml:space="preserve">. </w:t>
      </w:r>
      <w:r w:rsidR="005C4F0A">
        <w:rPr>
          <w:sz w:val="24"/>
          <w:szCs w:val="24"/>
        </w:rPr>
        <w:t>T</w:t>
      </w:r>
      <w:r w:rsidR="00276A7A">
        <w:rPr>
          <w:sz w:val="24"/>
          <w:szCs w:val="24"/>
        </w:rPr>
        <w:t xml:space="preserve">he </w:t>
      </w:r>
      <w:r w:rsidR="00230CC2">
        <w:rPr>
          <w:sz w:val="24"/>
          <w:szCs w:val="24"/>
        </w:rPr>
        <w:t xml:space="preserve">reported </w:t>
      </w:r>
      <w:r w:rsidR="008C22E0">
        <w:rPr>
          <w:rFonts w:cstheme="minorHAnsi"/>
          <w:sz w:val="24"/>
          <w:szCs w:val="24"/>
        </w:rPr>
        <w:t>β</w:t>
      </w:r>
      <w:r w:rsidR="008C22E0">
        <w:rPr>
          <w:sz w:val="24"/>
          <w:szCs w:val="24"/>
        </w:rPr>
        <w:t xml:space="preserve"> </w:t>
      </w:r>
      <w:r w:rsidR="00230CC2">
        <w:rPr>
          <w:sz w:val="24"/>
          <w:szCs w:val="24"/>
        </w:rPr>
        <w:t>value</w:t>
      </w:r>
      <w:r w:rsidR="00601D60">
        <w:rPr>
          <w:sz w:val="24"/>
          <w:szCs w:val="24"/>
        </w:rPr>
        <w:t xml:space="preserve"> for </w:t>
      </w:r>
      <w:r w:rsidR="00C80211">
        <w:rPr>
          <w:sz w:val="24"/>
          <w:szCs w:val="24"/>
        </w:rPr>
        <w:t>Log(</w:t>
      </w:r>
      <w:r w:rsidR="00601D60">
        <w:rPr>
          <w:sz w:val="24"/>
          <w:szCs w:val="24"/>
        </w:rPr>
        <w:t>minwage</w:t>
      </w:r>
      <w:r w:rsidR="00C80211">
        <w:rPr>
          <w:sz w:val="24"/>
          <w:szCs w:val="24"/>
        </w:rPr>
        <w:t>)</w:t>
      </w:r>
      <w:r w:rsidR="00601D60">
        <w:rPr>
          <w:sz w:val="24"/>
          <w:szCs w:val="24"/>
        </w:rPr>
        <w:t xml:space="preserve"> is the </w:t>
      </w:r>
      <w:r w:rsidR="00230CC2">
        <w:rPr>
          <w:sz w:val="24"/>
          <w:szCs w:val="24"/>
        </w:rPr>
        <w:t xml:space="preserve">minimum wage </w:t>
      </w:r>
      <w:r w:rsidR="0029524D">
        <w:rPr>
          <w:sz w:val="24"/>
          <w:szCs w:val="24"/>
        </w:rPr>
        <w:t>semi-</w:t>
      </w:r>
      <w:r w:rsidR="00230CC2">
        <w:rPr>
          <w:sz w:val="24"/>
          <w:szCs w:val="24"/>
        </w:rPr>
        <w:t xml:space="preserve">elasticity of </w:t>
      </w:r>
      <w:r w:rsidR="0029524D">
        <w:rPr>
          <w:sz w:val="24"/>
          <w:szCs w:val="24"/>
        </w:rPr>
        <w:t>inflation</w:t>
      </w:r>
      <w:r w:rsidR="00A37CC3">
        <w:rPr>
          <w:sz w:val="24"/>
          <w:szCs w:val="24"/>
        </w:rPr>
        <w:t>.</w:t>
      </w:r>
    </w:p>
    <w:tbl>
      <w:tblPr>
        <w:tblW w:w="5075" w:type="pct"/>
        <w:tblLook w:val="0000" w:firstRow="0" w:lastRow="0" w:firstColumn="0" w:lastColumn="0" w:noHBand="0" w:noVBand="0"/>
      </w:tblPr>
      <w:tblGrid>
        <w:gridCol w:w="9135"/>
      </w:tblGrid>
      <w:tr w:rsidR="00DC695A" w:rsidRPr="00DC695A" w14:paraId="2427CBD8" w14:textId="77777777" w:rsidTr="004D77AC">
        <w:trPr>
          <w:trHeight w:val="445"/>
        </w:trPr>
        <w:tc>
          <w:tcPr>
            <w:tcW w:w="5000" w:type="pct"/>
            <w:tcBorders>
              <w:top w:val="nil"/>
              <w:left w:val="nil"/>
              <w:bottom w:val="single" w:sz="4" w:space="0" w:color="auto"/>
              <w:right w:val="nil"/>
            </w:tcBorders>
          </w:tcPr>
          <w:p w14:paraId="41A5DF65" w14:textId="77777777" w:rsidR="00600064" w:rsidRPr="006E7A49" w:rsidRDefault="00600064" w:rsidP="00600064">
            <w:pPr>
              <w:widowControl w:val="0"/>
              <w:autoSpaceDE w:val="0"/>
              <w:autoSpaceDN w:val="0"/>
              <w:adjustRightInd w:val="0"/>
              <w:spacing w:after="0" w:line="240" w:lineRule="auto"/>
              <w:rPr>
                <w:rFonts w:ascii="Calibri" w:eastAsia="Times New Roman" w:hAnsi="Calibri" w:cs="Calibri"/>
                <w:b/>
                <w:bCs/>
                <w:sz w:val="40"/>
                <w:szCs w:val="40"/>
              </w:rPr>
            </w:pPr>
            <w:bookmarkStart w:id="31" w:name="_Hlk70934271"/>
            <w:r w:rsidRPr="006E7A49">
              <w:rPr>
                <w:rFonts w:ascii="Calibri" w:eastAsia="Times New Roman" w:hAnsi="Calibri" w:cs="Calibri"/>
                <w:b/>
                <w:bCs/>
                <w:sz w:val="40"/>
                <w:szCs w:val="40"/>
              </w:rPr>
              <w:t>Table 2:</w:t>
            </w:r>
          </w:p>
          <w:p w14:paraId="13780228" w14:textId="77777777" w:rsidR="00600064" w:rsidRPr="006E7A49" w:rsidRDefault="00600064" w:rsidP="00600064">
            <w:pPr>
              <w:widowControl w:val="0"/>
              <w:autoSpaceDE w:val="0"/>
              <w:autoSpaceDN w:val="0"/>
              <w:adjustRightInd w:val="0"/>
              <w:spacing w:after="0" w:line="240" w:lineRule="auto"/>
              <w:rPr>
                <w:rFonts w:ascii="Calibri" w:eastAsia="Times New Roman" w:hAnsi="Calibri" w:cs="Calibri"/>
                <w:sz w:val="28"/>
                <w:szCs w:val="28"/>
              </w:rPr>
            </w:pPr>
            <w:r w:rsidRPr="006E7A49">
              <w:rPr>
                <w:rFonts w:ascii="Calibri" w:eastAsia="Times New Roman" w:hAnsi="Calibri" w:cs="Calibri"/>
                <w:bCs/>
                <w:sz w:val="28"/>
                <w:szCs w:val="28"/>
              </w:rPr>
              <w:t>Regression results for inflation semi-elasticities.</w:t>
            </w:r>
          </w:p>
          <w:tbl>
            <w:tblPr>
              <w:tblW w:w="4835" w:type="pct"/>
              <w:tblInd w:w="2" w:type="dxa"/>
              <w:tblLook w:val="0000" w:firstRow="0" w:lastRow="0" w:firstColumn="0" w:lastColumn="0" w:noHBand="0" w:noVBand="0"/>
            </w:tblPr>
            <w:tblGrid>
              <w:gridCol w:w="2500"/>
              <w:gridCol w:w="1482"/>
              <w:gridCol w:w="1542"/>
              <w:gridCol w:w="1542"/>
              <w:gridCol w:w="1559"/>
            </w:tblGrid>
            <w:tr w:rsidR="00275CDC" w:rsidRPr="00600064" w14:paraId="07A7C1F0" w14:textId="77777777" w:rsidTr="006E525D">
              <w:trPr>
                <w:trHeight w:val="299"/>
              </w:trPr>
              <w:tc>
                <w:tcPr>
                  <w:tcW w:w="1449" w:type="pct"/>
                  <w:tcBorders>
                    <w:top w:val="single" w:sz="4" w:space="0" w:color="auto"/>
                    <w:left w:val="nil"/>
                    <w:bottom w:val="nil"/>
                    <w:right w:val="nil"/>
                  </w:tcBorders>
                </w:tcPr>
                <w:p w14:paraId="7DF7718C" w14:textId="77777777" w:rsidR="00600064" w:rsidRPr="00600064" w:rsidRDefault="00600064" w:rsidP="00600064">
                  <w:pPr>
                    <w:widowControl w:val="0"/>
                    <w:autoSpaceDE w:val="0"/>
                    <w:autoSpaceDN w:val="0"/>
                    <w:adjustRightInd w:val="0"/>
                    <w:spacing w:after="0" w:line="240" w:lineRule="auto"/>
                    <w:rPr>
                      <w:rFonts w:ascii="Calibri" w:eastAsia="Times New Roman" w:hAnsi="Calibri" w:cs="Calibri"/>
                      <w:b/>
                      <w:bCs/>
                      <w:sz w:val="20"/>
                      <w:szCs w:val="20"/>
                    </w:rPr>
                  </w:pPr>
                  <w:r w:rsidRPr="00600064">
                    <w:rPr>
                      <w:rFonts w:ascii="Calibri" w:eastAsia="Times New Roman" w:hAnsi="Calibri" w:cs="Calibri"/>
                      <w:b/>
                      <w:bCs/>
                      <w:sz w:val="20"/>
                      <w:szCs w:val="20"/>
                    </w:rPr>
                    <w:t xml:space="preserve">Specifications   </w:t>
                  </w:r>
                </w:p>
              </w:tc>
              <w:tc>
                <w:tcPr>
                  <w:tcW w:w="859" w:type="pct"/>
                  <w:tcBorders>
                    <w:top w:val="single" w:sz="4" w:space="0" w:color="auto"/>
                    <w:left w:val="nil"/>
                    <w:bottom w:val="nil"/>
                    <w:right w:val="nil"/>
                  </w:tcBorders>
                </w:tcPr>
                <w:p w14:paraId="18CC10D5"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(1)</w:t>
                  </w:r>
                </w:p>
              </w:tc>
              <w:tc>
                <w:tcPr>
                  <w:tcW w:w="894" w:type="pct"/>
                  <w:tcBorders>
                    <w:top w:val="single" w:sz="4" w:space="0" w:color="auto"/>
                    <w:left w:val="nil"/>
                    <w:bottom w:val="nil"/>
                    <w:right w:val="nil"/>
                  </w:tcBorders>
                </w:tcPr>
                <w:p w14:paraId="67AE705A"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(2)</w:t>
                  </w:r>
                </w:p>
              </w:tc>
              <w:tc>
                <w:tcPr>
                  <w:tcW w:w="894" w:type="pct"/>
                  <w:tcBorders>
                    <w:top w:val="single" w:sz="4" w:space="0" w:color="auto"/>
                    <w:left w:val="nil"/>
                    <w:bottom w:val="nil"/>
                    <w:right w:val="nil"/>
                  </w:tcBorders>
                </w:tcPr>
                <w:p w14:paraId="2A1916A5"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(3)</w:t>
                  </w:r>
                </w:p>
              </w:tc>
              <w:tc>
                <w:tcPr>
                  <w:tcW w:w="904" w:type="pct"/>
                  <w:tcBorders>
                    <w:top w:val="single" w:sz="4" w:space="0" w:color="auto"/>
                    <w:left w:val="nil"/>
                    <w:bottom w:val="nil"/>
                    <w:right w:val="nil"/>
                  </w:tcBorders>
                </w:tcPr>
                <w:p w14:paraId="1F868BA3"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(4)</w:t>
                  </w:r>
                </w:p>
              </w:tc>
            </w:tr>
            <w:tr w:rsidR="00275CDC" w:rsidRPr="00600064" w14:paraId="57F1771E" w14:textId="77777777" w:rsidTr="006E525D">
              <w:trPr>
                <w:trHeight w:val="285"/>
              </w:trPr>
              <w:tc>
                <w:tcPr>
                  <w:tcW w:w="1449" w:type="pct"/>
                  <w:tcBorders>
                    <w:top w:val="nil"/>
                    <w:left w:val="nil"/>
                    <w:bottom w:val="single" w:sz="10" w:space="0" w:color="auto"/>
                    <w:right w:val="nil"/>
                  </w:tcBorders>
                </w:tcPr>
                <w:p w14:paraId="49C7BFDF"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w:t>
                  </w:r>
                </w:p>
              </w:tc>
              <w:tc>
                <w:tcPr>
                  <w:tcW w:w="859" w:type="pct"/>
                  <w:tcBorders>
                    <w:top w:val="nil"/>
                    <w:left w:val="nil"/>
                    <w:bottom w:val="single" w:sz="10" w:space="0" w:color="auto"/>
                    <w:right w:val="nil"/>
                  </w:tcBorders>
                </w:tcPr>
                <w:p w14:paraId="0F18A3E2"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Baseline</w:t>
                  </w:r>
                </w:p>
              </w:tc>
              <w:tc>
                <w:tcPr>
                  <w:tcW w:w="894" w:type="pct"/>
                  <w:tcBorders>
                    <w:top w:val="nil"/>
                    <w:left w:val="nil"/>
                    <w:bottom w:val="single" w:sz="10" w:space="0" w:color="auto"/>
                    <w:right w:val="nil"/>
                  </w:tcBorders>
                </w:tcPr>
                <w:p w14:paraId="3F53CEB9"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GDP</w:t>
                  </w:r>
                </w:p>
              </w:tc>
              <w:tc>
                <w:tcPr>
                  <w:tcW w:w="894" w:type="pct"/>
                  <w:tcBorders>
                    <w:top w:val="nil"/>
                    <w:left w:val="nil"/>
                    <w:bottom w:val="single" w:sz="10" w:space="0" w:color="auto"/>
                    <w:right w:val="nil"/>
                  </w:tcBorders>
                </w:tcPr>
                <w:p w14:paraId="0D2E5CD6"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Time Variant</w:t>
                  </w:r>
                </w:p>
              </w:tc>
              <w:tc>
                <w:tcPr>
                  <w:tcW w:w="904" w:type="pct"/>
                  <w:tcBorders>
                    <w:top w:val="nil"/>
                    <w:left w:val="nil"/>
                    <w:bottom w:val="single" w:sz="10" w:space="0" w:color="auto"/>
                    <w:right w:val="nil"/>
                  </w:tcBorders>
                </w:tcPr>
                <w:p w14:paraId="46AC381C" w14:textId="77777777" w:rsidR="00600064" w:rsidRPr="00600064" w:rsidRDefault="00600064" w:rsidP="00600064">
                  <w:pPr>
                    <w:widowControl w:val="0"/>
                    <w:autoSpaceDE w:val="0"/>
                    <w:autoSpaceDN w:val="0"/>
                    <w:adjustRightInd w:val="0"/>
                    <w:spacing w:after="0" w:line="240" w:lineRule="auto"/>
                    <w:jc w:val="center"/>
                    <w:rPr>
                      <w:rFonts w:ascii="Calibri" w:eastAsia="Times New Roman" w:hAnsi="Calibri" w:cs="Calibri"/>
                      <w:sz w:val="20"/>
                      <w:szCs w:val="20"/>
                    </w:rPr>
                  </w:pPr>
                  <w:r w:rsidRPr="00600064">
                    <w:rPr>
                      <w:rFonts w:ascii="Calibri" w:eastAsia="Times New Roman" w:hAnsi="Calibri" w:cs="Calibri"/>
                      <w:sz w:val="20"/>
                      <w:szCs w:val="20"/>
                    </w:rPr>
                    <w:t xml:space="preserve">   Full Model   </w:t>
                  </w:r>
                </w:p>
              </w:tc>
            </w:tr>
            <w:tr w:rsidR="00275CDC" w:rsidRPr="00600064" w14:paraId="56E863BE" w14:textId="77777777" w:rsidTr="006E525D">
              <w:trPr>
                <w:trHeight w:val="339"/>
              </w:trPr>
              <w:tc>
                <w:tcPr>
                  <w:tcW w:w="1449" w:type="pct"/>
                  <w:tcBorders>
                    <w:top w:val="nil"/>
                    <w:left w:val="nil"/>
                    <w:bottom w:val="nil"/>
                    <w:right w:val="nil"/>
                  </w:tcBorders>
                </w:tcPr>
                <w:p w14:paraId="17B68B9D" w14:textId="77777777" w:rsidR="00905A5F" w:rsidRPr="007C01DA" w:rsidRDefault="00600064" w:rsidP="00600064">
                  <w:pPr>
                    <w:widowControl w:val="0"/>
                    <w:autoSpaceDE w:val="0"/>
                    <w:autoSpaceDN w:val="0"/>
                    <w:adjustRightInd w:val="0"/>
                    <w:spacing w:after="0" w:line="276" w:lineRule="auto"/>
                    <w:rPr>
                      <w:rFonts w:ascii="Calibri" w:eastAsia="Times New Roman" w:hAnsi="Calibri" w:cs="Calibri"/>
                      <w:b/>
                      <w:bCs/>
                      <w:sz w:val="20"/>
                      <w:szCs w:val="20"/>
                    </w:rPr>
                  </w:pPr>
                  <w:r w:rsidRPr="00600064">
                    <w:rPr>
                      <w:rFonts w:ascii="Calibri" w:eastAsia="Times New Roman" w:hAnsi="Calibri" w:cs="Calibri"/>
                      <w:b/>
                      <w:bCs/>
                      <w:sz w:val="20"/>
                      <w:szCs w:val="20"/>
                    </w:rPr>
                    <w:t xml:space="preserve"> Log(minwage)       </w:t>
                  </w:r>
                </w:p>
                <w:p w14:paraId="657397C8" w14:textId="067D4A8E" w:rsidR="00600064" w:rsidRPr="00600064" w:rsidRDefault="00905A5F" w:rsidP="00600064">
                  <w:pPr>
                    <w:widowControl w:val="0"/>
                    <w:autoSpaceDE w:val="0"/>
                    <w:autoSpaceDN w:val="0"/>
                    <w:adjustRightInd w:val="0"/>
                    <w:spacing w:after="0" w:line="276" w:lineRule="auto"/>
                    <w:rPr>
                      <w:rFonts w:ascii="Calibri" w:eastAsia="Times New Roman" w:hAnsi="Calibri" w:cs="Calibri"/>
                      <w:sz w:val="20"/>
                      <w:szCs w:val="20"/>
                    </w:rPr>
                  </w:pPr>
                  <w:r>
                    <w:rPr>
                      <w:rFonts w:ascii="Calibri" w:eastAsia="Times New Roman" w:hAnsi="Calibri" w:cs="Calibri"/>
                      <w:sz w:val="20"/>
                      <w:szCs w:val="20"/>
                    </w:rPr>
                    <w:t xml:space="preserve">                                   </w:t>
                  </w:r>
                  <w:r w:rsidR="00600064" w:rsidRPr="00600064">
                    <w:rPr>
                      <w:rFonts w:ascii="Calibri" w:eastAsia="Times New Roman" w:hAnsi="Calibri" w:cs="Calibri"/>
                      <w:sz w:val="20"/>
                      <w:szCs w:val="20"/>
                    </w:rPr>
                    <w:t>β</w:t>
                  </w:r>
                </w:p>
              </w:tc>
              <w:tc>
                <w:tcPr>
                  <w:tcW w:w="859" w:type="pct"/>
                  <w:tcBorders>
                    <w:top w:val="nil"/>
                    <w:left w:val="nil"/>
                    <w:bottom w:val="nil"/>
                    <w:right w:val="nil"/>
                  </w:tcBorders>
                </w:tcPr>
                <w:p w14:paraId="6761FDC3"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1E92C45A" w14:textId="43347F64" w:rsidR="00600064" w:rsidRPr="00600064" w:rsidRDefault="007D5B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.043</w:t>
                  </w:r>
                </w:p>
              </w:tc>
              <w:tc>
                <w:tcPr>
                  <w:tcW w:w="894" w:type="pct"/>
                  <w:tcBorders>
                    <w:top w:val="nil"/>
                    <w:left w:val="nil"/>
                    <w:bottom w:val="nil"/>
                    <w:right w:val="nil"/>
                  </w:tcBorders>
                </w:tcPr>
                <w:p w14:paraId="7FBCE967"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7F836B5C" w14:textId="5007F32C" w:rsidR="00600064" w:rsidRPr="00600064" w:rsidRDefault="007D5B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.214</w:t>
                  </w:r>
                </w:p>
              </w:tc>
              <w:tc>
                <w:tcPr>
                  <w:tcW w:w="894" w:type="pct"/>
                  <w:tcBorders>
                    <w:top w:val="nil"/>
                    <w:left w:val="nil"/>
                    <w:bottom w:val="nil"/>
                    <w:right w:val="nil"/>
                  </w:tcBorders>
                </w:tcPr>
                <w:p w14:paraId="48F17693"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6FBAB13D" w14:textId="5C08C2A3" w:rsidR="00600064" w:rsidRPr="00600064" w:rsidRDefault="007D5B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.334</w:t>
                  </w:r>
                </w:p>
              </w:tc>
              <w:tc>
                <w:tcPr>
                  <w:tcW w:w="904" w:type="pct"/>
                  <w:tcBorders>
                    <w:top w:val="nil"/>
                    <w:left w:val="nil"/>
                    <w:bottom w:val="nil"/>
                    <w:right w:val="nil"/>
                  </w:tcBorders>
                </w:tcPr>
                <w:p w14:paraId="3554BC4B"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682E6512" w14:textId="571FD762" w:rsidR="00600064" w:rsidRPr="00600064" w:rsidRDefault="007D5B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.685</w:t>
                  </w:r>
                </w:p>
              </w:tc>
            </w:tr>
            <w:tr w:rsidR="00275CDC" w:rsidRPr="00600064" w14:paraId="1E4B47A8" w14:textId="77777777" w:rsidTr="006E525D">
              <w:trPr>
                <w:trHeight w:val="390"/>
              </w:trPr>
              <w:tc>
                <w:tcPr>
                  <w:tcW w:w="1449" w:type="pct"/>
                  <w:tcBorders>
                    <w:top w:val="nil"/>
                    <w:left w:val="nil"/>
                    <w:bottom w:val="nil"/>
                    <w:right w:val="nil"/>
                  </w:tcBorders>
                </w:tcPr>
                <w:p w14:paraId="2C4741B2" w14:textId="5BAFC4E5" w:rsidR="00600064" w:rsidRP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Pr="00600064">
                    <w:rPr>
                      <w:rFonts w:ascii="Calibri" w:eastAsia="Times New Roman" w:hAnsi="Calibri" w:cs="Calibri"/>
                      <w:sz w:val="20"/>
                      <w:szCs w:val="20"/>
                    </w:rPr>
                    <w:t>se</w:t>
                  </w:r>
                </w:p>
                <w:p w14:paraId="44B0230E" w14:textId="52198C42" w:rsidR="00600064" w:rsidRP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00C10EA8">
                    <w:rPr>
                      <w:rFonts w:ascii="Calibri" w:eastAsia="Times New Roman" w:hAnsi="Calibri" w:cs="Calibri"/>
                      <w:sz w:val="20"/>
                      <w:szCs w:val="20"/>
                    </w:rPr>
                    <w:t>95% CI</w:t>
                  </w:r>
                  <w:r w:rsidRPr="00600064">
                    <w:rPr>
                      <w:rFonts w:ascii="Calibri" w:eastAsia="Times New Roman" w:hAnsi="Calibri" w:cs="Calibri"/>
                      <w:sz w:val="20"/>
                      <w:szCs w:val="20"/>
                    </w:rPr>
                    <w:t xml:space="preserve">              </w:t>
                  </w:r>
                </w:p>
              </w:tc>
              <w:tc>
                <w:tcPr>
                  <w:tcW w:w="859" w:type="pct"/>
                  <w:tcBorders>
                    <w:top w:val="nil"/>
                    <w:left w:val="nil"/>
                    <w:bottom w:val="nil"/>
                    <w:right w:val="nil"/>
                  </w:tcBorders>
                </w:tcPr>
                <w:p w14:paraId="343D9E50" w14:textId="0D8C5D14"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7D5B88">
                    <w:rPr>
                      <w:rFonts w:ascii="Calibri" w:eastAsia="Times New Roman" w:hAnsi="Calibri" w:cs="Calibri"/>
                      <w:sz w:val="20"/>
                      <w:szCs w:val="20"/>
                    </w:rPr>
                    <w:t>0</w:t>
                  </w:r>
                  <w:r w:rsidRPr="00600064">
                    <w:rPr>
                      <w:rFonts w:ascii="Calibri" w:eastAsia="Times New Roman" w:hAnsi="Calibri" w:cs="Calibri"/>
                      <w:sz w:val="20"/>
                      <w:szCs w:val="20"/>
                    </w:rPr>
                    <w:t>.466)</w:t>
                  </w:r>
                </w:p>
                <w:p w14:paraId="3AEF2ED1" w14:textId="77777777" w:rsidR="00600064" w:rsidRP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[-0.90, 0.99]</w:t>
                  </w:r>
                </w:p>
              </w:tc>
              <w:tc>
                <w:tcPr>
                  <w:tcW w:w="894" w:type="pct"/>
                  <w:tcBorders>
                    <w:top w:val="nil"/>
                    <w:left w:val="nil"/>
                    <w:bottom w:val="nil"/>
                    <w:right w:val="nil"/>
                  </w:tcBorders>
                </w:tcPr>
                <w:p w14:paraId="04E3D3E8" w14:textId="5CDB9238"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7D5B88">
                    <w:rPr>
                      <w:rFonts w:ascii="Calibri" w:eastAsia="Times New Roman" w:hAnsi="Calibri" w:cs="Calibri"/>
                      <w:sz w:val="20"/>
                      <w:szCs w:val="20"/>
                    </w:rPr>
                    <w:t>0</w:t>
                  </w:r>
                  <w:r w:rsidRPr="00600064">
                    <w:rPr>
                      <w:rFonts w:ascii="Calibri" w:eastAsia="Times New Roman" w:hAnsi="Calibri" w:cs="Calibri"/>
                      <w:sz w:val="20"/>
                      <w:szCs w:val="20"/>
                    </w:rPr>
                    <w:t>.82)</w:t>
                  </w:r>
                </w:p>
                <w:p w14:paraId="334525CD"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[-1.46,1.88]</w:t>
                  </w:r>
                </w:p>
              </w:tc>
              <w:tc>
                <w:tcPr>
                  <w:tcW w:w="894" w:type="pct"/>
                  <w:tcBorders>
                    <w:top w:val="nil"/>
                    <w:left w:val="nil"/>
                    <w:bottom w:val="nil"/>
                    <w:right w:val="nil"/>
                  </w:tcBorders>
                </w:tcPr>
                <w:p w14:paraId="7EC7FDFD" w14:textId="6E8552E5"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7D5B88">
                    <w:rPr>
                      <w:rFonts w:ascii="Calibri" w:eastAsia="Times New Roman" w:hAnsi="Calibri" w:cs="Calibri"/>
                      <w:sz w:val="20"/>
                      <w:szCs w:val="20"/>
                    </w:rPr>
                    <w:t>0</w:t>
                  </w:r>
                  <w:r w:rsidRPr="00600064">
                    <w:rPr>
                      <w:rFonts w:ascii="Calibri" w:eastAsia="Times New Roman" w:hAnsi="Calibri" w:cs="Calibri"/>
                      <w:sz w:val="20"/>
                      <w:szCs w:val="20"/>
                    </w:rPr>
                    <w:t>.539)</w:t>
                  </w:r>
                </w:p>
                <w:p w14:paraId="5967CEEA"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[-0.76, 1.43]</w:t>
                  </w:r>
                </w:p>
              </w:tc>
              <w:tc>
                <w:tcPr>
                  <w:tcW w:w="904" w:type="pct"/>
                  <w:tcBorders>
                    <w:top w:val="nil"/>
                    <w:left w:val="nil"/>
                    <w:bottom w:val="nil"/>
                    <w:right w:val="nil"/>
                  </w:tcBorders>
                </w:tcPr>
                <w:p w14:paraId="7E79D885" w14:textId="0BCA1242"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7D5B88">
                    <w:rPr>
                      <w:rFonts w:ascii="Calibri" w:eastAsia="Times New Roman" w:hAnsi="Calibri" w:cs="Calibri"/>
                      <w:sz w:val="20"/>
                      <w:szCs w:val="20"/>
                    </w:rPr>
                    <w:t>0</w:t>
                  </w:r>
                  <w:r w:rsidRPr="00600064">
                    <w:rPr>
                      <w:rFonts w:ascii="Calibri" w:eastAsia="Times New Roman" w:hAnsi="Calibri" w:cs="Calibri"/>
                      <w:sz w:val="20"/>
                      <w:szCs w:val="20"/>
                    </w:rPr>
                    <w:t>.927)</w:t>
                  </w:r>
                </w:p>
                <w:p w14:paraId="449EE1DA" w14:textId="34EA72BB" w:rsidR="00600064" w:rsidRPr="00600064" w:rsidRDefault="00600064" w:rsidP="00824B17">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[-1.20, 2.57]</w:t>
                  </w:r>
                </w:p>
              </w:tc>
            </w:tr>
            <w:tr w:rsidR="00275CDC" w:rsidRPr="00600064" w14:paraId="3EDB809A" w14:textId="77777777" w:rsidTr="006E525D">
              <w:trPr>
                <w:trHeight w:val="285"/>
              </w:trPr>
              <w:tc>
                <w:tcPr>
                  <w:tcW w:w="1449" w:type="pct"/>
                  <w:tcBorders>
                    <w:top w:val="nil"/>
                    <w:left w:val="nil"/>
                    <w:bottom w:val="nil"/>
                    <w:right w:val="nil"/>
                  </w:tcBorders>
                </w:tcPr>
                <w:p w14:paraId="34D36505" w14:textId="77777777" w:rsidR="00351B66" w:rsidRPr="007C01DA" w:rsidRDefault="00600064" w:rsidP="00600064">
                  <w:pPr>
                    <w:widowControl w:val="0"/>
                    <w:autoSpaceDE w:val="0"/>
                    <w:autoSpaceDN w:val="0"/>
                    <w:adjustRightInd w:val="0"/>
                    <w:spacing w:after="0" w:line="276" w:lineRule="auto"/>
                    <w:rPr>
                      <w:rFonts w:ascii="Calibri" w:eastAsia="Times New Roman" w:hAnsi="Calibri" w:cs="Calibri"/>
                      <w:b/>
                      <w:bCs/>
                      <w:sz w:val="20"/>
                      <w:szCs w:val="20"/>
                    </w:rPr>
                  </w:pPr>
                  <w:r w:rsidRPr="00600064">
                    <w:rPr>
                      <w:rFonts w:ascii="Calibri" w:eastAsia="Times New Roman" w:hAnsi="Calibri" w:cs="Calibri"/>
                      <w:sz w:val="20"/>
                      <w:szCs w:val="20"/>
                    </w:rPr>
                    <w:t xml:space="preserve"> </w:t>
                  </w:r>
                  <w:r w:rsidRPr="00600064">
                    <w:rPr>
                      <w:rFonts w:ascii="Calibri" w:eastAsia="Times New Roman" w:hAnsi="Calibri" w:cs="Calibri"/>
                      <w:b/>
                      <w:bCs/>
                      <w:sz w:val="20"/>
                      <w:szCs w:val="20"/>
                    </w:rPr>
                    <w:t xml:space="preserve">Unemployment     </w:t>
                  </w:r>
                </w:p>
                <w:p w14:paraId="4908BB3E" w14:textId="09F5F776" w:rsidR="00600064" w:rsidRP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Pr="00600064">
                    <w:rPr>
                      <w:rFonts w:ascii="Calibri" w:eastAsia="Times New Roman" w:hAnsi="Calibri" w:cs="Calibri"/>
                      <w:sz w:val="20"/>
                      <w:szCs w:val="20"/>
                    </w:rPr>
                    <w:t>β</w:t>
                  </w:r>
                </w:p>
              </w:tc>
              <w:tc>
                <w:tcPr>
                  <w:tcW w:w="859" w:type="pct"/>
                  <w:tcBorders>
                    <w:top w:val="nil"/>
                    <w:left w:val="nil"/>
                    <w:bottom w:val="nil"/>
                    <w:right w:val="nil"/>
                  </w:tcBorders>
                </w:tcPr>
                <w:p w14:paraId="26C1B8FE"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6F0410BD" w14:textId="7B96A13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7D5B88">
                    <w:rPr>
                      <w:rFonts w:ascii="Calibri" w:eastAsia="Times New Roman" w:hAnsi="Calibri" w:cs="Calibri"/>
                      <w:sz w:val="20"/>
                      <w:szCs w:val="20"/>
                    </w:rPr>
                    <w:t>0</w:t>
                  </w:r>
                  <w:r w:rsidRPr="00600064">
                    <w:rPr>
                      <w:rFonts w:ascii="Calibri" w:eastAsia="Times New Roman" w:hAnsi="Calibri" w:cs="Calibri"/>
                      <w:sz w:val="20"/>
                      <w:szCs w:val="20"/>
                    </w:rPr>
                    <w:t>.084*</w:t>
                  </w:r>
                </w:p>
              </w:tc>
              <w:tc>
                <w:tcPr>
                  <w:tcW w:w="894" w:type="pct"/>
                  <w:tcBorders>
                    <w:top w:val="nil"/>
                    <w:left w:val="nil"/>
                    <w:bottom w:val="nil"/>
                    <w:right w:val="nil"/>
                  </w:tcBorders>
                </w:tcPr>
                <w:p w14:paraId="41837AA7"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0A030CFD" w14:textId="5CB3BA48" w:rsidR="00600064" w:rsidRPr="00600064" w:rsidRDefault="007D5B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.021</w:t>
                  </w:r>
                </w:p>
              </w:tc>
              <w:tc>
                <w:tcPr>
                  <w:tcW w:w="894" w:type="pct"/>
                  <w:tcBorders>
                    <w:top w:val="nil"/>
                    <w:left w:val="nil"/>
                    <w:bottom w:val="nil"/>
                    <w:right w:val="nil"/>
                  </w:tcBorders>
                </w:tcPr>
                <w:p w14:paraId="1FABA8AD"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3215EFCC" w14:textId="75FE4D5F"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7D5B88">
                    <w:rPr>
                      <w:rFonts w:ascii="Calibri" w:eastAsia="Times New Roman" w:hAnsi="Calibri" w:cs="Calibri"/>
                      <w:sz w:val="20"/>
                      <w:szCs w:val="20"/>
                    </w:rPr>
                    <w:t>0</w:t>
                  </w:r>
                  <w:r w:rsidRPr="00600064">
                    <w:rPr>
                      <w:rFonts w:ascii="Calibri" w:eastAsia="Times New Roman" w:hAnsi="Calibri" w:cs="Calibri"/>
                      <w:sz w:val="20"/>
                      <w:szCs w:val="20"/>
                    </w:rPr>
                    <w:t>.071</w:t>
                  </w:r>
                </w:p>
              </w:tc>
              <w:tc>
                <w:tcPr>
                  <w:tcW w:w="904" w:type="pct"/>
                  <w:tcBorders>
                    <w:top w:val="nil"/>
                    <w:left w:val="nil"/>
                    <w:bottom w:val="nil"/>
                    <w:right w:val="nil"/>
                  </w:tcBorders>
                </w:tcPr>
                <w:p w14:paraId="25AD3E72" w14:textId="77777777" w:rsidR="00905A5F" w:rsidRDefault="00905A5F"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0E9D2D32" w14:textId="37EB20F6" w:rsidR="00600064" w:rsidRPr="00600064" w:rsidRDefault="007D5B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.019</w:t>
                  </w:r>
                </w:p>
              </w:tc>
            </w:tr>
            <w:tr w:rsidR="00275CDC" w:rsidRPr="00600064" w14:paraId="7A403D90" w14:textId="77777777" w:rsidTr="006E525D">
              <w:trPr>
                <w:trHeight w:val="38"/>
              </w:trPr>
              <w:tc>
                <w:tcPr>
                  <w:tcW w:w="1449" w:type="pct"/>
                  <w:tcBorders>
                    <w:top w:val="nil"/>
                    <w:left w:val="nil"/>
                    <w:bottom w:val="nil"/>
                    <w:right w:val="nil"/>
                  </w:tcBorders>
                </w:tcPr>
                <w:p w14:paraId="1DD17F15" w14:textId="6DD99B15" w:rsid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w:t>
                  </w:r>
                  <w:r w:rsidR="00351B66">
                    <w:rPr>
                      <w:rFonts w:ascii="Calibri" w:eastAsia="Times New Roman" w:hAnsi="Calibri" w:cs="Calibri"/>
                      <w:sz w:val="20"/>
                      <w:szCs w:val="20"/>
                    </w:rPr>
                    <w:t xml:space="preserve">                </w:t>
                  </w: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00EF619D">
                    <w:rPr>
                      <w:rFonts w:ascii="Calibri" w:eastAsia="Times New Roman" w:hAnsi="Calibri" w:cs="Calibri"/>
                      <w:sz w:val="20"/>
                      <w:szCs w:val="20"/>
                    </w:rPr>
                    <w:t>s</w:t>
                  </w:r>
                  <w:r w:rsidRPr="00600064">
                    <w:rPr>
                      <w:rFonts w:ascii="Calibri" w:eastAsia="Times New Roman" w:hAnsi="Calibri" w:cs="Calibri"/>
                      <w:sz w:val="20"/>
                      <w:szCs w:val="20"/>
                    </w:rPr>
                    <w:t>e</w:t>
                  </w:r>
                </w:p>
                <w:p w14:paraId="77E000A4" w14:textId="77777777" w:rsidR="00EF619D" w:rsidRPr="007C01DA" w:rsidRDefault="00EF619D" w:rsidP="00600064">
                  <w:pPr>
                    <w:widowControl w:val="0"/>
                    <w:autoSpaceDE w:val="0"/>
                    <w:autoSpaceDN w:val="0"/>
                    <w:adjustRightInd w:val="0"/>
                    <w:spacing w:after="0" w:line="276" w:lineRule="auto"/>
                    <w:rPr>
                      <w:rFonts w:ascii="Calibri" w:eastAsia="Times New Roman" w:hAnsi="Calibri" w:cs="Calibri"/>
                      <w:b/>
                      <w:bCs/>
                      <w:sz w:val="20"/>
                      <w:szCs w:val="20"/>
                    </w:rPr>
                  </w:pPr>
                  <w:r>
                    <w:rPr>
                      <w:rFonts w:ascii="Calibri" w:eastAsia="Times New Roman" w:hAnsi="Calibri" w:cs="Calibri"/>
                      <w:sz w:val="20"/>
                      <w:szCs w:val="20"/>
                    </w:rPr>
                    <w:t xml:space="preserve"> </w:t>
                  </w:r>
                  <w:r w:rsidRPr="007C01DA">
                    <w:rPr>
                      <w:rFonts w:ascii="Calibri" w:eastAsia="Times New Roman" w:hAnsi="Calibri" w:cs="Calibri"/>
                      <w:b/>
                      <w:bCs/>
                      <w:sz w:val="20"/>
                      <w:szCs w:val="20"/>
                    </w:rPr>
                    <w:t>GDP</w:t>
                  </w:r>
                </w:p>
                <w:p w14:paraId="5D3E643A" w14:textId="77777777" w:rsidR="005E0A7A" w:rsidRDefault="005E0A7A" w:rsidP="00600064">
                  <w:pPr>
                    <w:widowControl w:val="0"/>
                    <w:autoSpaceDE w:val="0"/>
                    <w:autoSpaceDN w:val="0"/>
                    <w:adjustRightInd w:val="0"/>
                    <w:spacing w:after="0" w:line="276" w:lineRule="auto"/>
                    <w:rPr>
                      <w:rFonts w:ascii="Calibri" w:eastAsia="Times New Roman" w:hAnsi="Calibri" w:cs="Calibri"/>
                      <w:sz w:val="20"/>
                      <w:szCs w:val="20"/>
                    </w:rPr>
                  </w:pPr>
                  <w:r>
                    <w:rPr>
                      <w:rFonts w:ascii="Calibri" w:eastAsia="Times New Roman" w:hAnsi="Calibri" w:cs="Calibri"/>
                      <w:sz w:val="20"/>
                      <w:szCs w:val="20"/>
                    </w:rPr>
                    <w:t xml:space="preserve">                                    β</w:t>
                  </w:r>
                </w:p>
                <w:p w14:paraId="05E15895" w14:textId="13FCA963" w:rsidR="005E0A7A" w:rsidRPr="00600064" w:rsidRDefault="005E0A7A" w:rsidP="00600064">
                  <w:pPr>
                    <w:widowControl w:val="0"/>
                    <w:autoSpaceDE w:val="0"/>
                    <w:autoSpaceDN w:val="0"/>
                    <w:adjustRightInd w:val="0"/>
                    <w:spacing w:after="0" w:line="276" w:lineRule="auto"/>
                    <w:rPr>
                      <w:rFonts w:ascii="Calibri" w:eastAsia="Times New Roman" w:hAnsi="Calibri" w:cs="Calibri"/>
                      <w:sz w:val="20"/>
                      <w:szCs w:val="20"/>
                    </w:rPr>
                  </w:pPr>
                  <w:r>
                    <w:rPr>
                      <w:rFonts w:ascii="Calibri" w:eastAsia="Times New Roman" w:hAnsi="Calibri" w:cs="Calibri"/>
                      <w:sz w:val="20"/>
                      <w:szCs w:val="20"/>
                    </w:rPr>
                    <w:t xml:space="preserve">                                    se</w:t>
                  </w:r>
                </w:p>
              </w:tc>
              <w:tc>
                <w:tcPr>
                  <w:tcW w:w="859" w:type="pct"/>
                  <w:tcBorders>
                    <w:top w:val="nil"/>
                    <w:left w:val="nil"/>
                    <w:bottom w:val="nil"/>
                    <w:right w:val="nil"/>
                  </w:tcBorders>
                </w:tcPr>
                <w:p w14:paraId="5FA43A37" w14:textId="6CBBB6CF" w:rsid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E06C13">
                    <w:rPr>
                      <w:rFonts w:ascii="Calibri" w:eastAsia="Times New Roman" w:hAnsi="Calibri" w:cs="Calibri"/>
                      <w:sz w:val="20"/>
                      <w:szCs w:val="20"/>
                    </w:rPr>
                    <w:t>0</w:t>
                  </w:r>
                  <w:r w:rsidRPr="00600064">
                    <w:rPr>
                      <w:rFonts w:ascii="Calibri" w:eastAsia="Times New Roman" w:hAnsi="Calibri" w:cs="Calibri"/>
                      <w:sz w:val="20"/>
                      <w:szCs w:val="20"/>
                    </w:rPr>
                    <w:t>.047)</w:t>
                  </w:r>
                </w:p>
                <w:p w14:paraId="31100E4B" w14:textId="501F664B" w:rsidR="00EF619D" w:rsidRPr="00600064" w:rsidRDefault="00EF619D" w:rsidP="00600064">
                  <w:pPr>
                    <w:widowControl w:val="0"/>
                    <w:autoSpaceDE w:val="0"/>
                    <w:autoSpaceDN w:val="0"/>
                    <w:adjustRightInd w:val="0"/>
                    <w:spacing w:after="0" w:line="276" w:lineRule="auto"/>
                    <w:jc w:val="center"/>
                    <w:rPr>
                      <w:rFonts w:ascii="Calibri" w:eastAsia="Times New Roman" w:hAnsi="Calibri" w:cs="Calibri"/>
                      <w:sz w:val="20"/>
                      <w:szCs w:val="20"/>
                    </w:rPr>
                  </w:pPr>
                </w:p>
              </w:tc>
              <w:tc>
                <w:tcPr>
                  <w:tcW w:w="894" w:type="pct"/>
                  <w:tcBorders>
                    <w:top w:val="nil"/>
                    <w:left w:val="nil"/>
                    <w:bottom w:val="nil"/>
                    <w:right w:val="nil"/>
                  </w:tcBorders>
                </w:tcPr>
                <w:p w14:paraId="402382D1" w14:textId="0BF88FBF" w:rsid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E06C13">
                    <w:rPr>
                      <w:rFonts w:ascii="Calibri" w:eastAsia="Times New Roman" w:hAnsi="Calibri" w:cs="Calibri"/>
                      <w:sz w:val="20"/>
                      <w:szCs w:val="20"/>
                    </w:rPr>
                    <w:t>0</w:t>
                  </w:r>
                  <w:r w:rsidRPr="00600064">
                    <w:rPr>
                      <w:rFonts w:ascii="Calibri" w:eastAsia="Times New Roman" w:hAnsi="Calibri" w:cs="Calibri"/>
                      <w:sz w:val="20"/>
                      <w:szCs w:val="20"/>
                    </w:rPr>
                    <w:t>.066)</w:t>
                  </w:r>
                </w:p>
                <w:p w14:paraId="79F9981B" w14:textId="77777777" w:rsidR="002C438B" w:rsidRDefault="002C438B"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1EB0F8F7" w14:textId="6F67D8D3" w:rsidR="00D72E44" w:rsidRDefault="00D72E44"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-0.00</w:t>
                  </w:r>
                  <w:r w:rsidR="00A42245">
                    <w:rPr>
                      <w:rFonts w:ascii="Calibri" w:eastAsia="Times New Roman" w:hAnsi="Calibri" w:cs="Calibri"/>
                      <w:sz w:val="20"/>
                      <w:szCs w:val="20"/>
                    </w:rPr>
                    <w:t>4</w:t>
                  </w:r>
                </w:p>
                <w:p w14:paraId="500115A2" w14:textId="7861214D" w:rsidR="00D72E44" w:rsidRPr="00600064" w:rsidRDefault="00D72E44"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w:t>
                  </w:r>
                  <w:r w:rsidR="00E06C13">
                    <w:rPr>
                      <w:rFonts w:ascii="Calibri" w:eastAsia="Times New Roman" w:hAnsi="Calibri" w:cs="Calibri"/>
                      <w:sz w:val="20"/>
                      <w:szCs w:val="20"/>
                    </w:rPr>
                    <w:t>0</w:t>
                  </w:r>
                  <w:r w:rsidR="003503F4" w:rsidRPr="003503F4">
                    <w:rPr>
                      <w:rFonts w:ascii="Calibri" w:eastAsia="Times New Roman" w:hAnsi="Calibri" w:cs="Calibri"/>
                      <w:sz w:val="20"/>
                      <w:szCs w:val="20"/>
                    </w:rPr>
                    <w:t>.007</w:t>
                  </w:r>
                  <w:r w:rsidR="009A37BD">
                    <w:rPr>
                      <w:rFonts w:ascii="Calibri" w:eastAsia="Times New Roman" w:hAnsi="Calibri" w:cs="Calibri"/>
                      <w:sz w:val="20"/>
                      <w:szCs w:val="20"/>
                    </w:rPr>
                    <w:t>)</w:t>
                  </w:r>
                </w:p>
              </w:tc>
              <w:tc>
                <w:tcPr>
                  <w:tcW w:w="894" w:type="pct"/>
                  <w:tcBorders>
                    <w:top w:val="nil"/>
                    <w:left w:val="nil"/>
                    <w:bottom w:val="nil"/>
                    <w:right w:val="nil"/>
                  </w:tcBorders>
                </w:tcPr>
                <w:p w14:paraId="54A7BF24" w14:textId="71612C05"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E06C13">
                    <w:rPr>
                      <w:rFonts w:ascii="Calibri" w:eastAsia="Times New Roman" w:hAnsi="Calibri" w:cs="Calibri"/>
                      <w:sz w:val="20"/>
                      <w:szCs w:val="20"/>
                    </w:rPr>
                    <w:t>0</w:t>
                  </w:r>
                  <w:r w:rsidRPr="00600064">
                    <w:rPr>
                      <w:rFonts w:ascii="Calibri" w:eastAsia="Times New Roman" w:hAnsi="Calibri" w:cs="Calibri"/>
                      <w:sz w:val="20"/>
                      <w:szCs w:val="20"/>
                    </w:rPr>
                    <w:t>.057)</w:t>
                  </w:r>
                </w:p>
              </w:tc>
              <w:tc>
                <w:tcPr>
                  <w:tcW w:w="904" w:type="pct"/>
                  <w:tcBorders>
                    <w:top w:val="nil"/>
                    <w:left w:val="nil"/>
                    <w:bottom w:val="nil"/>
                    <w:right w:val="nil"/>
                  </w:tcBorders>
                </w:tcPr>
                <w:p w14:paraId="7549187D" w14:textId="37E29EF3" w:rsid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w:t>
                  </w:r>
                  <w:r w:rsidR="00E06C13">
                    <w:rPr>
                      <w:rFonts w:ascii="Calibri" w:eastAsia="Times New Roman" w:hAnsi="Calibri" w:cs="Calibri"/>
                      <w:sz w:val="20"/>
                      <w:szCs w:val="20"/>
                    </w:rPr>
                    <w:t>0</w:t>
                  </w:r>
                  <w:r w:rsidRPr="00600064">
                    <w:rPr>
                      <w:rFonts w:ascii="Calibri" w:eastAsia="Times New Roman" w:hAnsi="Calibri" w:cs="Calibri"/>
                      <w:sz w:val="20"/>
                      <w:szCs w:val="20"/>
                    </w:rPr>
                    <w:t>.067)</w:t>
                  </w:r>
                </w:p>
                <w:p w14:paraId="6BE6256F" w14:textId="77777777" w:rsidR="002C438B" w:rsidRDefault="002C438B" w:rsidP="00600064">
                  <w:pPr>
                    <w:widowControl w:val="0"/>
                    <w:autoSpaceDE w:val="0"/>
                    <w:autoSpaceDN w:val="0"/>
                    <w:adjustRightInd w:val="0"/>
                    <w:spacing w:after="0" w:line="276" w:lineRule="auto"/>
                    <w:jc w:val="center"/>
                    <w:rPr>
                      <w:rFonts w:ascii="Calibri" w:eastAsia="Times New Roman" w:hAnsi="Calibri" w:cs="Calibri"/>
                      <w:sz w:val="20"/>
                      <w:szCs w:val="20"/>
                    </w:rPr>
                  </w:pPr>
                </w:p>
                <w:p w14:paraId="0662A3F5" w14:textId="133C7EEE" w:rsidR="00EF619D" w:rsidRDefault="002C438B"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-0.00</w:t>
                  </w:r>
                  <w:r w:rsidR="00914B48">
                    <w:rPr>
                      <w:rFonts w:ascii="Calibri" w:eastAsia="Times New Roman" w:hAnsi="Calibri" w:cs="Calibri"/>
                      <w:sz w:val="20"/>
                      <w:szCs w:val="20"/>
                    </w:rPr>
                    <w:t>1</w:t>
                  </w:r>
                </w:p>
                <w:p w14:paraId="425CB95F" w14:textId="41477BC9" w:rsidR="00C372AF" w:rsidRPr="00600064" w:rsidRDefault="00C372AF"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w:t>
                  </w:r>
                  <w:r w:rsidR="00E06C13">
                    <w:rPr>
                      <w:rFonts w:ascii="Calibri" w:eastAsia="Times New Roman" w:hAnsi="Calibri" w:cs="Calibri"/>
                      <w:sz w:val="20"/>
                      <w:szCs w:val="20"/>
                    </w:rPr>
                    <w:t>0</w:t>
                  </w:r>
                  <w:r w:rsidRPr="00C372AF">
                    <w:rPr>
                      <w:rFonts w:ascii="Calibri" w:eastAsia="Times New Roman" w:hAnsi="Calibri" w:cs="Calibri"/>
                      <w:sz w:val="20"/>
                      <w:szCs w:val="20"/>
                    </w:rPr>
                    <w:t>.007</w:t>
                  </w:r>
                  <w:r>
                    <w:rPr>
                      <w:rFonts w:ascii="Calibri" w:eastAsia="Times New Roman" w:hAnsi="Calibri" w:cs="Calibri"/>
                      <w:sz w:val="20"/>
                      <w:szCs w:val="20"/>
                    </w:rPr>
                    <w:t>)</w:t>
                  </w:r>
                </w:p>
              </w:tc>
            </w:tr>
            <w:tr w:rsidR="00275CDC" w:rsidRPr="00600064" w14:paraId="4F24E2A4" w14:textId="77777777" w:rsidTr="006E525D">
              <w:trPr>
                <w:trHeight w:val="285"/>
              </w:trPr>
              <w:tc>
                <w:tcPr>
                  <w:tcW w:w="1449" w:type="pct"/>
                  <w:tcBorders>
                    <w:top w:val="nil"/>
                    <w:left w:val="nil"/>
                    <w:bottom w:val="nil"/>
                    <w:right w:val="nil"/>
                  </w:tcBorders>
                </w:tcPr>
                <w:p w14:paraId="0D86A52B" w14:textId="77777777" w:rsidR="00600064" w:rsidRPr="00600064" w:rsidRDefault="00600064" w:rsidP="00600064">
                  <w:pPr>
                    <w:widowControl w:val="0"/>
                    <w:autoSpaceDE w:val="0"/>
                    <w:autoSpaceDN w:val="0"/>
                    <w:adjustRightInd w:val="0"/>
                    <w:spacing w:after="0" w:line="276" w:lineRule="auto"/>
                    <w:rPr>
                      <w:rFonts w:ascii="Calibri" w:eastAsia="Times New Roman" w:hAnsi="Calibri" w:cs="Calibri"/>
                      <w:b/>
                      <w:bCs/>
                      <w:sz w:val="20"/>
                      <w:szCs w:val="20"/>
                    </w:rPr>
                  </w:pPr>
                  <w:r w:rsidRPr="00600064">
                    <w:rPr>
                      <w:rFonts w:ascii="Calibri" w:eastAsia="Times New Roman" w:hAnsi="Calibri" w:cs="Calibri"/>
                      <w:sz w:val="20"/>
                      <w:szCs w:val="20"/>
                    </w:rPr>
                    <w:t xml:space="preserve"> </w:t>
                  </w:r>
                  <w:r w:rsidRPr="00600064">
                    <w:rPr>
                      <w:rFonts w:ascii="Calibri" w:eastAsia="Times New Roman" w:hAnsi="Calibri" w:cs="Calibri"/>
                      <w:b/>
                      <w:bCs/>
                      <w:sz w:val="20"/>
                      <w:szCs w:val="20"/>
                    </w:rPr>
                    <w:t>Constant</w:t>
                  </w:r>
                </w:p>
              </w:tc>
              <w:tc>
                <w:tcPr>
                  <w:tcW w:w="859" w:type="pct"/>
                  <w:tcBorders>
                    <w:top w:val="nil"/>
                    <w:left w:val="nil"/>
                    <w:bottom w:val="nil"/>
                    <w:right w:val="nil"/>
                  </w:tcBorders>
                </w:tcPr>
                <w:p w14:paraId="017B0CCF"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p>
              </w:tc>
              <w:tc>
                <w:tcPr>
                  <w:tcW w:w="894" w:type="pct"/>
                  <w:tcBorders>
                    <w:top w:val="nil"/>
                    <w:left w:val="nil"/>
                    <w:bottom w:val="nil"/>
                    <w:right w:val="nil"/>
                  </w:tcBorders>
                </w:tcPr>
                <w:p w14:paraId="68A71ECA"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p>
              </w:tc>
              <w:tc>
                <w:tcPr>
                  <w:tcW w:w="894" w:type="pct"/>
                  <w:tcBorders>
                    <w:top w:val="nil"/>
                    <w:left w:val="nil"/>
                    <w:bottom w:val="nil"/>
                    <w:right w:val="nil"/>
                  </w:tcBorders>
                </w:tcPr>
                <w:p w14:paraId="6E55110F"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p>
              </w:tc>
              <w:tc>
                <w:tcPr>
                  <w:tcW w:w="904" w:type="pct"/>
                  <w:tcBorders>
                    <w:top w:val="nil"/>
                    <w:left w:val="nil"/>
                    <w:bottom w:val="nil"/>
                    <w:right w:val="nil"/>
                  </w:tcBorders>
                </w:tcPr>
                <w:p w14:paraId="507C6469"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p>
              </w:tc>
            </w:tr>
            <w:tr w:rsidR="00275CDC" w:rsidRPr="00600064" w14:paraId="29F78B17" w14:textId="77777777" w:rsidTr="006E525D">
              <w:trPr>
                <w:trHeight w:val="88"/>
              </w:trPr>
              <w:tc>
                <w:tcPr>
                  <w:tcW w:w="1449" w:type="pct"/>
                  <w:tcBorders>
                    <w:top w:val="nil"/>
                    <w:left w:val="nil"/>
                    <w:bottom w:val="nil"/>
                    <w:right w:val="nil"/>
                  </w:tcBorders>
                </w:tcPr>
                <w:p w14:paraId="551786E4" w14:textId="0D957317" w:rsidR="00600064" w:rsidRP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Pr="00600064">
                    <w:rPr>
                      <w:rFonts w:ascii="Calibri" w:eastAsia="Times New Roman" w:hAnsi="Calibri" w:cs="Calibri"/>
                      <w:sz w:val="20"/>
                      <w:szCs w:val="20"/>
                    </w:rPr>
                    <w:t>β</w:t>
                  </w:r>
                </w:p>
              </w:tc>
              <w:tc>
                <w:tcPr>
                  <w:tcW w:w="859" w:type="pct"/>
                  <w:tcBorders>
                    <w:top w:val="nil"/>
                    <w:left w:val="nil"/>
                    <w:bottom w:val="nil"/>
                    <w:right w:val="nil"/>
                  </w:tcBorders>
                </w:tcPr>
                <w:p w14:paraId="029EC674"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1.854*</w:t>
                  </w:r>
                </w:p>
              </w:tc>
              <w:tc>
                <w:tcPr>
                  <w:tcW w:w="894" w:type="pct"/>
                  <w:tcBorders>
                    <w:top w:val="nil"/>
                    <w:left w:val="nil"/>
                    <w:bottom w:val="nil"/>
                    <w:right w:val="nil"/>
                  </w:tcBorders>
                </w:tcPr>
                <w:p w14:paraId="202FF9A7"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1.11</w:t>
                  </w:r>
                </w:p>
              </w:tc>
              <w:tc>
                <w:tcPr>
                  <w:tcW w:w="894" w:type="pct"/>
                  <w:tcBorders>
                    <w:top w:val="nil"/>
                    <w:left w:val="nil"/>
                    <w:bottom w:val="nil"/>
                    <w:right w:val="nil"/>
                  </w:tcBorders>
                </w:tcPr>
                <w:p w14:paraId="6B894745" w14:textId="51261444" w:rsidR="00600064" w:rsidRPr="00600064" w:rsidRDefault="00296288" w:rsidP="0060006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.75</w:t>
                  </w:r>
                </w:p>
              </w:tc>
              <w:tc>
                <w:tcPr>
                  <w:tcW w:w="904" w:type="pct"/>
                  <w:tcBorders>
                    <w:top w:val="nil"/>
                    <w:left w:val="nil"/>
                    <w:bottom w:val="nil"/>
                    <w:right w:val="nil"/>
                  </w:tcBorders>
                </w:tcPr>
                <w:p w14:paraId="0C801D7A"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-1.742</w:t>
                  </w:r>
                </w:p>
              </w:tc>
            </w:tr>
            <w:tr w:rsidR="00275CDC" w:rsidRPr="00600064" w14:paraId="605DC3AE" w14:textId="77777777" w:rsidTr="006E525D">
              <w:trPr>
                <w:trHeight w:val="338"/>
              </w:trPr>
              <w:tc>
                <w:tcPr>
                  <w:tcW w:w="1449" w:type="pct"/>
                  <w:tcBorders>
                    <w:top w:val="nil"/>
                    <w:left w:val="nil"/>
                    <w:bottom w:val="single" w:sz="4" w:space="0" w:color="auto"/>
                    <w:right w:val="nil"/>
                  </w:tcBorders>
                </w:tcPr>
                <w:p w14:paraId="189FCCEC" w14:textId="396CE7F6" w:rsidR="00600064" w:rsidRPr="00600064" w:rsidRDefault="00600064" w:rsidP="00600064">
                  <w:pPr>
                    <w:widowControl w:val="0"/>
                    <w:autoSpaceDE w:val="0"/>
                    <w:autoSpaceDN w:val="0"/>
                    <w:adjustRightInd w:val="0"/>
                    <w:spacing w:after="0" w:line="276" w:lineRule="auto"/>
                    <w:rPr>
                      <w:rFonts w:ascii="Calibri" w:eastAsia="Times New Roman" w:hAnsi="Calibri" w:cs="Calibri"/>
                      <w:sz w:val="20"/>
                      <w:szCs w:val="20"/>
                    </w:rPr>
                  </w:pPr>
                  <w:r w:rsidRPr="00600064">
                    <w:rPr>
                      <w:rFonts w:ascii="Calibri" w:eastAsia="Times New Roman" w:hAnsi="Calibri" w:cs="Calibri"/>
                      <w:sz w:val="20"/>
                      <w:szCs w:val="20"/>
                    </w:rPr>
                    <w:t xml:space="preserve">                  </w:t>
                  </w:r>
                  <w:r w:rsidR="00905A5F">
                    <w:rPr>
                      <w:rFonts w:ascii="Calibri" w:eastAsia="Times New Roman" w:hAnsi="Calibri" w:cs="Calibri"/>
                      <w:sz w:val="20"/>
                      <w:szCs w:val="20"/>
                    </w:rPr>
                    <w:t xml:space="preserve">                 </w:t>
                  </w:r>
                  <w:r w:rsidRPr="00600064">
                    <w:rPr>
                      <w:rFonts w:ascii="Calibri" w:eastAsia="Times New Roman" w:hAnsi="Calibri" w:cs="Calibri"/>
                      <w:sz w:val="20"/>
                      <w:szCs w:val="20"/>
                    </w:rPr>
                    <w:t xml:space="preserve"> se</w:t>
                  </w:r>
                </w:p>
              </w:tc>
              <w:tc>
                <w:tcPr>
                  <w:tcW w:w="859" w:type="pct"/>
                  <w:tcBorders>
                    <w:top w:val="nil"/>
                    <w:left w:val="nil"/>
                    <w:bottom w:val="single" w:sz="4" w:space="0" w:color="auto"/>
                    <w:right w:val="nil"/>
                  </w:tcBorders>
                </w:tcPr>
                <w:p w14:paraId="45852BDD"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(1.024)</w:t>
                  </w:r>
                </w:p>
              </w:tc>
              <w:tc>
                <w:tcPr>
                  <w:tcW w:w="894" w:type="pct"/>
                  <w:tcBorders>
                    <w:top w:val="nil"/>
                    <w:left w:val="nil"/>
                    <w:bottom w:val="single" w:sz="4" w:space="0" w:color="auto"/>
                    <w:right w:val="nil"/>
                  </w:tcBorders>
                </w:tcPr>
                <w:p w14:paraId="20F0849E"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(1.796)</w:t>
                  </w:r>
                </w:p>
              </w:tc>
              <w:tc>
                <w:tcPr>
                  <w:tcW w:w="894" w:type="pct"/>
                  <w:tcBorders>
                    <w:top w:val="nil"/>
                    <w:left w:val="nil"/>
                    <w:bottom w:val="single" w:sz="4" w:space="0" w:color="auto"/>
                    <w:right w:val="nil"/>
                  </w:tcBorders>
                </w:tcPr>
                <w:p w14:paraId="461C783E"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(1.125)</w:t>
                  </w:r>
                </w:p>
              </w:tc>
              <w:tc>
                <w:tcPr>
                  <w:tcW w:w="904" w:type="pct"/>
                  <w:tcBorders>
                    <w:top w:val="nil"/>
                    <w:left w:val="nil"/>
                    <w:bottom w:val="single" w:sz="4" w:space="0" w:color="auto"/>
                    <w:right w:val="nil"/>
                  </w:tcBorders>
                </w:tcPr>
                <w:p w14:paraId="4D3DAA01"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(1.393)</w:t>
                  </w:r>
                </w:p>
                <w:p w14:paraId="51AFCD24"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p>
              </w:tc>
            </w:tr>
            <w:tr w:rsidR="00275CDC" w:rsidRPr="00600064" w14:paraId="0739C673" w14:textId="77777777" w:rsidTr="006E525D">
              <w:trPr>
                <w:trHeight w:val="299"/>
              </w:trPr>
              <w:tc>
                <w:tcPr>
                  <w:tcW w:w="1449" w:type="pct"/>
                  <w:tcBorders>
                    <w:top w:val="single" w:sz="4" w:space="0" w:color="auto"/>
                    <w:left w:val="nil"/>
                    <w:bottom w:val="nil"/>
                    <w:right w:val="nil"/>
                  </w:tcBorders>
                </w:tcPr>
                <w:p w14:paraId="0828CFBE" w14:textId="77777777" w:rsidR="00600064" w:rsidRPr="00600064" w:rsidRDefault="00600064" w:rsidP="00600064">
                  <w:pPr>
                    <w:widowControl w:val="0"/>
                    <w:autoSpaceDE w:val="0"/>
                    <w:autoSpaceDN w:val="0"/>
                    <w:adjustRightInd w:val="0"/>
                    <w:spacing w:after="0" w:line="276" w:lineRule="auto"/>
                    <w:rPr>
                      <w:rFonts w:ascii="Calibri" w:eastAsia="Times New Roman" w:hAnsi="Calibri" w:cs="Calibri"/>
                      <w:b/>
                      <w:bCs/>
                      <w:sz w:val="20"/>
                      <w:szCs w:val="20"/>
                    </w:rPr>
                  </w:pPr>
                  <w:r w:rsidRPr="00600064">
                    <w:rPr>
                      <w:rFonts w:ascii="Calibri" w:eastAsia="Times New Roman" w:hAnsi="Calibri" w:cs="Calibri"/>
                      <w:b/>
                      <w:bCs/>
                      <w:sz w:val="20"/>
                      <w:szCs w:val="20"/>
                    </w:rPr>
                    <w:t xml:space="preserve"> Observations</w:t>
                  </w:r>
                </w:p>
              </w:tc>
              <w:tc>
                <w:tcPr>
                  <w:tcW w:w="859" w:type="pct"/>
                  <w:tcBorders>
                    <w:top w:val="single" w:sz="4" w:space="0" w:color="auto"/>
                    <w:left w:val="nil"/>
                    <w:bottom w:val="nil"/>
                    <w:right w:val="nil"/>
                  </w:tcBorders>
                </w:tcPr>
                <w:p w14:paraId="20B66439"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3943</w:t>
                  </w:r>
                </w:p>
              </w:tc>
              <w:tc>
                <w:tcPr>
                  <w:tcW w:w="894" w:type="pct"/>
                  <w:tcBorders>
                    <w:top w:val="single" w:sz="4" w:space="0" w:color="auto"/>
                    <w:left w:val="nil"/>
                    <w:bottom w:val="nil"/>
                    <w:right w:val="nil"/>
                  </w:tcBorders>
                </w:tcPr>
                <w:p w14:paraId="102F9B07"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1767</w:t>
                  </w:r>
                </w:p>
              </w:tc>
              <w:tc>
                <w:tcPr>
                  <w:tcW w:w="894" w:type="pct"/>
                  <w:tcBorders>
                    <w:top w:val="single" w:sz="4" w:space="0" w:color="auto"/>
                    <w:left w:val="nil"/>
                    <w:bottom w:val="nil"/>
                    <w:right w:val="nil"/>
                  </w:tcBorders>
                </w:tcPr>
                <w:p w14:paraId="0D5B177D"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3943</w:t>
                  </w:r>
                </w:p>
              </w:tc>
              <w:tc>
                <w:tcPr>
                  <w:tcW w:w="904" w:type="pct"/>
                  <w:tcBorders>
                    <w:top w:val="single" w:sz="4" w:space="0" w:color="auto"/>
                    <w:left w:val="nil"/>
                    <w:bottom w:val="nil"/>
                    <w:right w:val="nil"/>
                  </w:tcBorders>
                </w:tcPr>
                <w:p w14:paraId="7AA0D5DF" w14:textId="77777777" w:rsidR="00600064" w:rsidRPr="00600064" w:rsidRDefault="00600064" w:rsidP="00600064">
                  <w:pPr>
                    <w:widowControl w:val="0"/>
                    <w:autoSpaceDE w:val="0"/>
                    <w:autoSpaceDN w:val="0"/>
                    <w:adjustRightInd w:val="0"/>
                    <w:spacing w:after="0" w:line="276" w:lineRule="auto"/>
                    <w:jc w:val="center"/>
                    <w:rPr>
                      <w:rFonts w:ascii="Calibri" w:eastAsia="Times New Roman" w:hAnsi="Calibri" w:cs="Calibri"/>
                      <w:sz w:val="20"/>
                      <w:szCs w:val="20"/>
                    </w:rPr>
                  </w:pPr>
                  <w:r w:rsidRPr="00600064">
                    <w:rPr>
                      <w:rFonts w:ascii="Calibri" w:eastAsia="Times New Roman" w:hAnsi="Calibri" w:cs="Calibri"/>
                      <w:sz w:val="20"/>
                      <w:szCs w:val="20"/>
                    </w:rPr>
                    <w:t>1767</w:t>
                  </w:r>
                </w:p>
              </w:tc>
            </w:tr>
            <w:tr w:rsidR="00275CDC" w:rsidRPr="00600064" w14:paraId="3CCCCD6D" w14:textId="77777777" w:rsidTr="006E525D">
              <w:trPr>
                <w:trHeight w:val="297"/>
              </w:trPr>
              <w:tc>
                <w:tcPr>
                  <w:tcW w:w="1449" w:type="pct"/>
                  <w:tcBorders>
                    <w:top w:val="nil"/>
                    <w:left w:val="nil"/>
                    <w:bottom w:val="nil"/>
                    <w:right w:val="nil"/>
                  </w:tcBorders>
                </w:tcPr>
                <w:p w14:paraId="4E7ED5C2" w14:textId="6B44D937" w:rsidR="00F8339A" w:rsidRPr="00600064" w:rsidRDefault="00600064" w:rsidP="00600064">
                  <w:pPr>
                    <w:widowControl w:val="0"/>
                    <w:autoSpaceDE w:val="0"/>
                    <w:autoSpaceDN w:val="0"/>
                    <w:adjustRightInd w:val="0"/>
                    <w:spacing w:after="0" w:line="276" w:lineRule="auto"/>
                    <w:rPr>
                      <w:rFonts w:ascii="Calibri" w:eastAsia="Times New Roman" w:hAnsi="Calibri" w:cs="Calibri"/>
                      <w:b/>
                      <w:bCs/>
                      <w:sz w:val="20"/>
                      <w:szCs w:val="20"/>
                    </w:rPr>
                  </w:pPr>
                  <w:r w:rsidRPr="00600064">
                    <w:rPr>
                      <w:rFonts w:ascii="Calibri" w:eastAsia="Times New Roman" w:hAnsi="Calibri" w:cs="Calibri"/>
                      <w:b/>
                      <w:bCs/>
                      <w:sz w:val="20"/>
                      <w:szCs w:val="20"/>
                    </w:rPr>
                    <w:t xml:space="preserve"> R-squared</w:t>
                  </w:r>
                </w:p>
              </w:tc>
              <w:tc>
                <w:tcPr>
                  <w:tcW w:w="859" w:type="pct"/>
                  <w:tcBorders>
                    <w:top w:val="nil"/>
                    <w:left w:val="nil"/>
                    <w:bottom w:val="nil"/>
                    <w:right w:val="nil"/>
                  </w:tcBorders>
                </w:tcPr>
                <w:p w14:paraId="72DB6537" w14:textId="2B3A941B" w:rsidR="00F8339A" w:rsidRPr="00600064" w:rsidRDefault="007D5B88"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.547</w:t>
                  </w:r>
                </w:p>
              </w:tc>
              <w:tc>
                <w:tcPr>
                  <w:tcW w:w="894" w:type="pct"/>
                  <w:tcBorders>
                    <w:top w:val="nil"/>
                    <w:left w:val="nil"/>
                    <w:bottom w:val="nil"/>
                    <w:right w:val="nil"/>
                  </w:tcBorders>
                </w:tcPr>
                <w:p w14:paraId="65C6E4D7" w14:textId="6A3F2D38" w:rsidR="00F8339A" w:rsidRPr="00600064" w:rsidRDefault="007D5B88"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.557</w:t>
                  </w:r>
                </w:p>
              </w:tc>
              <w:tc>
                <w:tcPr>
                  <w:tcW w:w="894" w:type="pct"/>
                  <w:tcBorders>
                    <w:top w:val="nil"/>
                    <w:left w:val="nil"/>
                    <w:bottom w:val="nil"/>
                    <w:right w:val="nil"/>
                  </w:tcBorders>
                </w:tcPr>
                <w:p w14:paraId="1A4601AC" w14:textId="5D6774EA" w:rsidR="00F8339A" w:rsidRPr="00600064" w:rsidRDefault="007D5B88"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.56</w:t>
                  </w:r>
                </w:p>
              </w:tc>
              <w:tc>
                <w:tcPr>
                  <w:tcW w:w="904" w:type="pct"/>
                  <w:tcBorders>
                    <w:top w:val="nil"/>
                    <w:left w:val="nil"/>
                    <w:bottom w:val="nil"/>
                    <w:right w:val="nil"/>
                  </w:tcBorders>
                </w:tcPr>
                <w:p w14:paraId="0ABAD6BD" w14:textId="6ED92AD8" w:rsidR="00F8339A" w:rsidRPr="00600064" w:rsidRDefault="007D5B88"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0</w:t>
                  </w:r>
                  <w:r w:rsidR="00600064" w:rsidRPr="00600064">
                    <w:rPr>
                      <w:rFonts w:ascii="Calibri" w:eastAsia="Times New Roman" w:hAnsi="Calibri" w:cs="Calibri"/>
                      <w:sz w:val="20"/>
                      <w:szCs w:val="20"/>
                    </w:rPr>
                    <w:t>.594</w:t>
                  </w:r>
                </w:p>
              </w:tc>
            </w:tr>
            <w:tr w:rsidR="00485124" w:rsidRPr="00600064" w14:paraId="35C0AA9F" w14:textId="77777777" w:rsidTr="006E525D">
              <w:trPr>
                <w:trHeight w:val="297"/>
              </w:trPr>
              <w:tc>
                <w:tcPr>
                  <w:tcW w:w="1449" w:type="pct"/>
                  <w:tcBorders>
                    <w:top w:val="nil"/>
                    <w:left w:val="nil"/>
                    <w:bottom w:val="nil"/>
                    <w:right w:val="nil"/>
                  </w:tcBorders>
                </w:tcPr>
                <w:p w14:paraId="3477C700" w14:textId="0178E0BA" w:rsidR="00485124" w:rsidRPr="00600064" w:rsidRDefault="00485124" w:rsidP="00600064">
                  <w:pPr>
                    <w:widowControl w:val="0"/>
                    <w:autoSpaceDE w:val="0"/>
                    <w:autoSpaceDN w:val="0"/>
                    <w:adjustRightInd w:val="0"/>
                    <w:spacing w:after="0" w:line="276" w:lineRule="auto"/>
                    <w:rPr>
                      <w:rFonts w:ascii="Calibri" w:eastAsia="Times New Roman" w:hAnsi="Calibri" w:cs="Calibri"/>
                      <w:b/>
                      <w:bCs/>
                      <w:sz w:val="20"/>
                      <w:szCs w:val="20"/>
                    </w:rPr>
                  </w:pPr>
                  <w:r>
                    <w:rPr>
                      <w:rFonts w:ascii="Calibri" w:eastAsia="Times New Roman" w:hAnsi="Calibri" w:cs="Calibri"/>
                      <w:b/>
                      <w:bCs/>
                      <w:sz w:val="20"/>
                      <w:szCs w:val="20"/>
                    </w:rPr>
                    <w:t xml:space="preserve"> GDP</w:t>
                  </w:r>
                </w:p>
              </w:tc>
              <w:tc>
                <w:tcPr>
                  <w:tcW w:w="859" w:type="pct"/>
                  <w:tcBorders>
                    <w:top w:val="nil"/>
                    <w:left w:val="nil"/>
                    <w:bottom w:val="nil"/>
                    <w:right w:val="nil"/>
                  </w:tcBorders>
                </w:tcPr>
                <w:p w14:paraId="721A1E78" w14:textId="028CF48E"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894" w:type="pct"/>
                  <w:tcBorders>
                    <w:top w:val="nil"/>
                    <w:left w:val="nil"/>
                    <w:bottom w:val="nil"/>
                    <w:right w:val="nil"/>
                  </w:tcBorders>
                </w:tcPr>
                <w:p w14:paraId="6F0FC8C4" w14:textId="0C59308D"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894" w:type="pct"/>
                  <w:tcBorders>
                    <w:top w:val="nil"/>
                    <w:left w:val="nil"/>
                    <w:bottom w:val="nil"/>
                    <w:right w:val="nil"/>
                  </w:tcBorders>
                </w:tcPr>
                <w:p w14:paraId="4B960C0D" w14:textId="571B304B"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904" w:type="pct"/>
                  <w:tcBorders>
                    <w:top w:val="nil"/>
                    <w:left w:val="nil"/>
                    <w:bottom w:val="nil"/>
                    <w:right w:val="nil"/>
                  </w:tcBorders>
                </w:tcPr>
                <w:p w14:paraId="56592A82" w14:textId="580F18D1"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485124" w:rsidRPr="00600064" w14:paraId="543114F2" w14:textId="77777777" w:rsidTr="006E525D">
              <w:trPr>
                <w:trHeight w:val="297"/>
              </w:trPr>
              <w:tc>
                <w:tcPr>
                  <w:tcW w:w="1449" w:type="pct"/>
                  <w:tcBorders>
                    <w:top w:val="nil"/>
                    <w:left w:val="nil"/>
                    <w:bottom w:val="nil"/>
                    <w:right w:val="nil"/>
                  </w:tcBorders>
                </w:tcPr>
                <w:p w14:paraId="022EFAA8" w14:textId="20D10A04" w:rsidR="00485124" w:rsidRDefault="00485124" w:rsidP="00600064">
                  <w:pPr>
                    <w:widowControl w:val="0"/>
                    <w:autoSpaceDE w:val="0"/>
                    <w:autoSpaceDN w:val="0"/>
                    <w:adjustRightInd w:val="0"/>
                    <w:spacing w:after="0" w:line="276" w:lineRule="auto"/>
                    <w:rPr>
                      <w:rFonts w:ascii="Calibri" w:eastAsia="Times New Roman" w:hAnsi="Calibri" w:cs="Calibri"/>
                      <w:b/>
                      <w:bCs/>
                      <w:sz w:val="20"/>
                      <w:szCs w:val="20"/>
                    </w:rPr>
                  </w:pPr>
                  <w:r>
                    <w:rPr>
                      <w:rFonts w:ascii="Calibri" w:eastAsia="Times New Roman" w:hAnsi="Calibri" w:cs="Calibri"/>
                      <w:b/>
                      <w:bCs/>
                      <w:sz w:val="20"/>
                      <w:szCs w:val="20"/>
                    </w:rPr>
                    <w:t xml:space="preserve"> Time-variant state effect</w:t>
                  </w:r>
                </w:p>
              </w:tc>
              <w:tc>
                <w:tcPr>
                  <w:tcW w:w="859" w:type="pct"/>
                  <w:tcBorders>
                    <w:top w:val="nil"/>
                    <w:left w:val="nil"/>
                    <w:bottom w:val="nil"/>
                    <w:right w:val="nil"/>
                  </w:tcBorders>
                </w:tcPr>
                <w:p w14:paraId="5F52BFD8" w14:textId="7870BF61"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894" w:type="pct"/>
                  <w:tcBorders>
                    <w:top w:val="nil"/>
                    <w:left w:val="nil"/>
                    <w:bottom w:val="nil"/>
                    <w:right w:val="nil"/>
                  </w:tcBorders>
                </w:tcPr>
                <w:p w14:paraId="04969FE2" w14:textId="559C43CC"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894" w:type="pct"/>
                  <w:tcBorders>
                    <w:top w:val="nil"/>
                    <w:left w:val="nil"/>
                    <w:bottom w:val="nil"/>
                    <w:right w:val="nil"/>
                  </w:tcBorders>
                </w:tcPr>
                <w:p w14:paraId="2180667D" w14:textId="2EDC344A"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904" w:type="pct"/>
                  <w:tcBorders>
                    <w:top w:val="nil"/>
                    <w:left w:val="nil"/>
                    <w:bottom w:val="nil"/>
                    <w:right w:val="nil"/>
                  </w:tcBorders>
                </w:tcPr>
                <w:p w14:paraId="55E88487" w14:textId="635A186D" w:rsidR="00485124" w:rsidRDefault="00485124" w:rsidP="00485124">
                  <w:pPr>
                    <w:widowControl w:val="0"/>
                    <w:autoSpaceDE w:val="0"/>
                    <w:autoSpaceDN w:val="0"/>
                    <w:adjustRightInd w:val="0"/>
                    <w:spacing w:after="0" w:line="276"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600064" w:rsidRPr="00600064" w14:paraId="2A79F55E" w14:textId="77777777" w:rsidTr="006E525D">
              <w:trPr>
                <w:trHeight w:val="285"/>
              </w:trPr>
              <w:tc>
                <w:tcPr>
                  <w:tcW w:w="5000" w:type="pct"/>
                  <w:gridSpan w:val="5"/>
                  <w:tcBorders>
                    <w:top w:val="single" w:sz="6" w:space="0" w:color="auto"/>
                    <w:left w:val="nil"/>
                    <w:bottom w:val="nil"/>
                    <w:right w:val="nil"/>
                  </w:tcBorders>
                </w:tcPr>
                <w:p w14:paraId="0F5AD3BF" w14:textId="0E27D598" w:rsidR="00600064" w:rsidRPr="00600064" w:rsidRDefault="00940722" w:rsidP="00600064">
                  <w:pPr>
                    <w:widowControl w:val="0"/>
                    <w:autoSpaceDE w:val="0"/>
                    <w:autoSpaceDN w:val="0"/>
                    <w:adjustRightInd w:val="0"/>
                    <w:spacing w:after="0" w:line="240" w:lineRule="auto"/>
                    <w:rPr>
                      <w:rFonts w:ascii="Calibri" w:eastAsia="Times New Roman" w:hAnsi="Calibri" w:cs="Calibri"/>
                      <w:i/>
                      <w:iCs/>
                      <w:sz w:val="20"/>
                      <w:szCs w:val="20"/>
                    </w:rPr>
                  </w:pPr>
                  <w:r>
                    <w:rPr>
                      <w:rFonts w:ascii="Calibri" w:eastAsia="Times New Roman" w:hAnsi="Calibri" w:cs="Calibri"/>
                      <w:i/>
                      <w:iCs/>
                      <w:sz w:val="20"/>
                      <w:szCs w:val="20"/>
                    </w:rPr>
                    <w:t>Clustered</w:t>
                  </w:r>
                  <w:r w:rsidR="00600064" w:rsidRPr="00600064">
                    <w:rPr>
                      <w:rFonts w:ascii="Calibri" w:eastAsia="Times New Roman" w:hAnsi="Calibri" w:cs="Calibri"/>
                      <w:i/>
                      <w:iCs/>
                      <w:sz w:val="20"/>
                      <w:szCs w:val="20"/>
                    </w:rPr>
                    <w:t xml:space="preserve"> standard errors are in parentheses</w:t>
                  </w:r>
                  <w:r w:rsidR="00BA39FD">
                    <w:rPr>
                      <w:rFonts w:ascii="Calibri" w:eastAsia="Times New Roman" w:hAnsi="Calibri" w:cs="Calibri"/>
                      <w:i/>
                      <w:iCs/>
                      <w:sz w:val="20"/>
                      <w:szCs w:val="20"/>
                    </w:rPr>
                    <w:t>. Indicator variables omitted in the</w:t>
                  </w:r>
                  <w:r w:rsidR="005F2AD6">
                    <w:rPr>
                      <w:rFonts w:ascii="Calibri" w:eastAsia="Times New Roman" w:hAnsi="Calibri" w:cs="Calibri"/>
                      <w:i/>
                      <w:iCs/>
                      <w:sz w:val="20"/>
                      <w:szCs w:val="20"/>
                    </w:rPr>
                    <w:t xml:space="preserve"> output table.</w:t>
                  </w:r>
                </w:p>
              </w:tc>
            </w:tr>
            <w:tr w:rsidR="00600064" w:rsidRPr="00600064" w14:paraId="217412F5" w14:textId="77777777" w:rsidTr="006E525D">
              <w:trPr>
                <w:trHeight w:val="299"/>
              </w:trPr>
              <w:tc>
                <w:tcPr>
                  <w:tcW w:w="5000" w:type="pct"/>
                  <w:gridSpan w:val="5"/>
                  <w:tcBorders>
                    <w:top w:val="nil"/>
                    <w:left w:val="nil"/>
                    <w:bottom w:val="nil"/>
                    <w:right w:val="nil"/>
                  </w:tcBorders>
                </w:tcPr>
                <w:p w14:paraId="23C6ECB8" w14:textId="65B35B93" w:rsidR="002B24A0" w:rsidRPr="00600064" w:rsidRDefault="00600064" w:rsidP="00600064">
                  <w:pPr>
                    <w:widowControl w:val="0"/>
                    <w:autoSpaceDE w:val="0"/>
                    <w:autoSpaceDN w:val="0"/>
                    <w:adjustRightInd w:val="0"/>
                    <w:spacing w:after="0" w:line="240" w:lineRule="auto"/>
                    <w:rPr>
                      <w:rFonts w:ascii="Calibri" w:eastAsia="Times New Roman" w:hAnsi="Calibri" w:cs="Calibri"/>
                      <w:i/>
                      <w:iCs/>
                      <w:sz w:val="20"/>
                      <w:szCs w:val="20"/>
                    </w:rPr>
                  </w:pPr>
                  <w:r w:rsidRPr="00600064">
                    <w:rPr>
                      <w:rFonts w:ascii="Calibri" w:eastAsia="Times New Roman" w:hAnsi="Calibri" w:cs="Calibri"/>
                      <w:i/>
                      <w:iCs/>
                      <w:sz w:val="20"/>
                      <w:szCs w:val="20"/>
                    </w:rPr>
                    <w:t xml:space="preserve">*** p&lt;.01, ** p&lt;.05, * p&lt;.1 </w:t>
                  </w:r>
                  <w:r w:rsidR="00E10156">
                    <w:rPr>
                      <w:rFonts w:ascii="Calibri" w:eastAsia="Times New Roman" w:hAnsi="Calibri" w:cs="Calibri"/>
                      <w:i/>
                      <w:iCs/>
                      <w:sz w:val="20"/>
                      <w:szCs w:val="20"/>
                    </w:rPr>
                    <w:t xml:space="preserve"> </w:t>
                  </w:r>
                </w:p>
              </w:tc>
            </w:tr>
            <w:bookmarkEnd w:id="31"/>
          </w:tbl>
          <w:p w14:paraId="42071119" w14:textId="77777777" w:rsidR="00DC695A" w:rsidRPr="00DC695A" w:rsidRDefault="00DC695A" w:rsidP="003D13BA">
            <w:pPr>
              <w:rPr>
                <w:rFonts w:ascii="Garamond" w:eastAsia="Times New Roman" w:hAnsi="Garamond" w:cs="Times New Roman"/>
                <w:sz w:val="20"/>
                <w:szCs w:val="20"/>
              </w:rPr>
            </w:pPr>
          </w:p>
        </w:tc>
      </w:tr>
    </w:tbl>
    <w:p w14:paraId="1EE62102" w14:textId="36AB3223" w:rsidR="00D72E44" w:rsidRDefault="00D72E44" w:rsidP="00DC695A">
      <w:pPr>
        <w:spacing w:line="480" w:lineRule="auto"/>
        <w:rPr>
          <w:sz w:val="24"/>
          <w:szCs w:val="24"/>
        </w:rPr>
      </w:pPr>
    </w:p>
    <w:p w14:paraId="7D52053C" w14:textId="0C0BAB99" w:rsidR="0086723C" w:rsidRDefault="00C373B4" w:rsidP="0086723C">
      <w:pPr>
        <w:spacing w:line="480" w:lineRule="auto"/>
        <w:ind w:firstLine="360"/>
        <w:rPr>
          <w:sz w:val="24"/>
          <w:szCs w:val="24"/>
        </w:rPr>
      </w:pPr>
      <w:r>
        <w:rPr>
          <w:sz w:val="24"/>
          <w:szCs w:val="24"/>
        </w:rPr>
        <w:t xml:space="preserve">For </w:t>
      </w:r>
      <w:r w:rsidR="00F10832">
        <w:rPr>
          <w:sz w:val="24"/>
          <w:szCs w:val="24"/>
        </w:rPr>
        <w:t>model</w:t>
      </w:r>
      <w:r w:rsidR="00F8219F">
        <w:rPr>
          <w:sz w:val="24"/>
          <w:szCs w:val="24"/>
        </w:rPr>
        <w:t xml:space="preserve"> </w:t>
      </w:r>
      <w:r w:rsidR="00F502C4">
        <w:rPr>
          <w:sz w:val="24"/>
          <w:szCs w:val="24"/>
        </w:rPr>
        <w:t>1</w:t>
      </w:r>
      <w:r w:rsidR="007A3E7D">
        <w:rPr>
          <w:sz w:val="24"/>
          <w:szCs w:val="24"/>
        </w:rPr>
        <w:t xml:space="preserve">, </w:t>
      </w:r>
      <w:r w:rsidR="00F8219F">
        <w:rPr>
          <w:sz w:val="24"/>
          <w:szCs w:val="24"/>
        </w:rPr>
        <w:t xml:space="preserve">which </w:t>
      </w:r>
      <w:r w:rsidR="007A3E7D">
        <w:rPr>
          <w:sz w:val="24"/>
          <w:szCs w:val="24"/>
        </w:rPr>
        <w:t xml:space="preserve">only </w:t>
      </w:r>
      <w:r w:rsidR="00F8219F">
        <w:rPr>
          <w:sz w:val="24"/>
          <w:szCs w:val="24"/>
        </w:rPr>
        <w:t>includes</w:t>
      </w:r>
      <w:r w:rsidR="0036364E">
        <w:rPr>
          <w:sz w:val="24"/>
          <w:szCs w:val="24"/>
        </w:rPr>
        <w:t xml:space="preserve"> controls for unemployment</w:t>
      </w:r>
      <w:r w:rsidR="002A3A61">
        <w:rPr>
          <w:sz w:val="24"/>
          <w:szCs w:val="24"/>
        </w:rPr>
        <w:t>, year,</w:t>
      </w:r>
      <w:r>
        <w:rPr>
          <w:sz w:val="24"/>
          <w:szCs w:val="24"/>
        </w:rPr>
        <w:t xml:space="preserve"> and</w:t>
      </w:r>
      <w:r w:rsidR="007A3E7D">
        <w:rPr>
          <w:sz w:val="24"/>
          <w:szCs w:val="24"/>
        </w:rPr>
        <w:t xml:space="preserve"> </w:t>
      </w:r>
      <w:r w:rsidR="002A3A61">
        <w:rPr>
          <w:sz w:val="24"/>
          <w:szCs w:val="24"/>
        </w:rPr>
        <w:t>state</w:t>
      </w:r>
      <w:r w:rsidR="007A3E7D">
        <w:rPr>
          <w:sz w:val="24"/>
          <w:szCs w:val="24"/>
        </w:rPr>
        <w:t xml:space="preserve"> fixed effects</w:t>
      </w:r>
      <w:r w:rsidR="00DD5F00">
        <w:rPr>
          <w:sz w:val="24"/>
          <w:szCs w:val="24"/>
        </w:rPr>
        <w:t>,</w:t>
      </w:r>
      <w:r w:rsidR="007A3E7D">
        <w:rPr>
          <w:sz w:val="24"/>
          <w:szCs w:val="24"/>
        </w:rPr>
        <w:t xml:space="preserve"> </w:t>
      </w:r>
      <w:r w:rsidR="00DD5F00">
        <w:rPr>
          <w:sz w:val="24"/>
          <w:szCs w:val="24"/>
        </w:rPr>
        <w:t xml:space="preserve">the </w:t>
      </w:r>
      <w:r w:rsidR="008F2E2C">
        <w:rPr>
          <w:sz w:val="24"/>
          <w:szCs w:val="24"/>
        </w:rPr>
        <w:t xml:space="preserve">minimum wage semi-elasticity of inflation </w:t>
      </w:r>
      <w:r w:rsidR="003D3429">
        <w:rPr>
          <w:sz w:val="24"/>
          <w:szCs w:val="24"/>
        </w:rPr>
        <w:t>is estimated to be 0.0</w:t>
      </w:r>
      <w:r w:rsidR="00C5576E">
        <w:rPr>
          <w:sz w:val="24"/>
          <w:szCs w:val="24"/>
        </w:rPr>
        <w:t>431</w:t>
      </w:r>
      <w:r w:rsidR="002E1B5D">
        <w:rPr>
          <w:sz w:val="24"/>
          <w:szCs w:val="24"/>
        </w:rPr>
        <w:t xml:space="preserve"> </w:t>
      </w:r>
      <w:r w:rsidR="008F2E2C">
        <w:rPr>
          <w:sz w:val="24"/>
          <w:szCs w:val="24"/>
        </w:rPr>
        <w:t>and</w:t>
      </w:r>
      <w:r w:rsidR="002E1B5D">
        <w:rPr>
          <w:sz w:val="24"/>
          <w:szCs w:val="24"/>
        </w:rPr>
        <w:t xml:space="preserve"> </w:t>
      </w:r>
      <w:r w:rsidR="00F04ECF">
        <w:rPr>
          <w:sz w:val="24"/>
          <w:szCs w:val="24"/>
        </w:rPr>
        <w:t xml:space="preserve">is </w:t>
      </w:r>
      <w:r w:rsidR="003D3429">
        <w:rPr>
          <w:sz w:val="24"/>
          <w:szCs w:val="24"/>
        </w:rPr>
        <w:t xml:space="preserve">statistically insignificant. </w:t>
      </w:r>
      <w:r w:rsidR="005726BC">
        <w:rPr>
          <w:sz w:val="24"/>
          <w:szCs w:val="24"/>
        </w:rPr>
        <w:t>This is interpreted as a 1</w:t>
      </w:r>
      <w:r w:rsidR="003E41B7">
        <w:rPr>
          <w:sz w:val="24"/>
          <w:szCs w:val="24"/>
        </w:rPr>
        <w:t>0</w:t>
      </w:r>
      <w:r w:rsidR="005726BC">
        <w:rPr>
          <w:sz w:val="24"/>
          <w:szCs w:val="24"/>
        </w:rPr>
        <w:t xml:space="preserve">% increase in the minimum wage being associated with a </w:t>
      </w:r>
      <w:r w:rsidR="003E41B7">
        <w:rPr>
          <w:sz w:val="24"/>
          <w:szCs w:val="24"/>
        </w:rPr>
        <w:t>0.</w:t>
      </w:r>
      <w:r w:rsidR="006A087F">
        <w:rPr>
          <w:sz w:val="24"/>
          <w:szCs w:val="24"/>
        </w:rPr>
        <w:t>0</w:t>
      </w:r>
      <w:r w:rsidR="007607AD">
        <w:rPr>
          <w:sz w:val="24"/>
          <w:szCs w:val="24"/>
        </w:rPr>
        <w:t>0</w:t>
      </w:r>
      <w:r w:rsidR="003E41B7">
        <w:rPr>
          <w:sz w:val="24"/>
          <w:szCs w:val="24"/>
        </w:rPr>
        <w:t>431 percent</w:t>
      </w:r>
      <w:r w:rsidR="008F4D87">
        <w:rPr>
          <w:sz w:val="24"/>
          <w:szCs w:val="24"/>
        </w:rPr>
        <w:t>age</w:t>
      </w:r>
      <w:r w:rsidR="003E41B7">
        <w:rPr>
          <w:sz w:val="24"/>
          <w:szCs w:val="24"/>
        </w:rPr>
        <w:t xml:space="preserve"> point increase in the inflation rate. </w:t>
      </w:r>
      <w:r w:rsidR="00240215">
        <w:rPr>
          <w:sz w:val="24"/>
          <w:szCs w:val="24"/>
        </w:rPr>
        <w:t>Using a hypothetical inflation rate of 2%, this value would increase to 2.00</w:t>
      </w:r>
      <w:r w:rsidR="00077A98">
        <w:rPr>
          <w:sz w:val="24"/>
          <w:szCs w:val="24"/>
        </w:rPr>
        <w:t xml:space="preserve">431%. </w:t>
      </w:r>
      <w:r w:rsidR="00D318D0">
        <w:rPr>
          <w:sz w:val="24"/>
          <w:szCs w:val="24"/>
        </w:rPr>
        <w:t>Including further controls in the</w:t>
      </w:r>
      <w:r w:rsidR="008F4D87">
        <w:rPr>
          <w:sz w:val="24"/>
          <w:szCs w:val="24"/>
        </w:rPr>
        <w:t xml:space="preserve"> rest of the specifications </w:t>
      </w:r>
      <w:r w:rsidR="00D318D0">
        <w:rPr>
          <w:sz w:val="24"/>
          <w:szCs w:val="24"/>
        </w:rPr>
        <w:t>fails to</w:t>
      </w:r>
      <w:r w:rsidR="00C2743B">
        <w:rPr>
          <w:sz w:val="24"/>
          <w:szCs w:val="24"/>
        </w:rPr>
        <w:t xml:space="preserve"> increase this estimate by any </w:t>
      </w:r>
      <w:r w:rsidR="0011674C">
        <w:rPr>
          <w:sz w:val="24"/>
          <w:szCs w:val="24"/>
        </w:rPr>
        <w:t>meaningful</w:t>
      </w:r>
      <w:r w:rsidR="00C2743B">
        <w:rPr>
          <w:sz w:val="24"/>
          <w:szCs w:val="24"/>
        </w:rPr>
        <w:t xml:space="preserve"> amount, and </w:t>
      </w:r>
      <w:r w:rsidR="00B17970">
        <w:rPr>
          <w:sz w:val="24"/>
          <w:szCs w:val="24"/>
        </w:rPr>
        <w:t xml:space="preserve">statistical </w:t>
      </w:r>
      <w:r w:rsidR="00A529E9">
        <w:rPr>
          <w:sz w:val="24"/>
          <w:szCs w:val="24"/>
        </w:rPr>
        <w:t>in</w:t>
      </w:r>
      <w:r w:rsidR="00B17970">
        <w:rPr>
          <w:sz w:val="24"/>
          <w:szCs w:val="24"/>
        </w:rPr>
        <w:t>signi</w:t>
      </w:r>
      <w:r w:rsidR="00BD603E">
        <w:rPr>
          <w:sz w:val="24"/>
          <w:szCs w:val="24"/>
        </w:rPr>
        <w:t>fican</w:t>
      </w:r>
      <w:r w:rsidR="0061313E">
        <w:rPr>
          <w:sz w:val="24"/>
          <w:szCs w:val="24"/>
        </w:rPr>
        <w:t>ce is found across each of the models</w:t>
      </w:r>
      <w:r w:rsidR="00B17970">
        <w:rPr>
          <w:sz w:val="24"/>
          <w:szCs w:val="24"/>
        </w:rPr>
        <w:t>.</w:t>
      </w:r>
      <w:r w:rsidR="00CF34AA">
        <w:rPr>
          <w:sz w:val="24"/>
          <w:szCs w:val="24"/>
        </w:rPr>
        <w:t xml:space="preserve"> </w:t>
      </w:r>
      <w:r w:rsidR="00285C6C">
        <w:rPr>
          <w:sz w:val="24"/>
          <w:szCs w:val="24"/>
        </w:rPr>
        <w:t>M</w:t>
      </w:r>
      <w:r w:rsidR="00BB1C57">
        <w:rPr>
          <w:sz w:val="24"/>
          <w:szCs w:val="24"/>
        </w:rPr>
        <w:t>odel 4, which has a full control vector</w:t>
      </w:r>
      <w:r w:rsidR="00173E58">
        <w:rPr>
          <w:sz w:val="24"/>
          <w:szCs w:val="24"/>
        </w:rPr>
        <w:t>,</w:t>
      </w:r>
      <w:r w:rsidR="00BB1C57">
        <w:rPr>
          <w:sz w:val="24"/>
          <w:szCs w:val="24"/>
        </w:rPr>
        <w:t xml:space="preserve"> produces the highest </w:t>
      </w:r>
      <w:r w:rsidR="00285C6C">
        <w:rPr>
          <w:sz w:val="24"/>
          <w:szCs w:val="24"/>
        </w:rPr>
        <w:t>semi-elasticity</w:t>
      </w:r>
      <w:r w:rsidR="00173E58">
        <w:rPr>
          <w:sz w:val="24"/>
          <w:szCs w:val="24"/>
        </w:rPr>
        <w:t xml:space="preserve"> </w:t>
      </w:r>
      <w:r w:rsidR="0065350E">
        <w:rPr>
          <w:sz w:val="24"/>
          <w:szCs w:val="24"/>
        </w:rPr>
        <w:t xml:space="preserve">of 0.685 </w:t>
      </w:r>
      <w:r w:rsidR="00173E58">
        <w:rPr>
          <w:sz w:val="24"/>
          <w:szCs w:val="24"/>
        </w:rPr>
        <w:t>which is interpreted as a 10% increase in the minimum wage being associated with a 0.0685 percentage point increase in the inflation rate.</w:t>
      </w:r>
      <w:r w:rsidR="00022861">
        <w:rPr>
          <w:sz w:val="24"/>
          <w:szCs w:val="24"/>
        </w:rPr>
        <w:t xml:space="preserve"> In terms of economic significance, this effect would be negligible. </w:t>
      </w:r>
    </w:p>
    <w:p w14:paraId="061753CC" w14:textId="4407335D" w:rsidR="009A5C64" w:rsidRDefault="00AB2F07" w:rsidP="0086723C">
      <w:pPr>
        <w:spacing w:line="480" w:lineRule="auto"/>
        <w:ind w:firstLine="360"/>
        <w:rPr>
          <w:sz w:val="24"/>
          <w:szCs w:val="24"/>
        </w:rPr>
      </w:pPr>
      <w:r>
        <w:rPr>
          <w:sz w:val="24"/>
          <w:szCs w:val="24"/>
        </w:rPr>
        <w:t>Along with small coefficients, the model</w:t>
      </w:r>
      <w:r w:rsidR="000C194D">
        <w:rPr>
          <w:sz w:val="24"/>
          <w:szCs w:val="24"/>
        </w:rPr>
        <w:t>s</w:t>
      </w:r>
      <w:r>
        <w:rPr>
          <w:sz w:val="24"/>
          <w:szCs w:val="24"/>
        </w:rPr>
        <w:t xml:space="preserve"> </w:t>
      </w:r>
      <w:r w:rsidR="000C194D">
        <w:rPr>
          <w:sz w:val="24"/>
          <w:szCs w:val="24"/>
        </w:rPr>
        <w:t>are</w:t>
      </w:r>
      <w:r>
        <w:rPr>
          <w:sz w:val="24"/>
          <w:szCs w:val="24"/>
        </w:rPr>
        <w:t xml:space="preserve"> </w:t>
      </w:r>
      <w:r w:rsidR="002362BD">
        <w:rPr>
          <w:sz w:val="24"/>
          <w:szCs w:val="24"/>
        </w:rPr>
        <w:t xml:space="preserve">also </w:t>
      </w:r>
      <w:r>
        <w:rPr>
          <w:sz w:val="24"/>
          <w:szCs w:val="24"/>
        </w:rPr>
        <w:t>estimated with a high degree of imprecision</w:t>
      </w:r>
      <w:r w:rsidR="006133EE">
        <w:rPr>
          <w:sz w:val="24"/>
          <w:szCs w:val="24"/>
        </w:rPr>
        <w:t xml:space="preserve">, which </w:t>
      </w:r>
      <w:r w:rsidR="0067207F">
        <w:rPr>
          <w:sz w:val="24"/>
          <w:szCs w:val="24"/>
        </w:rPr>
        <w:t>is evidenced by</w:t>
      </w:r>
      <w:r w:rsidR="006133EE">
        <w:rPr>
          <w:sz w:val="24"/>
          <w:szCs w:val="24"/>
        </w:rPr>
        <w:t xml:space="preserve"> the large standard erro</w:t>
      </w:r>
      <w:r w:rsidR="00997F5D">
        <w:rPr>
          <w:sz w:val="24"/>
          <w:szCs w:val="24"/>
        </w:rPr>
        <w:t>rs</w:t>
      </w:r>
      <w:r w:rsidR="0067207F">
        <w:rPr>
          <w:sz w:val="24"/>
          <w:szCs w:val="24"/>
        </w:rPr>
        <w:t xml:space="preserve"> and </w:t>
      </w:r>
      <w:r w:rsidR="009873C1">
        <w:rPr>
          <w:sz w:val="24"/>
          <w:szCs w:val="24"/>
        </w:rPr>
        <w:t xml:space="preserve">wide </w:t>
      </w:r>
      <w:r w:rsidR="00500A28">
        <w:rPr>
          <w:sz w:val="24"/>
          <w:szCs w:val="24"/>
        </w:rPr>
        <w:t xml:space="preserve">confidence intervals that range in both directions around zero. </w:t>
      </w:r>
      <w:r w:rsidR="004F6D9F">
        <w:rPr>
          <w:sz w:val="24"/>
          <w:szCs w:val="24"/>
        </w:rPr>
        <w:t xml:space="preserve">Adding GDP as </w:t>
      </w:r>
      <w:r w:rsidR="00590ED1">
        <w:rPr>
          <w:sz w:val="24"/>
          <w:szCs w:val="24"/>
        </w:rPr>
        <w:t xml:space="preserve">a </w:t>
      </w:r>
      <w:r w:rsidR="004F6D9F">
        <w:rPr>
          <w:sz w:val="24"/>
          <w:szCs w:val="24"/>
        </w:rPr>
        <w:t xml:space="preserve">control in </w:t>
      </w:r>
      <w:r w:rsidR="00F10832">
        <w:rPr>
          <w:sz w:val="24"/>
          <w:szCs w:val="24"/>
        </w:rPr>
        <w:t>model</w:t>
      </w:r>
      <w:r w:rsidR="004F6D9F">
        <w:rPr>
          <w:sz w:val="24"/>
          <w:szCs w:val="24"/>
        </w:rPr>
        <w:t xml:space="preserve"> 2 increases the </w:t>
      </w:r>
      <w:r w:rsidR="000C194D">
        <w:rPr>
          <w:sz w:val="24"/>
          <w:szCs w:val="24"/>
        </w:rPr>
        <w:t>coefficient</w:t>
      </w:r>
      <w:r w:rsidR="00BA6270">
        <w:rPr>
          <w:sz w:val="24"/>
          <w:szCs w:val="24"/>
        </w:rPr>
        <w:t xml:space="preserve"> to 0</w:t>
      </w:r>
      <w:r w:rsidR="00A529E9">
        <w:rPr>
          <w:sz w:val="24"/>
          <w:szCs w:val="24"/>
        </w:rPr>
        <w:t>.2137</w:t>
      </w:r>
      <w:r w:rsidR="00BA6270">
        <w:rPr>
          <w:sz w:val="24"/>
          <w:szCs w:val="24"/>
        </w:rPr>
        <w:t xml:space="preserve">, but the standard error </w:t>
      </w:r>
      <w:r w:rsidR="00387D13">
        <w:rPr>
          <w:sz w:val="24"/>
          <w:szCs w:val="24"/>
        </w:rPr>
        <w:t xml:space="preserve">also </w:t>
      </w:r>
      <w:r w:rsidR="00BA6270">
        <w:rPr>
          <w:sz w:val="24"/>
          <w:szCs w:val="24"/>
        </w:rPr>
        <w:t xml:space="preserve">increases </w:t>
      </w:r>
      <w:r w:rsidR="00EB49E5">
        <w:rPr>
          <w:sz w:val="24"/>
          <w:szCs w:val="24"/>
        </w:rPr>
        <w:t>by more than 75%</w:t>
      </w:r>
      <w:r w:rsidR="00590ED1">
        <w:rPr>
          <w:sz w:val="24"/>
          <w:szCs w:val="24"/>
        </w:rPr>
        <w:t xml:space="preserve">. </w:t>
      </w:r>
      <w:r w:rsidR="009812B1">
        <w:rPr>
          <w:sz w:val="24"/>
          <w:szCs w:val="24"/>
        </w:rPr>
        <w:t>An issue with this estimate is th</w:t>
      </w:r>
      <w:r w:rsidR="0046463E">
        <w:rPr>
          <w:sz w:val="24"/>
          <w:szCs w:val="24"/>
        </w:rPr>
        <w:t xml:space="preserve">e reduction in sample size due to GDP data being unavailable for </w:t>
      </w:r>
      <w:r w:rsidR="00654167">
        <w:rPr>
          <w:sz w:val="24"/>
          <w:szCs w:val="24"/>
        </w:rPr>
        <w:t xml:space="preserve">much of the dataset. </w:t>
      </w:r>
      <w:r w:rsidR="007C78D2">
        <w:rPr>
          <w:sz w:val="24"/>
          <w:szCs w:val="24"/>
        </w:rPr>
        <w:t xml:space="preserve">Data for GDP, which is </w:t>
      </w:r>
      <w:r w:rsidR="00823AFB">
        <w:rPr>
          <w:sz w:val="24"/>
          <w:szCs w:val="24"/>
        </w:rPr>
        <w:t>measured</w:t>
      </w:r>
      <w:r w:rsidR="00017D64">
        <w:rPr>
          <w:sz w:val="24"/>
          <w:szCs w:val="24"/>
        </w:rPr>
        <w:t xml:space="preserve"> in annualized percentage change from the </w:t>
      </w:r>
      <w:r w:rsidR="003B48EB">
        <w:rPr>
          <w:sz w:val="24"/>
          <w:szCs w:val="24"/>
        </w:rPr>
        <w:t xml:space="preserve">previous quarter, is only reported by the Bureau of </w:t>
      </w:r>
      <w:r w:rsidR="00E83D66">
        <w:rPr>
          <w:sz w:val="24"/>
          <w:szCs w:val="24"/>
        </w:rPr>
        <w:t>Economic Analysis starting in 2005. This effectively sh</w:t>
      </w:r>
      <w:r w:rsidR="00FB0DE1">
        <w:rPr>
          <w:sz w:val="24"/>
          <w:szCs w:val="24"/>
        </w:rPr>
        <w:t xml:space="preserve">rinks the number of observation periods by </w:t>
      </w:r>
      <w:r w:rsidR="00A9571B">
        <w:rPr>
          <w:sz w:val="24"/>
          <w:szCs w:val="24"/>
        </w:rPr>
        <w:t>more than two times</w:t>
      </w:r>
      <w:r w:rsidR="00D2435C">
        <w:rPr>
          <w:sz w:val="24"/>
          <w:szCs w:val="24"/>
        </w:rPr>
        <w:t xml:space="preserve"> </w:t>
      </w:r>
      <w:r w:rsidR="00B929B2">
        <w:rPr>
          <w:sz w:val="24"/>
          <w:szCs w:val="24"/>
        </w:rPr>
        <w:t xml:space="preserve">between </w:t>
      </w:r>
      <w:r w:rsidR="00096911">
        <w:rPr>
          <w:sz w:val="24"/>
          <w:szCs w:val="24"/>
        </w:rPr>
        <w:t>the specifications with and without</w:t>
      </w:r>
      <w:r w:rsidR="00AC5B7F">
        <w:rPr>
          <w:sz w:val="24"/>
          <w:szCs w:val="24"/>
        </w:rPr>
        <w:t xml:space="preserve"> </w:t>
      </w:r>
      <w:r w:rsidR="003F47C0">
        <w:rPr>
          <w:sz w:val="24"/>
          <w:szCs w:val="24"/>
        </w:rPr>
        <w:t>GDP</w:t>
      </w:r>
      <w:r w:rsidR="00127DED">
        <w:rPr>
          <w:sz w:val="24"/>
          <w:szCs w:val="24"/>
        </w:rPr>
        <w:t>,</w:t>
      </w:r>
      <w:r w:rsidR="00955E7B">
        <w:rPr>
          <w:sz w:val="24"/>
          <w:szCs w:val="24"/>
        </w:rPr>
        <w:t xml:space="preserve"> </w:t>
      </w:r>
      <w:r w:rsidR="00127DED">
        <w:rPr>
          <w:sz w:val="24"/>
          <w:szCs w:val="24"/>
        </w:rPr>
        <w:t>which</w:t>
      </w:r>
      <w:r w:rsidR="00AC5B7F">
        <w:rPr>
          <w:sz w:val="24"/>
          <w:szCs w:val="24"/>
        </w:rPr>
        <w:t xml:space="preserve"> </w:t>
      </w:r>
      <w:r w:rsidR="0024085B">
        <w:rPr>
          <w:sz w:val="24"/>
          <w:szCs w:val="24"/>
        </w:rPr>
        <w:t>leads to potential bias</w:t>
      </w:r>
      <w:r w:rsidR="00583FB9">
        <w:rPr>
          <w:sz w:val="24"/>
          <w:szCs w:val="24"/>
        </w:rPr>
        <w:t>es</w:t>
      </w:r>
      <w:r w:rsidR="0024085B">
        <w:rPr>
          <w:sz w:val="24"/>
          <w:szCs w:val="24"/>
        </w:rPr>
        <w:t xml:space="preserve"> in the </w:t>
      </w:r>
      <w:r w:rsidR="00583FB9">
        <w:rPr>
          <w:sz w:val="24"/>
          <w:szCs w:val="24"/>
        </w:rPr>
        <w:t xml:space="preserve">coefficient and </w:t>
      </w:r>
      <w:r w:rsidR="0024085B">
        <w:rPr>
          <w:sz w:val="24"/>
          <w:szCs w:val="24"/>
        </w:rPr>
        <w:t>standard error</w:t>
      </w:r>
      <w:r w:rsidR="00053982">
        <w:rPr>
          <w:sz w:val="24"/>
          <w:szCs w:val="24"/>
        </w:rPr>
        <w:t xml:space="preserve"> calculation</w:t>
      </w:r>
      <w:r w:rsidR="00BB3169">
        <w:rPr>
          <w:sz w:val="24"/>
          <w:szCs w:val="24"/>
        </w:rPr>
        <w:t>s</w:t>
      </w:r>
      <w:r w:rsidR="00FA773C">
        <w:rPr>
          <w:sz w:val="24"/>
          <w:szCs w:val="24"/>
        </w:rPr>
        <w:t xml:space="preserve"> in models 2 and 4</w:t>
      </w:r>
      <w:r w:rsidR="0024085B">
        <w:rPr>
          <w:sz w:val="24"/>
          <w:szCs w:val="24"/>
        </w:rPr>
        <w:t>.</w:t>
      </w:r>
      <w:r w:rsidR="0001432B">
        <w:rPr>
          <w:sz w:val="24"/>
          <w:szCs w:val="24"/>
        </w:rPr>
        <w:t xml:space="preserve"> </w:t>
      </w:r>
      <w:r w:rsidR="00F10832">
        <w:rPr>
          <w:sz w:val="24"/>
          <w:szCs w:val="24"/>
        </w:rPr>
        <w:t>Model</w:t>
      </w:r>
      <w:r w:rsidR="00CC7C7A">
        <w:rPr>
          <w:sz w:val="24"/>
          <w:szCs w:val="24"/>
        </w:rPr>
        <w:t xml:space="preserve"> 3 adds </w:t>
      </w:r>
      <w:r w:rsidR="00D674BA">
        <w:rPr>
          <w:sz w:val="24"/>
          <w:szCs w:val="24"/>
        </w:rPr>
        <w:t>a</w:t>
      </w:r>
      <w:r w:rsidR="00235511">
        <w:rPr>
          <w:sz w:val="24"/>
          <w:szCs w:val="24"/>
        </w:rPr>
        <w:t xml:space="preserve"> </w:t>
      </w:r>
      <w:r w:rsidR="00D674BA">
        <w:rPr>
          <w:sz w:val="24"/>
          <w:szCs w:val="24"/>
        </w:rPr>
        <w:t xml:space="preserve">control for </w:t>
      </w:r>
      <w:r w:rsidR="00235511">
        <w:rPr>
          <w:sz w:val="24"/>
          <w:szCs w:val="24"/>
        </w:rPr>
        <w:t>time</w:t>
      </w:r>
      <w:r w:rsidR="009812B1">
        <w:rPr>
          <w:sz w:val="24"/>
          <w:szCs w:val="24"/>
        </w:rPr>
        <w:t xml:space="preserve">-variant state </w:t>
      </w:r>
      <w:r w:rsidR="009812B1">
        <w:rPr>
          <w:sz w:val="24"/>
          <w:szCs w:val="24"/>
        </w:rPr>
        <w:lastRenderedPageBreak/>
        <w:t>effect</w:t>
      </w:r>
      <w:r w:rsidR="00AC2BB8">
        <w:rPr>
          <w:sz w:val="24"/>
          <w:szCs w:val="24"/>
        </w:rPr>
        <w:t>s</w:t>
      </w:r>
      <w:r w:rsidR="009812B1">
        <w:rPr>
          <w:sz w:val="24"/>
          <w:szCs w:val="24"/>
        </w:rPr>
        <w:t xml:space="preserve"> </w:t>
      </w:r>
      <w:r w:rsidR="00D674BA">
        <w:rPr>
          <w:sz w:val="24"/>
          <w:szCs w:val="24"/>
        </w:rPr>
        <w:t xml:space="preserve">to the baseline </w:t>
      </w:r>
      <w:r w:rsidR="00F10832">
        <w:rPr>
          <w:sz w:val="24"/>
          <w:szCs w:val="24"/>
        </w:rPr>
        <w:t>specification</w:t>
      </w:r>
      <w:r w:rsidR="00D674BA">
        <w:rPr>
          <w:sz w:val="24"/>
          <w:szCs w:val="24"/>
        </w:rPr>
        <w:t xml:space="preserve"> </w:t>
      </w:r>
      <w:r w:rsidR="00F10832">
        <w:rPr>
          <w:sz w:val="24"/>
          <w:szCs w:val="24"/>
        </w:rPr>
        <w:t xml:space="preserve">in model </w:t>
      </w:r>
      <w:r w:rsidR="000A6ED0">
        <w:rPr>
          <w:sz w:val="24"/>
          <w:szCs w:val="24"/>
        </w:rPr>
        <w:t>1 and</w:t>
      </w:r>
      <w:r w:rsidR="00B929B2">
        <w:rPr>
          <w:sz w:val="24"/>
          <w:szCs w:val="24"/>
        </w:rPr>
        <w:t xml:space="preserve"> sees </w:t>
      </w:r>
      <w:r w:rsidR="000A6ED0">
        <w:rPr>
          <w:sz w:val="24"/>
          <w:szCs w:val="24"/>
        </w:rPr>
        <w:t xml:space="preserve">a further increase in the </w:t>
      </w:r>
      <w:r w:rsidR="00B31C63">
        <w:rPr>
          <w:sz w:val="24"/>
          <w:szCs w:val="24"/>
        </w:rPr>
        <w:t>semi-</w:t>
      </w:r>
      <w:r w:rsidR="000A6ED0">
        <w:rPr>
          <w:sz w:val="24"/>
          <w:szCs w:val="24"/>
        </w:rPr>
        <w:t>elasticity to 0.</w:t>
      </w:r>
      <w:r w:rsidR="00B31C63">
        <w:rPr>
          <w:sz w:val="24"/>
          <w:szCs w:val="24"/>
        </w:rPr>
        <w:t>334</w:t>
      </w:r>
      <w:r w:rsidR="00E01E17">
        <w:rPr>
          <w:sz w:val="24"/>
          <w:szCs w:val="24"/>
        </w:rPr>
        <w:t>.</w:t>
      </w:r>
      <w:r w:rsidR="000A6ED0">
        <w:rPr>
          <w:sz w:val="24"/>
          <w:szCs w:val="24"/>
        </w:rPr>
        <w:t xml:space="preserve"> </w:t>
      </w:r>
      <w:r w:rsidR="0027405C">
        <w:rPr>
          <w:sz w:val="24"/>
          <w:szCs w:val="24"/>
        </w:rPr>
        <w:t xml:space="preserve">No loss of identifying information </w:t>
      </w:r>
      <w:r w:rsidR="00AD12C6">
        <w:rPr>
          <w:sz w:val="24"/>
          <w:szCs w:val="24"/>
        </w:rPr>
        <w:t>occurs in this model, so the increase in the standard error is more modest than in</w:t>
      </w:r>
      <w:r w:rsidR="002520C1">
        <w:rPr>
          <w:sz w:val="24"/>
          <w:szCs w:val="24"/>
        </w:rPr>
        <w:t xml:space="preserve"> model 2. </w:t>
      </w:r>
      <w:r w:rsidR="000A6ED0">
        <w:rPr>
          <w:sz w:val="24"/>
          <w:szCs w:val="24"/>
        </w:rPr>
        <w:t>All of the controls are included</w:t>
      </w:r>
      <w:r w:rsidR="004456C2">
        <w:rPr>
          <w:sz w:val="24"/>
          <w:szCs w:val="24"/>
        </w:rPr>
        <w:t xml:space="preserve"> in model 4, which </w:t>
      </w:r>
      <w:r w:rsidR="00ED702C">
        <w:rPr>
          <w:sz w:val="24"/>
          <w:szCs w:val="24"/>
        </w:rPr>
        <w:t xml:space="preserve">as noted </w:t>
      </w:r>
      <w:r w:rsidR="004456C2">
        <w:rPr>
          <w:sz w:val="24"/>
          <w:szCs w:val="24"/>
        </w:rPr>
        <w:t xml:space="preserve">has </w:t>
      </w:r>
      <w:r w:rsidR="006E7873">
        <w:rPr>
          <w:sz w:val="24"/>
          <w:szCs w:val="24"/>
        </w:rPr>
        <w:t xml:space="preserve">the </w:t>
      </w:r>
      <w:r w:rsidR="004456C2">
        <w:rPr>
          <w:sz w:val="24"/>
          <w:szCs w:val="24"/>
        </w:rPr>
        <w:t xml:space="preserve">highest </w:t>
      </w:r>
      <w:r w:rsidR="000858C8">
        <w:rPr>
          <w:sz w:val="24"/>
          <w:szCs w:val="24"/>
        </w:rPr>
        <w:t>semi-</w:t>
      </w:r>
      <w:r w:rsidR="004456C2">
        <w:rPr>
          <w:sz w:val="24"/>
          <w:szCs w:val="24"/>
        </w:rPr>
        <w:t>elasticity estimate</w:t>
      </w:r>
      <w:r w:rsidR="006E7873">
        <w:rPr>
          <w:sz w:val="24"/>
          <w:szCs w:val="24"/>
        </w:rPr>
        <w:t>, but also has the highest</w:t>
      </w:r>
      <w:r w:rsidR="004456C2">
        <w:rPr>
          <w:sz w:val="24"/>
          <w:szCs w:val="24"/>
        </w:rPr>
        <w:t xml:space="preserve"> standard error</w:t>
      </w:r>
      <w:r w:rsidR="006E7873">
        <w:rPr>
          <w:sz w:val="24"/>
          <w:szCs w:val="24"/>
        </w:rPr>
        <w:t>.</w:t>
      </w:r>
      <w:r w:rsidR="00484470">
        <w:rPr>
          <w:sz w:val="24"/>
          <w:szCs w:val="24"/>
        </w:rPr>
        <w:t xml:space="preserve"> </w:t>
      </w:r>
      <w:r w:rsidR="003D5BD7">
        <w:rPr>
          <w:sz w:val="24"/>
          <w:szCs w:val="24"/>
        </w:rPr>
        <w:t xml:space="preserve">The 95% confidence interval for this model </w:t>
      </w:r>
      <w:r w:rsidR="00156A80">
        <w:rPr>
          <w:sz w:val="24"/>
          <w:szCs w:val="24"/>
        </w:rPr>
        <w:t>is</w:t>
      </w:r>
      <w:r w:rsidR="003D5BD7">
        <w:rPr>
          <w:sz w:val="24"/>
          <w:szCs w:val="24"/>
        </w:rPr>
        <w:t xml:space="preserve"> </w:t>
      </w:r>
      <w:r w:rsidR="00156A80">
        <w:rPr>
          <w:sz w:val="24"/>
          <w:szCs w:val="24"/>
        </w:rPr>
        <w:t>(</w:t>
      </w:r>
      <w:r w:rsidR="003D5BD7">
        <w:rPr>
          <w:sz w:val="24"/>
          <w:szCs w:val="24"/>
        </w:rPr>
        <w:t>-</w:t>
      </w:r>
      <w:r w:rsidR="00156A80">
        <w:rPr>
          <w:sz w:val="24"/>
          <w:szCs w:val="24"/>
        </w:rPr>
        <w:t xml:space="preserve">1.20, 2.57), and means that the true effect of </w:t>
      </w:r>
      <w:r w:rsidR="00F93F35">
        <w:rPr>
          <w:sz w:val="24"/>
          <w:szCs w:val="24"/>
        </w:rPr>
        <w:t xml:space="preserve">a 10% minimum wage increase on </w:t>
      </w:r>
      <w:r w:rsidR="00795325">
        <w:rPr>
          <w:sz w:val="24"/>
          <w:szCs w:val="24"/>
        </w:rPr>
        <w:t xml:space="preserve">the inflation rate </w:t>
      </w:r>
      <w:r w:rsidR="003F1771">
        <w:rPr>
          <w:sz w:val="24"/>
          <w:szCs w:val="24"/>
        </w:rPr>
        <w:t xml:space="preserve">is anywhere </w:t>
      </w:r>
      <w:r w:rsidR="00795325">
        <w:rPr>
          <w:sz w:val="24"/>
          <w:szCs w:val="24"/>
        </w:rPr>
        <w:t>between a 0.12</w:t>
      </w:r>
      <w:r w:rsidR="000C7F55">
        <w:rPr>
          <w:sz w:val="24"/>
          <w:szCs w:val="24"/>
        </w:rPr>
        <w:t xml:space="preserve"> percentage point</w:t>
      </w:r>
      <w:r w:rsidR="00795325">
        <w:rPr>
          <w:sz w:val="24"/>
          <w:szCs w:val="24"/>
        </w:rPr>
        <w:t xml:space="preserve"> decrease and a </w:t>
      </w:r>
      <w:r w:rsidR="00696E48">
        <w:rPr>
          <w:sz w:val="24"/>
          <w:szCs w:val="24"/>
        </w:rPr>
        <w:t>0.257</w:t>
      </w:r>
      <w:r w:rsidR="000C7F55">
        <w:rPr>
          <w:sz w:val="24"/>
          <w:szCs w:val="24"/>
        </w:rPr>
        <w:t xml:space="preserve"> percent</w:t>
      </w:r>
      <w:r w:rsidR="008D7910">
        <w:rPr>
          <w:sz w:val="24"/>
          <w:szCs w:val="24"/>
        </w:rPr>
        <w:t>age point</w:t>
      </w:r>
      <w:r w:rsidR="00696E48">
        <w:rPr>
          <w:sz w:val="24"/>
          <w:szCs w:val="24"/>
        </w:rPr>
        <w:t xml:space="preserve"> increase</w:t>
      </w:r>
      <w:r w:rsidR="005872F6">
        <w:rPr>
          <w:sz w:val="24"/>
          <w:szCs w:val="24"/>
        </w:rPr>
        <w:t xml:space="preserve"> with 95% certainty</w:t>
      </w:r>
      <w:r w:rsidR="00696E48">
        <w:rPr>
          <w:sz w:val="24"/>
          <w:szCs w:val="24"/>
        </w:rPr>
        <w:t>.</w:t>
      </w:r>
      <w:r w:rsidR="005F48EA">
        <w:rPr>
          <w:sz w:val="24"/>
          <w:szCs w:val="24"/>
        </w:rPr>
        <w:t xml:space="preserve"> </w:t>
      </w:r>
      <w:r w:rsidR="00696E48">
        <w:rPr>
          <w:sz w:val="24"/>
          <w:szCs w:val="24"/>
        </w:rPr>
        <w:t xml:space="preserve"> </w:t>
      </w:r>
    </w:p>
    <w:p w14:paraId="732444A1" w14:textId="6B624291" w:rsidR="00933AE1" w:rsidRDefault="003D6A4C" w:rsidP="00F45271">
      <w:pPr>
        <w:spacing w:line="480" w:lineRule="auto"/>
        <w:ind w:firstLine="360"/>
        <w:rPr>
          <w:sz w:val="24"/>
          <w:szCs w:val="24"/>
        </w:rPr>
      </w:pPr>
      <w:r>
        <w:rPr>
          <w:sz w:val="24"/>
          <w:szCs w:val="24"/>
        </w:rPr>
        <w:t>Overall, each of the spec</w:t>
      </w:r>
      <w:r w:rsidR="006316FB">
        <w:rPr>
          <w:sz w:val="24"/>
          <w:szCs w:val="24"/>
        </w:rPr>
        <w:t xml:space="preserve">ifications </w:t>
      </w:r>
      <w:r w:rsidR="000858C8">
        <w:rPr>
          <w:sz w:val="24"/>
          <w:szCs w:val="24"/>
        </w:rPr>
        <w:t>returned</w:t>
      </w:r>
      <w:r w:rsidR="00550E3B">
        <w:rPr>
          <w:sz w:val="24"/>
          <w:szCs w:val="24"/>
        </w:rPr>
        <w:t xml:space="preserve"> a</w:t>
      </w:r>
      <w:r w:rsidR="006A1BAB">
        <w:rPr>
          <w:sz w:val="24"/>
          <w:szCs w:val="24"/>
        </w:rPr>
        <w:t xml:space="preserve"> positive </w:t>
      </w:r>
      <w:r w:rsidR="009F6F39">
        <w:rPr>
          <w:sz w:val="24"/>
          <w:szCs w:val="24"/>
        </w:rPr>
        <w:t>semi-</w:t>
      </w:r>
      <w:r w:rsidR="006316FB">
        <w:rPr>
          <w:sz w:val="24"/>
          <w:szCs w:val="24"/>
        </w:rPr>
        <w:t xml:space="preserve">elasticity </w:t>
      </w:r>
      <w:r w:rsidR="006A1BAB">
        <w:rPr>
          <w:sz w:val="24"/>
          <w:szCs w:val="24"/>
        </w:rPr>
        <w:t>that is directionally consistent with the literature</w:t>
      </w:r>
      <w:r w:rsidR="00483447">
        <w:rPr>
          <w:sz w:val="24"/>
          <w:szCs w:val="24"/>
        </w:rPr>
        <w:t xml:space="preserve"> but is statistically insignificant</w:t>
      </w:r>
      <w:r w:rsidR="00F2020F">
        <w:rPr>
          <w:sz w:val="24"/>
          <w:szCs w:val="24"/>
        </w:rPr>
        <w:t>.</w:t>
      </w:r>
      <w:r w:rsidR="00C04BD3">
        <w:rPr>
          <w:sz w:val="24"/>
          <w:szCs w:val="24"/>
        </w:rPr>
        <w:t xml:space="preserve"> </w:t>
      </w:r>
      <w:r w:rsidR="00D107BD">
        <w:rPr>
          <w:sz w:val="24"/>
          <w:szCs w:val="24"/>
        </w:rPr>
        <w:t xml:space="preserve">These </w:t>
      </w:r>
      <w:r w:rsidR="004C354D">
        <w:rPr>
          <w:sz w:val="24"/>
          <w:szCs w:val="24"/>
        </w:rPr>
        <w:t>coefficients</w:t>
      </w:r>
      <w:r w:rsidR="004D0B98">
        <w:rPr>
          <w:sz w:val="24"/>
          <w:szCs w:val="24"/>
        </w:rPr>
        <w:t xml:space="preserve"> are </w:t>
      </w:r>
      <w:r w:rsidR="007149B1">
        <w:rPr>
          <w:sz w:val="24"/>
          <w:szCs w:val="24"/>
        </w:rPr>
        <w:t>economically immeasurable in magnitude and</w:t>
      </w:r>
      <w:r w:rsidR="004F42A8">
        <w:rPr>
          <w:sz w:val="24"/>
          <w:szCs w:val="24"/>
        </w:rPr>
        <w:t xml:space="preserve"> </w:t>
      </w:r>
      <w:r w:rsidR="004C354D">
        <w:rPr>
          <w:sz w:val="24"/>
          <w:szCs w:val="24"/>
        </w:rPr>
        <w:t>are estimated with a</w:t>
      </w:r>
      <w:r w:rsidR="00D107BD">
        <w:rPr>
          <w:sz w:val="24"/>
          <w:szCs w:val="24"/>
        </w:rPr>
        <w:t xml:space="preserve"> </w:t>
      </w:r>
      <w:r w:rsidR="00CF3393">
        <w:rPr>
          <w:sz w:val="24"/>
          <w:szCs w:val="24"/>
        </w:rPr>
        <w:t xml:space="preserve">high degree of imprecision </w:t>
      </w:r>
      <w:r w:rsidR="00FD6A7E">
        <w:rPr>
          <w:sz w:val="24"/>
          <w:szCs w:val="24"/>
        </w:rPr>
        <w:t xml:space="preserve">that </w:t>
      </w:r>
      <w:r w:rsidR="00991B3D">
        <w:rPr>
          <w:sz w:val="24"/>
          <w:szCs w:val="24"/>
        </w:rPr>
        <w:t>is evidenced by</w:t>
      </w:r>
      <w:r w:rsidR="00D107BD">
        <w:rPr>
          <w:sz w:val="24"/>
          <w:szCs w:val="24"/>
        </w:rPr>
        <w:t xml:space="preserve"> l</w:t>
      </w:r>
      <w:r w:rsidR="004F42A8">
        <w:rPr>
          <w:sz w:val="24"/>
          <w:szCs w:val="24"/>
        </w:rPr>
        <w:t>arge standard errors</w:t>
      </w:r>
      <w:r w:rsidR="00B719B2">
        <w:rPr>
          <w:sz w:val="24"/>
          <w:szCs w:val="24"/>
        </w:rPr>
        <w:t xml:space="preserve"> and</w:t>
      </w:r>
      <w:r w:rsidR="00FD6A7E">
        <w:rPr>
          <w:sz w:val="24"/>
          <w:szCs w:val="24"/>
        </w:rPr>
        <w:t xml:space="preserve"> wide confidence intervals</w:t>
      </w:r>
      <w:r w:rsidR="004F42A8">
        <w:rPr>
          <w:sz w:val="24"/>
          <w:szCs w:val="24"/>
        </w:rPr>
        <w:t xml:space="preserve"> </w:t>
      </w:r>
      <w:r w:rsidR="00F709E3">
        <w:rPr>
          <w:sz w:val="24"/>
          <w:szCs w:val="24"/>
        </w:rPr>
        <w:t xml:space="preserve">that </w:t>
      </w:r>
      <w:r w:rsidR="004F42A8">
        <w:rPr>
          <w:sz w:val="24"/>
          <w:szCs w:val="24"/>
        </w:rPr>
        <w:t>further increas</w:t>
      </w:r>
      <w:r w:rsidR="00D52DBE">
        <w:rPr>
          <w:sz w:val="24"/>
          <w:szCs w:val="24"/>
        </w:rPr>
        <w:t>e</w:t>
      </w:r>
      <w:r w:rsidR="00793516">
        <w:rPr>
          <w:sz w:val="24"/>
          <w:szCs w:val="24"/>
        </w:rPr>
        <w:t>/expand</w:t>
      </w:r>
      <w:r w:rsidR="004F42A8">
        <w:rPr>
          <w:sz w:val="24"/>
          <w:szCs w:val="24"/>
        </w:rPr>
        <w:t xml:space="preserve"> </w:t>
      </w:r>
      <w:r w:rsidR="00D52DBE">
        <w:rPr>
          <w:sz w:val="24"/>
          <w:szCs w:val="24"/>
        </w:rPr>
        <w:t>when</w:t>
      </w:r>
      <w:r w:rsidR="000B2B70">
        <w:rPr>
          <w:sz w:val="24"/>
          <w:szCs w:val="24"/>
        </w:rPr>
        <w:t xml:space="preserve"> including </w:t>
      </w:r>
      <w:r w:rsidR="00F709E3">
        <w:rPr>
          <w:sz w:val="24"/>
          <w:szCs w:val="24"/>
        </w:rPr>
        <w:t>additional controls</w:t>
      </w:r>
      <w:r w:rsidR="00F519D2">
        <w:rPr>
          <w:sz w:val="24"/>
          <w:szCs w:val="24"/>
        </w:rPr>
        <w:t>, GDP in particular</w:t>
      </w:r>
      <w:r w:rsidR="00896C1F">
        <w:rPr>
          <w:sz w:val="24"/>
          <w:szCs w:val="24"/>
        </w:rPr>
        <w:t xml:space="preserve">. </w:t>
      </w:r>
      <w:r w:rsidR="00223CA1">
        <w:rPr>
          <w:sz w:val="24"/>
          <w:szCs w:val="24"/>
        </w:rPr>
        <w:t xml:space="preserve">This suggests that </w:t>
      </w:r>
      <w:r w:rsidR="006D2BC0">
        <w:rPr>
          <w:sz w:val="24"/>
          <w:szCs w:val="24"/>
        </w:rPr>
        <w:t xml:space="preserve">economy-wide </w:t>
      </w:r>
      <w:r w:rsidR="00257709">
        <w:rPr>
          <w:sz w:val="24"/>
          <w:szCs w:val="24"/>
        </w:rPr>
        <w:t xml:space="preserve">price effects are near </w:t>
      </w:r>
      <w:r w:rsidR="00D801D4">
        <w:rPr>
          <w:sz w:val="24"/>
          <w:szCs w:val="24"/>
        </w:rPr>
        <w:t xml:space="preserve">negligible at the observed levels of minimum wage increases, </w:t>
      </w:r>
      <w:r w:rsidR="00F7025C">
        <w:rPr>
          <w:sz w:val="24"/>
          <w:szCs w:val="24"/>
        </w:rPr>
        <w:t xml:space="preserve">or at least more modest than </w:t>
      </w:r>
      <w:r w:rsidR="001552B8">
        <w:rPr>
          <w:sz w:val="24"/>
          <w:szCs w:val="24"/>
        </w:rPr>
        <w:t xml:space="preserve">those found in the standard </w:t>
      </w:r>
      <w:r w:rsidR="007D4F1C">
        <w:rPr>
          <w:sz w:val="24"/>
          <w:szCs w:val="24"/>
        </w:rPr>
        <w:t xml:space="preserve">literature </w:t>
      </w:r>
      <w:r w:rsidR="006D2607">
        <w:rPr>
          <w:sz w:val="24"/>
          <w:szCs w:val="24"/>
        </w:rPr>
        <w:t xml:space="preserve">that </w:t>
      </w:r>
      <w:r w:rsidR="007D4F1C">
        <w:rPr>
          <w:sz w:val="24"/>
          <w:szCs w:val="24"/>
        </w:rPr>
        <w:t>focuse</w:t>
      </w:r>
      <w:r w:rsidR="006D2607">
        <w:rPr>
          <w:sz w:val="24"/>
          <w:szCs w:val="24"/>
        </w:rPr>
        <w:t>s</w:t>
      </w:r>
      <w:r w:rsidR="007D4F1C">
        <w:rPr>
          <w:sz w:val="24"/>
          <w:szCs w:val="24"/>
        </w:rPr>
        <w:t xml:space="preserve"> on specific</w:t>
      </w:r>
      <w:r w:rsidR="001552B8">
        <w:rPr>
          <w:sz w:val="24"/>
          <w:szCs w:val="24"/>
        </w:rPr>
        <w:t xml:space="preserve"> industr</w:t>
      </w:r>
      <w:r w:rsidR="00752ECA">
        <w:rPr>
          <w:sz w:val="24"/>
          <w:szCs w:val="24"/>
        </w:rPr>
        <w:t>ies</w:t>
      </w:r>
      <w:r w:rsidR="001552B8">
        <w:rPr>
          <w:sz w:val="24"/>
          <w:szCs w:val="24"/>
        </w:rPr>
        <w:t xml:space="preserve">. </w:t>
      </w:r>
    </w:p>
    <w:p w14:paraId="69CC37A8" w14:textId="084656BE" w:rsidR="00D527A3" w:rsidRDefault="0042730B" w:rsidP="008E448F">
      <w:pPr>
        <w:pStyle w:val="Heading2"/>
        <w:numPr>
          <w:ilvl w:val="0"/>
          <w:numId w:val="25"/>
        </w:numPr>
        <w:spacing w:line="480" w:lineRule="auto"/>
      </w:pPr>
      <w:bookmarkStart w:id="32" w:name="_Toc71466057"/>
      <w:r>
        <w:t>Employment Effects</w:t>
      </w:r>
      <w:bookmarkEnd w:id="32"/>
      <w:r w:rsidR="00D527A3">
        <w:tab/>
      </w:r>
    </w:p>
    <w:p w14:paraId="27A10809" w14:textId="618A5E01" w:rsidR="00AA4259" w:rsidRDefault="00DE6397" w:rsidP="008C06E5">
      <w:pPr>
        <w:spacing w:line="480" w:lineRule="auto"/>
        <w:ind w:firstLine="360"/>
        <w:rPr>
          <w:sz w:val="24"/>
          <w:szCs w:val="24"/>
        </w:rPr>
      </w:pPr>
      <w:r>
        <w:rPr>
          <w:sz w:val="24"/>
          <w:szCs w:val="24"/>
        </w:rPr>
        <w:t>The following regression</w:t>
      </w:r>
      <w:r w:rsidR="00356F66">
        <w:rPr>
          <w:sz w:val="24"/>
          <w:szCs w:val="24"/>
        </w:rPr>
        <w:t xml:space="preserve"> tables</w:t>
      </w:r>
      <w:r>
        <w:rPr>
          <w:sz w:val="24"/>
          <w:szCs w:val="24"/>
        </w:rPr>
        <w:t xml:space="preserve"> show the minimum wage effects on labor markets, with </w:t>
      </w:r>
      <w:r w:rsidR="006F0D42">
        <w:rPr>
          <w:sz w:val="24"/>
          <w:szCs w:val="24"/>
        </w:rPr>
        <w:t>unemployment</w:t>
      </w:r>
      <w:r w:rsidR="0082671B">
        <w:rPr>
          <w:sz w:val="24"/>
          <w:szCs w:val="24"/>
        </w:rPr>
        <w:t>,</w:t>
      </w:r>
      <w:r w:rsidR="006F0D42">
        <w:rPr>
          <w:sz w:val="24"/>
          <w:szCs w:val="24"/>
        </w:rPr>
        <w:t xml:space="preserve"> labor force participation, and employment to population ratio used in conjunction </w:t>
      </w:r>
      <w:r w:rsidR="00861D44">
        <w:rPr>
          <w:sz w:val="24"/>
          <w:szCs w:val="24"/>
        </w:rPr>
        <w:t xml:space="preserve">to achieve full coverage. </w:t>
      </w:r>
      <w:r w:rsidR="00DB4BAB" w:rsidRPr="009B1A19">
        <w:rPr>
          <w:sz w:val="24"/>
          <w:szCs w:val="24"/>
        </w:rPr>
        <w:t xml:space="preserve">Table </w:t>
      </w:r>
      <w:r w:rsidR="009F68D9" w:rsidRPr="009B1A19">
        <w:rPr>
          <w:sz w:val="24"/>
          <w:szCs w:val="24"/>
        </w:rPr>
        <w:t>3</w:t>
      </w:r>
      <w:r w:rsidR="00DB4BAB" w:rsidRPr="009B1A19">
        <w:rPr>
          <w:sz w:val="24"/>
          <w:szCs w:val="24"/>
        </w:rPr>
        <w:t xml:space="preserve"> </w:t>
      </w:r>
      <w:r w:rsidR="00CA5391" w:rsidRPr="009B1A19">
        <w:rPr>
          <w:sz w:val="24"/>
          <w:szCs w:val="24"/>
        </w:rPr>
        <w:t>d</w:t>
      </w:r>
      <w:r w:rsidR="000763AD">
        <w:rPr>
          <w:sz w:val="24"/>
          <w:szCs w:val="24"/>
        </w:rPr>
        <w:t>etails</w:t>
      </w:r>
      <w:r w:rsidR="00CA5391" w:rsidRPr="009B1A19">
        <w:rPr>
          <w:sz w:val="24"/>
          <w:szCs w:val="24"/>
        </w:rPr>
        <w:t xml:space="preserve"> the </w:t>
      </w:r>
      <w:r w:rsidR="00096ED2" w:rsidRPr="009B1A19">
        <w:rPr>
          <w:sz w:val="24"/>
          <w:szCs w:val="24"/>
        </w:rPr>
        <w:t>effects o</w:t>
      </w:r>
      <w:r w:rsidR="00A572E4">
        <w:rPr>
          <w:sz w:val="24"/>
          <w:szCs w:val="24"/>
        </w:rPr>
        <w:t>f</w:t>
      </w:r>
      <w:r w:rsidR="00096ED2" w:rsidRPr="009B1A19">
        <w:rPr>
          <w:sz w:val="24"/>
          <w:szCs w:val="24"/>
        </w:rPr>
        <w:t xml:space="preserve"> minimum wages on unempl</w:t>
      </w:r>
      <w:r w:rsidR="0022176B" w:rsidRPr="009B1A19">
        <w:rPr>
          <w:sz w:val="24"/>
          <w:szCs w:val="24"/>
        </w:rPr>
        <w:t>oyment</w:t>
      </w:r>
      <w:r w:rsidR="007C7F9B" w:rsidRPr="009B1A19">
        <w:rPr>
          <w:sz w:val="24"/>
          <w:szCs w:val="24"/>
        </w:rPr>
        <w:t xml:space="preserve">. </w:t>
      </w:r>
    </w:p>
    <w:p w14:paraId="3F9DAFE1" w14:textId="77777777" w:rsidR="00AA2DD7" w:rsidRPr="008C06E5" w:rsidRDefault="00AA2DD7" w:rsidP="006E525D">
      <w:pPr>
        <w:spacing w:line="480" w:lineRule="auto"/>
        <w:rPr>
          <w:sz w:val="24"/>
          <w:szCs w:val="24"/>
        </w:rPr>
      </w:pPr>
    </w:p>
    <w:p w14:paraId="3E849BAB" w14:textId="1E687018" w:rsidR="00A84C63" w:rsidRPr="006E7A49" w:rsidRDefault="00A84C63" w:rsidP="00A84C63">
      <w:pPr>
        <w:widowControl w:val="0"/>
        <w:autoSpaceDE w:val="0"/>
        <w:autoSpaceDN w:val="0"/>
        <w:adjustRightInd w:val="0"/>
        <w:spacing w:after="0" w:line="240" w:lineRule="auto"/>
        <w:rPr>
          <w:rFonts w:eastAsia="Times New Roman" w:cstheme="minorHAnsi"/>
          <w:b/>
          <w:bCs/>
          <w:sz w:val="40"/>
          <w:szCs w:val="40"/>
        </w:rPr>
      </w:pPr>
      <w:r w:rsidRPr="006E7A49">
        <w:rPr>
          <w:rFonts w:eastAsia="Times New Roman" w:cstheme="minorHAnsi"/>
          <w:b/>
          <w:bCs/>
          <w:sz w:val="40"/>
          <w:szCs w:val="40"/>
        </w:rPr>
        <w:lastRenderedPageBreak/>
        <w:t>Table 3:</w:t>
      </w:r>
    </w:p>
    <w:p w14:paraId="1E9B489D" w14:textId="0970C8ED" w:rsidR="00A84C63" w:rsidRPr="006E7A49" w:rsidRDefault="00A84C63" w:rsidP="00A84C63">
      <w:pPr>
        <w:widowControl w:val="0"/>
        <w:autoSpaceDE w:val="0"/>
        <w:autoSpaceDN w:val="0"/>
        <w:adjustRightInd w:val="0"/>
        <w:spacing w:after="0" w:line="240" w:lineRule="auto"/>
        <w:rPr>
          <w:rFonts w:ascii="Garamond" w:eastAsia="Times New Roman" w:hAnsi="Garamond" w:cs="Times New Roman"/>
          <w:sz w:val="28"/>
          <w:szCs w:val="28"/>
        </w:rPr>
      </w:pPr>
      <w:r w:rsidRPr="006E7A49">
        <w:rPr>
          <w:rFonts w:eastAsia="Times New Roman" w:cstheme="minorHAnsi"/>
          <w:sz w:val="28"/>
          <w:szCs w:val="28"/>
        </w:rPr>
        <w:t>Regression Results for unemployment semi-elasticities</w:t>
      </w:r>
    </w:p>
    <w:tbl>
      <w:tblPr>
        <w:tblW w:w="5000" w:type="pct"/>
        <w:tblLook w:val="0000" w:firstRow="0" w:lastRow="0" w:firstColumn="0" w:lastColumn="0" w:noHBand="0" w:noVBand="0"/>
      </w:tblPr>
      <w:tblGrid>
        <w:gridCol w:w="3055"/>
        <w:gridCol w:w="1429"/>
        <w:gridCol w:w="1429"/>
        <w:gridCol w:w="1652"/>
        <w:gridCol w:w="1435"/>
      </w:tblGrid>
      <w:tr w:rsidR="002B17CE" w:rsidRPr="00A84C63" w14:paraId="7BCCC525" w14:textId="77777777" w:rsidTr="004D77AC">
        <w:trPr>
          <w:trHeight w:val="396"/>
        </w:trPr>
        <w:tc>
          <w:tcPr>
            <w:tcW w:w="1697" w:type="pct"/>
            <w:tcBorders>
              <w:top w:val="single" w:sz="4" w:space="0" w:color="auto"/>
              <w:left w:val="nil"/>
              <w:bottom w:val="nil"/>
              <w:right w:val="nil"/>
            </w:tcBorders>
          </w:tcPr>
          <w:p w14:paraId="463D5E9D" w14:textId="02DA34D9" w:rsidR="00A84C63" w:rsidRPr="00A84C63" w:rsidRDefault="005E6F61" w:rsidP="005E6F61">
            <w:pPr>
              <w:widowControl w:val="0"/>
              <w:autoSpaceDE w:val="0"/>
              <w:autoSpaceDN w:val="0"/>
              <w:adjustRightInd w:val="0"/>
              <w:spacing w:after="0" w:line="240" w:lineRule="auto"/>
              <w:rPr>
                <w:rFonts w:ascii="Calibri" w:eastAsia="Times New Roman" w:hAnsi="Calibri" w:cs="Calibri"/>
                <w:b/>
                <w:bCs/>
                <w:sz w:val="20"/>
                <w:szCs w:val="20"/>
              </w:rPr>
            </w:pPr>
            <w:r w:rsidRPr="007C01DA">
              <w:rPr>
                <w:rFonts w:ascii="Calibri" w:eastAsia="Times New Roman" w:hAnsi="Calibri" w:cs="Calibri"/>
                <w:b/>
                <w:bCs/>
                <w:sz w:val="20"/>
                <w:szCs w:val="20"/>
              </w:rPr>
              <w:t>Specifications</w:t>
            </w:r>
            <w:r w:rsidR="00A84C63" w:rsidRPr="00A84C63">
              <w:rPr>
                <w:rFonts w:ascii="Calibri" w:eastAsia="Times New Roman" w:hAnsi="Calibri" w:cs="Calibri"/>
                <w:b/>
                <w:bCs/>
                <w:sz w:val="20"/>
                <w:szCs w:val="20"/>
              </w:rPr>
              <w:t xml:space="preserve">   </w:t>
            </w:r>
          </w:p>
        </w:tc>
        <w:tc>
          <w:tcPr>
            <w:tcW w:w="794" w:type="pct"/>
            <w:tcBorders>
              <w:top w:val="single" w:sz="4" w:space="0" w:color="auto"/>
              <w:left w:val="nil"/>
              <w:bottom w:val="nil"/>
              <w:right w:val="nil"/>
            </w:tcBorders>
          </w:tcPr>
          <w:p w14:paraId="3B6393FD"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(1)</w:t>
            </w:r>
          </w:p>
        </w:tc>
        <w:tc>
          <w:tcPr>
            <w:tcW w:w="794" w:type="pct"/>
            <w:tcBorders>
              <w:top w:val="single" w:sz="4" w:space="0" w:color="auto"/>
              <w:left w:val="nil"/>
              <w:bottom w:val="nil"/>
              <w:right w:val="nil"/>
            </w:tcBorders>
          </w:tcPr>
          <w:p w14:paraId="76311A69"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(2)</w:t>
            </w:r>
          </w:p>
        </w:tc>
        <w:tc>
          <w:tcPr>
            <w:tcW w:w="918" w:type="pct"/>
            <w:tcBorders>
              <w:top w:val="single" w:sz="4" w:space="0" w:color="auto"/>
              <w:left w:val="nil"/>
              <w:bottom w:val="nil"/>
              <w:right w:val="nil"/>
            </w:tcBorders>
          </w:tcPr>
          <w:p w14:paraId="54CF359D"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(3)</w:t>
            </w:r>
          </w:p>
        </w:tc>
        <w:tc>
          <w:tcPr>
            <w:tcW w:w="798" w:type="pct"/>
            <w:tcBorders>
              <w:top w:val="single" w:sz="4" w:space="0" w:color="auto"/>
              <w:left w:val="nil"/>
              <w:bottom w:val="nil"/>
              <w:right w:val="nil"/>
            </w:tcBorders>
          </w:tcPr>
          <w:p w14:paraId="2C48B176"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(4)</w:t>
            </w:r>
          </w:p>
        </w:tc>
      </w:tr>
      <w:tr w:rsidR="002B17CE" w:rsidRPr="00A84C63" w14:paraId="3C833C5C" w14:textId="77777777" w:rsidTr="004D77AC">
        <w:trPr>
          <w:trHeight w:val="398"/>
        </w:trPr>
        <w:tc>
          <w:tcPr>
            <w:tcW w:w="1697" w:type="pct"/>
            <w:tcBorders>
              <w:top w:val="nil"/>
              <w:left w:val="nil"/>
              <w:bottom w:val="single" w:sz="10" w:space="0" w:color="auto"/>
              <w:right w:val="nil"/>
            </w:tcBorders>
          </w:tcPr>
          <w:p w14:paraId="79B40F01"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p>
        </w:tc>
        <w:tc>
          <w:tcPr>
            <w:tcW w:w="794" w:type="pct"/>
            <w:tcBorders>
              <w:top w:val="nil"/>
              <w:left w:val="nil"/>
              <w:bottom w:val="single" w:sz="10" w:space="0" w:color="auto"/>
              <w:right w:val="nil"/>
            </w:tcBorders>
          </w:tcPr>
          <w:p w14:paraId="0BB08F3B" w14:textId="1E08B763"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sidR="003D6EA1">
              <w:rPr>
                <w:rFonts w:ascii="Calibri" w:eastAsia="Times New Roman" w:hAnsi="Calibri" w:cs="Calibri"/>
                <w:sz w:val="20"/>
                <w:szCs w:val="20"/>
              </w:rPr>
              <w:t>Baseline</w:t>
            </w:r>
          </w:p>
        </w:tc>
        <w:tc>
          <w:tcPr>
            <w:tcW w:w="794" w:type="pct"/>
            <w:tcBorders>
              <w:top w:val="nil"/>
              <w:left w:val="nil"/>
              <w:bottom w:val="single" w:sz="10" w:space="0" w:color="auto"/>
              <w:right w:val="nil"/>
            </w:tcBorders>
          </w:tcPr>
          <w:p w14:paraId="0F737346" w14:textId="0EB1BCAB"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sidR="003D6EA1">
              <w:rPr>
                <w:rFonts w:ascii="Calibri" w:eastAsia="Times New Roman" w:hAnsi="Calibri" w:cs="Calibri"/>
                <w:sz w:val="20"/>
                <w:szCs w:val="20"/>
              </w:rPr>
              <w:t>GDP</w:t>
            </w:r>
          </w:p>
        </w:tc>
        <w:tc>
          <w:tcPr>
            <w:tcW w:w="918" w:type="pct"/>
            <w:tcBorders>
              <w:top w:val="nil"/>
              <w:left w:val="nil"/>
              <w:bottom w:val="single" w:sz="10" w:space="0" w:color="auto"/>
              <w:right w:val="nil"/>
            </w:tcBorders>
          </w:tcPr>
          <w:p w14:paraId="5B19F7AE" w14:textId="54DE3E4A"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sidR="003D6EA1">
              <w:rPr>
                <w:rFonts w:ascii="Calibri" w:eastAsia="Times New Roman" w:hAnsi="Calibri" w:cs="Calibri"/>
                <w:sz w:val="20"/>
                <w:szCs w:val="20"/>
              </w:rPr>
              <w:t>Time Variant</w:t>
            </w:r>
          </w:p>
        </w:tc>
        <w:tc>
          <w:tcPr>
            <w:tcW w:w="798" w:type="pct"/>
            <w:tcBorders>
              <w:top w:val="nil"/>
              <w:left w:val="nil"/>
              <w:bottom w:val="single" w:sz="10" w:space="0" w:color="auto"/>
              <w:right w:val="nil"/>
            </w:tcBorders>
          </w:tcPr>
          <w:p w14:paraId="0E3FB158" w14:textId="10E8B64E"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sidR="005E6F61">
              <w:rPr>
                <w:rFonts w:ascii="Calibri" w:eastAsia="Times New Roman" w:hAnsi="Calibri" w:cs="Calibri"/>
                <w:sz w:val="20"/>
                <w:szCs w:val="20"/>
              </w:rPr>
              <w:t>Full Model</w:t>
            </w:r>
          </w:p>
        </w:tc>
      </w:tr>
      <w:tr w:rsidR="002B17CE" w:rsidRPr="00A84C63" w14:paraId="211CBBF0" w14:textId="77777777" w:rsidTr="004D77AC">
        <w:trPr>
          <w:trHeight w:val="396"/>
        </w:trPr>
        <w:tc>
          <w:tcPr>
            <w:tcW w:w="1697" w:type="pct"/>
            <w:tcBorders>
              <w:top w:val="nil"/>
              <w:left w:val="nil"/>
              <w:bottom w:val="nil"/>
              <w:right w:val="nil"/>
            </w:tcBorders>
          </w:tcPr>
          <w:p w14:paraId="11B23456" w14:textId="77777777" w:rsidR="00A84C63" w:rsidRPr="007C01DA" w:rsidRDefault="00A84C63" w:rsidP="00A84C6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Log(minwage)</w:t>
            </w:r>
          </w:p>
          <w:p w14:paraId="11AF6287" w14:textId="04DDE740" w:rsidR="002B5057" w:rsidRPr="00A84C63" w:rsidRDefault="002B5057" w:rsidP="00A84C63">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β</w:t>
            </w:r>
          </w:p>
        </w:tc>
        <w:tc>
          <w:tcPr>
            <w:tcW w:w="794" w:type="pct"/>
            <w:tcBorders>
              <w:top w:val="nil"/>
              <w:left w:val="nil"/>
              <w:bottom w:val="nil"/>
              <w:right w:val="nil"/>
            </w:tcBorders>
          </w:tcPr>
          <w:p w14:paraId="63E7F403" w14:textId="77777777" w:rsidR="00C414A5" w:rsidRDefault="00C414A5" w:rsidP="00A84C63">
            <w:pPr>
              <w:widowControl w:val="0"/>
              <w:autoSpaceDE w:val="0"/>
              <w:autoSpaceDN w:val="0"/>
              <w:adjustRightInd w:val="0"/>
              <w:spacing w:after="0" w:line="240" w:lineRule="auto"/>
              <w:jc w:val="center"/>
              <w:rPr>
                <w:rFonts w:ascii="Calibri" w:eastAsia="Times New Roman" w:hAnsi="Calibri" w:cs="Calibri"/>
                <w:sz w:val="20"/>
                <w:szCs w:val="20"/>
              </w:rPr>
            </w:pPr>
          </w:p>
          <w:p w14:paraId="10638500" w14:textId="3BE88FF8"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-0.372</w:t>
            </w:r>
          </w:p>
        </w:tc>
        <w:tc>
          <w:tcPr>
            <w:tcW w:w="794" w:type="pct"/>
            <w:tcBorders>
              <w:top w:val="nil"/>
              <w:left w:val="nil"/>
              <w:bottom w:val="nil"/>
              <w:right w:val="nil"/>
            </w:tcBorders>
          </w:tcPr>
          <w:p w14:paraId="264D3817" w14:textId="77777777" w:rsidR="00C414A5" w:rsidRDefault="00C414A5" w:rsidP="00A84C63">
            <w:pPr>
              <w:widowControl w:val="0"/>
              <w:autoSpaceDE w:val="0"/>
              <w:autoSpaceDN w:val="0"/>
              <w:adjustRightInd w:val="0"/>
              <w:spacing w:after="0" w:line="240" w:lineRule="auto"/>
              <w:jc w:val="center"/>
              <w:rPr>
                <w:rFonts w:ascii="Calibri" w:eastAsia="Times New Roman" w:hAnsi="Calibri" w:cs="Calibri"/>
                <w:sz w:val="20"/>
                <w:szCs w:val="20"/>
              </w:rPr>
            </w:pPr>
          </w:p>
          <w:p w14:paraId="54F20E11" w14:textId="5488FC8B"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-0.248</w:t>
            </w:r>
          </w:p>
        </w:tc>
        <w:tc>
          <w:tcPr>
            <w:tcW w:w="918" w:type="pct"/>
            <w:tcBorders>
              <w:top w:val="nil"/>
              <w:left w:val="nil"/>
              <w:bottom w:val="nil"/>
              <w:right w:val="nil"/>
            </w:tcBorders>
          </w:tcPr>
          <w:p w14:paraId="34726FAE" w14:textId="77777777" w:rsidR="00C414A5" w:rsidRDefault="00C414A5" w:rsidP="00A84C63">
            <w:pPr>
              <w:widowControl w:val="0"/>
              <w:autoSpaceDE w:val="0"/>
              <w:autoSpaceDN w:val="0"/>
              <w:adjustRightInd w:val="0"/>
              <w:spacing w:after="0" w:line="240" w:lineRule="auto"/>
              <w:jc w:val="center"/>
              <w:rPr>
                <w:rFonts w:ascii="Calibri" w:eastAsia="Times New Roman" w:hAnsi="Calibri" w:cs="Calibri"/>
                <w:sz w:val="20"/>
                <w:szCs w:val="20"/>
              </w:rPr>
            </w:pPr>
          </w:p>
          <w:p w14:paraId="65127D70" w14:textId="7B6D8ACA"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-0.455</w:t>
            </w:r>
          </w:p>
        </w:tc>
        <w:tc>
          <w:tcPr>
            <w:tcW w:w="798" w:type="pct"/>
            <w:tcBorders>
              <w:top w:val="nil"/>
              <w:left w:val="nil"/>
              <w:bottom w:val="nil"/>
              <w:right w:val="nil"/>
            </w:tcBorders>
          </w:tcPr>
          <w:p w14:paraId="36C32BB6" w14:textId="77777777" w:rsidR="00C414A5" w:rsidRDefault="00C414A5" w:rsidP="00A84C63">
            <w:pPr>
              <w:widowControl w:val="0"/>
              <w:autoSpaceDE w:val="0"/>
              <w:autoSpaceDN w:val="0"/>
              <w:adjustRightInd w:val="0"/>
              <w:spacing w:after="0" w:line="240" w:lineRule="auto"/>
              <w:jc w:val="center"/>
              <w:rPr>
                <w:rFonts w:ascii="Calibri" w:eastAsia="Times New Roman" w:hAnsi="Calibri" w:cs="Calibri"/>
                <w:sz w:val="20"/>
                <w:szCs w:val="20"/>
              </w:rPr>
            </w:pPr>
          </w:p>
          <w:p w14:paraId="116314AC" w14:textId="25332946"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-0.735</w:t>
            </w:r>
          </w:p>
        </w:tc>
      </w:tr>
      <w:tr w:rsidR="002B17CE" w:rsidRPr="00A84C63" w14:paraId="698FBFDD" w14:textId="77777777" w:rsidTr="004D77AC">
        <w:trPr>
          <w:trHeight w:val="815"/>
        </w:trPr>
        <w:tc>
          <w:tcPr>
            <w:tcW w:w="1697" w:type="pct"/>
            <w:tcBorders>
              <w:top w:val="nil"/>
              <w:left w:val="nil"/>
              <w:bottom w:val="nil"/>
              <w:right w:val="nil"/>
            </w:tcBorders>
          </w:tcPr>
          <w:p w14:paraId="6662BB87" w14:textId="5953C2AF" w:rsidR="00A84C63" w:rsidRDefault="002B5057" w:rsidP="00A84C63">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se                            </w:t>
            </w:r>
            <w:r w:rsidR="00A84C63" w:rsidRPr="00A84C63">
              <w:rPr>
                <w:rFonts w:ascii="Calibri" w:eastAsia="Times New Roman" w:hAnsi="Calibri" w:cs="Calibri"/>
                <w:sz w:val="20"/>
                <w:szCs w:val="20"/>
              </w:rPr>
              <w:t xml:space="preserve">  </w:t>
            </w:r>
          </w:p>
          <w:p w14:paraId="52CE1064" w14:textId="4E6E8EDA" w:rsidR="00E819C0" w:rsidRPr="00A84C63" w:rsidRDefault="00D33F74" w:rsidP="00A84C63">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r w:rsidR="00C10EA8">
              <w:rPr>
                <w:rFonts w:ascii="Calibri" w:eastAsia="Times New Roman" w:hAnsi="Calibri" w:cs="Calibri"/>
                <w:sz w:val="20"/>
                <w:szCs w:val="20"/>
              </w:rPr>
              <w:t>95% CI</w:t>
            </w:r>
          </w:p>
          <w:p w14:paraId="74C125F9" w14:textId="77777777" w:rsidR="00A84C63" w:rsidRPr="00A84C63" w:rsidRDefault="00A84C63" w:rsidP="00A84C6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GDP</w:t>
            </w:r>
          </w:p>
        </w:tc>
        <w:tc>
          <w:tcPr>
            <w:tcW w:w="794" w:type="pct"/>
            <w:tcBorders>
              <w:top w:val="nil"/>
              <w:left w:val="nil"/>
              <w:bottom w:val="nil"/>
              <w:right w:val="nil"/>
            </w:tcBorders>
          </w:tcPr>
          <w:p w14:paraId="53FB6AD1" w14:textId="77777777" w:rsid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(.713)</w:t>
            </w:r>
          </w:p>
          <w:p w14:paraId="30DAABEE" w14:textId="46F4FF34" w:rsidR="00A52DB9" w:rsidRPr="00A84C63" w:rsidRDefault="00A52DB9" w:rsidP="00A84C6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[-1.80, 1.06]</w:t>
            </w:r>
          </w:p>
        </w:tc>
        <w:tc>
          <w:tcPr>
            <w:tcW w:w="794" w:type="pct"/>
            <w:tcBorders>
              <w:top w:val="nil"/>
              <w:left w:val="nil"/>
              <w:bottom w:val="nil"/>
              <w:right w:val="nil"/>
            </w:tcBorders>
          </w:tcPr>
          <w:p w14:paraId="56F94120" w14:textId="77777777" w:rsid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(1.079)</w:t>
            </w:r>
          </w:p>
          <w:p w14:paraId="5002A7A5" w14:textId="081B54E7" w:rsidR="00A52DB9" w:rsidRPr="00A84C63" w:rsidRDefault="00A52DB9" w:rsidP="00A84C6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[-2.42, 1.92]</w:t>
            </w:r>
          </w:p>
        </w:tc>
        <w:tc>
          <w:tcPr>
            <w:tcW w:w="918" w:type="pct"/>
            <w:tcBorders>
              <w:top w:val="nil"/>
              <w:left w:val="nil"/>
              <w:bottom w:val="nil"/>
              <w:right w:val="nil"/>
            </w:tcBorders>
          </w:tcPr>
          <w:p w14:paraId="380A9285" w14:textId="77777777" w:rsid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(.976)</w:t>
            </w:r>
          </w:p>
          <w:p w14:paraId="10E64B26" w14:textId="078FCA93" w:rsidR="00A52DB9" w:rsidRPr="00A84C63" w:rsidRDefault="00A52DB9" w:rsidP="00A84C6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E819C0">
              <w:rPr>
                <w:rFonts w:ascii="Calibri" w:eastAsia="Times New Roman" w:hAnsi="Calibri" w:cs="Calibri"/>
                <w:sz w:val="20"/>
                <w:szCs w:val="20"/>
              </w:rPr>
              <w:t>-2.41, 1.51]</w:t>
            </w:r>
          </w:p>
        </w:tc>
        <w:tc>
          <w:tcPr>
            <w:tcW w:w="798" w:type="pct"/>
            <w:tcBorders>
              <w:top w:val="nil"/>
              <w:left w:val="nil"/>
              <w:bottom w:val="nil"/>
              <w:right w:val="nil"/>
            </w:tcBorders>
          </w:tcPr>
          <w:p w14:paraId="6C729547" w14:textId="77777777" w:rsid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(1.356)</w:t>
            </w:r>
          </w:p>
          <w:p w14:paraId="6DDD9AFD" w14:textId="28A271D8" w:rsidR="00E819C0" w:rsidRPr="00A84C63" w:rsidRDefault="00E819C0" w:rsidP="00A84C6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[-3.46, 1.99]</w:t>
            </w:r>
          </w:p>
        </w:tc>
      </w:tr>
      <w:tr w:rsidR="002B17CE" w:rsidRPr="00A84C63" w14:paraId="2405A2AA" w14:textId="77777777" w:rsidTr="004D77AC">
        <w:trPr>
          <w:trHeight w:val="396"/>
        </w:trPr>
        <w:tc>
          <w:tcPr>
            <w:tcW w:w="1697" w:type="pct"/>
            <w:tcBorders>
              <w:top w:val="nil"/>
              <w:left w:val="nil"/>
              <w:bottom w:val="nil"/>
              <w:right w:val="nil"/>
            </w:tcBorders>
          </w:tcPr>
          <w:p w14:paraId="4AC0671D" w14:textId="2943287F" w:rsidR="00A84C63" w:rsidRPr="00A84C63" w:rsidRDefault="00A84C63" w:rsidP="00A84C6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sidR="00D33F74">
              <w:rPr>
                <w:rFonts w:ascii="Calibri" w:eastAsia="Times New Roman" w:hAnsi="Calibri" w:cs="Calibri"/>
                <w:sz w:val="20"/>
                <w:szCs w:val="20"/>
              </w:rPr>
              <w:t xml:space="preserve">                        β</w:t>
            </w:r>
          </w:p>
        </w:tc>
        <w:tc>
          <w:tcPr>
            <w:tcW w:w="794" w:type="pct"/>
            <w:tcBorders>
              <w:top w:val="nil"/>
              <w:left w:val="nil"/>
              <w:bottom w:val="nil"/>
              <w:right w:val="nil"/>
            </w:tcBorders>
          </w:tcPr>
          <w:p w14:paraId="5240979B"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p>
        </w:tc>
        <w:tc>
          <w:tcPr>
            <w:tcW w:w="794" w:type="pct"/>
            <w:tcBorders>
              <w:top w:val="nil"/>
              <w:left w:val="nil"/>
              <w:bottom w:val="nil"/>
              <w:right w:val="nil"/>
            </w:tcBorders>
          </w:tcPr>
          <w:p w14:paraId="1304E782"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-0.01</w:t>
            </w:r>
          </w:p>
        </w:tc>
        <w:tc>
          <w:tcPr>
            <w:tcW w:w="918" w:type="pct"/>
            <w:tcBorders>
              <w:top w:val="nil"/>
              <w:left w:val="nil"/>
              <w:bottom w:val="nil"/>
              <w:right w:val="nil"/>
            </w:tcBorders>
          </w:tcPr>
          <w:p w14:paraId="3E3223AB"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p>
        </w:tc>
        <w:tc>
          <w:tcPr>
            <w:tcW w:w="798" w:type="pct"/>
            <w:tcBorders>
              <w:top w:val="nil"/>
              <w:left w:val="nil"/>
              <w:bottom w:val="nil"/>
              <w:right w:val="nil"/>
            </w:tcBorders>
          </w:tcPr>
          <w:p w14:paraId="248F2EDD"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-0.001</w:t>
            </w:r>
          </w:p>
        </w:tc>
      </w:tr>
      <w:tr w:rsidR="002B17CE" w:rsidRPr="00A84C63" w14:paraId="235A9BA2" w14:textId="77777777" w:rsidTr="004D77AC">
        <w:trPr>
          <w:trHeight w:val="412"/>
        </w:trPr>
        <w:tc>
          <w:tcPr>
            <w:tcW w:w="1697" w:type="pct"/>
            <w:tcBorders>
              <w:top w:val="nil"/>
              <w:left w:val="nil"/>
              <w:bottom w:val="nil"/>
              <w:right w:val="nil"/>
            </w:tcBorders>
          </w:tcPr>
          <w:p w14:paraId="44F81081" w14:textId="58327122" w:rsidR="00A84C63" w:rsidRDefault="00A84C63" w:rsidP="00A84C6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sidR="00D33F74">
              <w:rPr>
                <w:rFonts w:ascii="Calibri" w:eastAsia="Times New Roman" w:hAnsi="Calibri" w:cs="Calibri"/>
                <w:sz w:val="20"/>
                <w:szCs w:val="20"/>
              </w:rPr>
              <w:t xml:space="preserve">                                       se</w:t>
            </w:r>
          </w:p>
          <w:p w14:paraId="073E0716" w14:textId="40EF8F4D" w:rsidR="00C414A5" w:rsidRPr="00A84C63" w:rsidRDefault="007455CD" w:rsidP="00A84C63">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sidRPr="007C01DA">
              <w:rPr>
                <w:rFonts w:ascii="Calibri" w:eastAsia="Times New Roman" w:hAnsi="Calibri" w:cs="Calibri"/>
                <w:b/>
                <w:bCs/>
                <w:sz w:val="20"/>
                <w:szCs w:val="20"/>
              </w:rPr>
              <w:t>Constant</w:t>
            </w:r>
          </w:p>
        </w:tc>
        <w:tc>
          <w:tcPr>
            <w:tcW w:w="794" w:type="pct"/>
            <w:tcBorders>
              <w:top w:val="nil"/>
              <w:left w:val="nil"/>
              <w:bottom w:val="nil"/>
              <w:right w:val="nil"/>
            </w:tcBorders>
          </w:tcPr>
          <w:p w14:paraId="71A29ABA"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p>
        </w:tc>
        <w:tc>
          <w:tcPr>
            <w:tcW w:w="794" w:type="pct"/>
            <w:tcBorders>
              <w:top w:val="nil"/>
              <w:left w:val="nil"/>
              <w:bottom w:val="nil"/>
              <w:right w:val="nil"/>
            </w:tcBorders>
          </w:tcPr>
          <w:p w14:paraId="0616B335"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(0.006)</w:t>
            </w:r>
          </w:p>
        </w:tc>
        <w:tc>
          <w:tcPr>
            <w:tcW w:w="918" w:type="pct"/>
            <w:tcBorders>
              <w:top w:val="nil"/>
              <w:left w:val="nil"/>
              <w:bottom w:val="nil"/>
              <w:right w:val="nil"/>
            </w:tcBorders>
          </w:tcPr>
          <w:p w14:paraId="2FE59F71"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p>
        </w:tc>
        <w:tc>
          <w:tcPr>
            <w:tcW w:w="798" w:type="pct"/>
            <w:tcBorders>
              <w:top w:val="nil"/>
              <w:left w:val="nil"/>
              <w:bottom w:val="nil"/>
              <w:right w:val="nil"/>
            </w:tcBorders>
          </w:tcPr>
          <w:p w14:paraId="17228BD1"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(0.007)</w:t>
            </w:r>
          </w:p>
        </w:tc>
      </w:tr>
      <w:tr w:rsidR="002B17CE" w:rsidRPr="00A84C63" w14:paraId="13E15630" w14:textId="77777777" w:rsidTr="004D77AC">
        <w:trPr>
          <w:trHeight w:val="396"/>
        </w:trPr>
        <w:tc>
          <w:tcPr>
            <w:tcW w:w="1697" w:type="pct"/>
            <w:tcBorders>
              <w:top w:val="nil"/>
              <w:left w:val="nil"/>
              <w:bottom w:val="nil"/>
              <w:right w:val="nil"/>
            </w:tcBorders>
          </w:tcPr>
          <w:p w14:paraId="66114CFF" w14:textId="17E61DF8" w:rsidR="00A84C63" w:rsidRPr="00A84C63" w:rsidRDefault="00A84C63" w:rsidP="00A84C6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sidR="007455CD">
              <w:rPr>
                <w:rFonts w:ascii="Calibri" w:eastAsia="Times New Roman" w:hAnsi="Calibri" w:cs="Calibri"/>
                <w:sz w:val="20"/>
                <w:szCs w:val="20"/>
              </w:rPr>
              <w:t xml:space="preserve">                                        β</w:t>
            </w:r>
          </w:p>
        </w:tc>
        <w:tc>
          <w:tcPr>
            <w:tcW w:w="794" w:type="pct"/>
            <w:tcBorders>
              <w:top w:val="nil"/>
              <w:left w:val="nil"/>
              <w:bottom w:val="nil"/>
              <w:right w:val="nil"/>
            </w:tcBorders>
          </w:tcPr>
          <w:p w14:paraId="40C3C6DA"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4.116**</w:t>
            </w:r>
          </w:p>
        </w:tc>
        <w:tc>
          <w:tcPr>
            <w:tcW w:w="794" w:type="pct"/>
            <w:tcBorders>
              <w:top w:val="nil"/>
              <w:left w:val="nil"/>
              <w:bottom w:val="nil"/>
              <w:right w:val="nil"/>
            </w:tcBorders>
          </w:tcPr>
          <w:p w14:paraId="31B06878"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3.809</w:t>
            </w:r>
          </w:p>
        </w:tc>
        <w:tc>
          <w:tcPr>
            <w:tcW w:w="918" w:type="pct"/>
            <w:tcBorders>
              <w:top w:val="nil"/>
              <w:left w:val="nil"/>
              <w:bottom w:val="nil"/>
              <w:right w:val="nil"/>
            </w:tcBorders>
          </w:tcPr>
          <w:p w14:paraId="57A4A42D"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2.562</w:t>
            </w:r>
          </w:p>
        </w:tc>
        <w:tc>
          <w:tcPr>
            <w:tcW w:w="798" w:type="pct"/>
            <w:tcBorders>
              <w:top w:val="nil"/>
              <w:left w:val="nil"/>
              <w:bottom w:val="nil"/>
              <w:right w:val="nil"/>
            </w:tcBorders>
          </w:tcPr>
          <w:p w14:paraId="623B315B"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13.761***</w:t>
            </w:r>
          </w:p>
        </w:tc>
      </w:tr>
      <w:tr w:rsidR="002B17CE" w:rsidRPr="00A84C63" w14:paraId="2EA73930" w14:textId="77777777" w:rsidTr="004D77AC">
        <w:trPr>
          <w:trHeight w:val="602"/>
        </w:trPr>
        <w:tc>
          <w:tcPr>
            <w:tcW w:w="1697" w:type="pct"/>
            <w:tcBorders>
              <w:top w:val="nil"/>
              <w:left w:val="nil"/>
              <w:bottom w:val="single" w:sz="4" w:space="0" w:color="auto"/>
              <w:right w:val="nil"/>
            </w:tcBorders>
          </w:tcPr>
          <w:p w14:paraId="46B43904" w14:textId="788A0945" w:rsidR="00A84C63" w:rsidRPr="00A84C63" w:rsidRDefault="00A84C63" w:rsidP="00A84C6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sidR="007455CD">
              <w:rPr>
                <w:rFonts w:ascii="Calibri" w:eastAsia="Times New Roman" w:hAnsi="Calibri" w:cs="Calibri"/>
                <w:sz w:val="20"/>
                <w:szCs w:val="20"/>
              </w:rPr>
              <w:t xml:space="preserve">                                       se</w:t>
            </w:r>
          </w:p>
        </w:tc>
        <w:tc>
          <w:tcPr>
            <w:tcW w:w="794" w:type="pct"/>
            <w:tcBorders>
              <w:top w:val="nil"/>
              <w:left w:val="nil"/>
              <w:bottom w:val="single" w:sz="4" w:space="0" w:color="auto"/>
              <w:right w:val="nil"/>
            </w:tcBorders>
          </w:tcPr>
          <w:p w14:paraId="0AFC3688"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(1.54)</w:t>
            </w:r>
          </w:p>
        </w:tc>
        <w:tc>
          <w:tcPr>
            <w:tcW w:w="794" w:type="pct"/>
            <w:tcBorders>
              <w:top w:val="nil"/>
              <w:left w:val="nil"/>
              <w:bottom w:val="single" w:sz="4" w:space="0" w:color="auto"/>
              <w:right w:val="nil"/>
            </w:tcBorders>
          </w:tcPr>
          <w:p w14:paraId="08C4BE5A"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(2.351)</w:t>
            </w:r>
          </w:p>
        </w:tc>
        <w:tc>
          <w:tcPr>
            <w:tcW w:w="918" w:type="pct"/>
            <w:tcBorders>
              <w:top w:val="nil"/>
              <w:left w:val="nil"/>
              <w:bottom w:val="single" w:sz="4" w:space="0" w:color="auto"/>
              <w:right w:val="nil"/>
            </w:tcBorders>
          </w:tcPr>
          <w:p w14:paraId="7EC725FC"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(1.93)</w:t>
            </w:r>
          </w:p>
        </w:tc>
        <w:tc>
          <w:tcPr>
            <w:tcW w:w="798" w:type="pct"/>
            <w:tcBorders>
              <w:top w:val="nil"/>
              <w:left w:val="nil"/>
              <w:bottom w:val="single" w:sz="4" w:space="0" w:color="auto"/>
              <w:right w:val="nil"/>
            </w:tcBorders>
          </w:tcPr>
          <w:p w14:paraId="39092397"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(2.507)</w:t>
            </w:r>
          </w:p>
        </w:tc>
      </w:tr>
      <w:tr w:rsidR="002B17CE" w:rsidRPr="00A84C63" w14:paraId="501F71F2" w14:textId="77777777" w:rsidTr="004D77AC">
        <w:trPr>
          <w:trHeight w:val="278"/>
        </w:trPr>
        <w:tc>
          <w:tcPr>
            <w:tcW w:w="1697" w:type="pct"/>
            <w:tcBorders>
              <w:top w:val="single" w:sz="4" w:space="0" w:color="auto"/>
              <w:left w:val="nil"/>
              <w:bottom w:val="nil"/>
              <w:right w:val="nil"/>
            </w:tcBorders>
          </w:tcPr>
          <w:p w14:paraId="6049BE67" w14:textId="77777777" w:rsidR="00A84C63" w:rsidRPr="00A84C63" w:rsidRDefault="00A84C63" w:rsidP="00A84C6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Observations</w:t>
            </w:r>
          </w:p>
        </w:tc>
        <w:tc>
          <w:tcPr>
            <w:tcW w:w="794" w:type="pct"/>
            <w:tcBorders>
              <w:top w:val="single" w:sz="4" w:space="0" w:color="auto"/>
              <w:left w:val="nil"/>
              <w:bottom w:val="nil"/>
              <w:right w:val="nil"/>
            </w:tcBorders>
          </w:tcPr>
          <w:p w14:paraId="081A58B4"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6324</w:t>
            </w:r>
          </w:p>
        </w:tc>
        <w:tc>
          <w:tcPr>
            <w:tcW w:w="794" w:type="pct"/>
            <w:tcBorders>
              <w:top w:val="single" w:sz="4" w:space="0" w:color="auto"/>
              <w:left w:val="nil"/>
              <w:bottom w:val="nil"/>
              <w:right w:val="nil"/>
            </w:tcBorders>
          </w:tcPr>
          <w:p w14:paraId="75C9985A"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3060</w:t>
            </w:r>
          </w:p>
        </w:tc>
        <w:tc>
          <w:tcPr>
            <w:tcW w:w="918" w:type="pct"/>
            <w:tcBorders>
              <w:top w:val="single" w:sz="4" w:space="0" w:color="auto"/>
              <w:left w:val="nil"/>
              <w:bottom w:val="nil"/>
              <w:right w:val="nil"/>
            </w:tcBorders>
          </w:tcPr>
          <w:p w14:paraId="51E69FEB"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6324</w:t>
            </w:r>
          </w:p>
        </w:tc>
        <w:tc>
          <w:tcPr>
            <w:tcW w:w="798" w:type="pct"/>
            <w:tcBorders>
              <w:top w:val="single" w:sz="4" w:space="0" w:color="auto"/>
              <w:left w:val="nil"/>
              <w:bottom w:val="nil"/>
              <w:right w:val="nil"/>
            </w:tcBorders>
          </w:tcPr>
          <w:p w14:paraId="1791D184" w14:textId="77777777" w:rsidR="00A84C63" w:rsidRPr="00A84C63" w:rsidRDefault="00A84C63" w:rsidP="00A84C6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3060</w:t>
            </w:r>
          </w:p>
        </w:tc>
      </w:tr>
      <w:tr w:rsidR="002B17CE" w:rsidRPr="00A84C63" w14:paraId="7C2EEE9A" w14:textId="77777777" w:rsidTr="004D77AC">
        <w:trPr>
          <w:trHeight w:val="270"/>
        </w:trPr>
        <w:tc>
          <w:tcPr>
            <w:tcW w:w="1697" w:type="pct"/>
            <w:tcBorders>
              <w:top w:val="nil"/>
              <w:left w:val="nil"/>
              <w:bottom w:val="nil"/>
              <w:right w:val="nil"/>
            </w:tcBorders>
          </w:tcPr>
          <w:p w14:paraId="61632535" w14:textId="26920331" w:rsidR="00096043" w:rsidRPr="00A84C63" w:rsidRDefault="00A84C63" w:rsidP="00A84C6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R-squared</w:t>
            </w:r>
          </w:p>
        </w:tc>
        <w:tc>
          <w:tcPr>
            <w:tcW w:w="794" w:type="pct"/>
            <w:tcBorders>
              <w:top w:val="nil"/>
              <w:left w:val="nil"/>
              <w:bottom w:val="nil"/>
              <w:right w:val="nil"/>
            </w:tcBorders>
          </w:tcPr>
          <w:p w14:paraId="3397495B" w14:textId="67285D56" w:rsidR="00DF235E" w:rsidRPr="00A84C63" w:rsidRDefault="00A84C63" w:rsidP="009E788D">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0.721</w:t>
            </w:r>
          </w:p>
        </w:tc>
        <w:tc>
          <w:tcPr>
            <w:tcW w:w="794" w:type="pct"/>
            <w:tcBorders>
              <w:top w:val="nil"/>
              <w:left w:val="nil"/>
              <w:bottom w:val="nil"/>
              <w:right w:val="nil"/>
            </w:tcBorders>
          </w:tcPr>
          <w:p w14:paraId="4DE5FF80" w14:textId="339EA8F1" w:rsidR="00DF235E" w:rsidRPr="00A84C63" w:rsidRDefault="00A84C63" w:rsidP="009E788D">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0.819</w:t>
            </w:r>
          </w:p>
        </w:tc>
        <w:tc>
          <w:tcPr>
            <w:tcW w:w="918" w:type="pct"/>
            <w:tcBorders>
              <w:top w:val="nil"/>
              <w:left w:val="nil"/>
              <w:bottom w:val="nil"/>
              <w:right w:val="nil"/>
            </w:tcBorders>
          </w:tcPr>
          <w:p w14:paraId="0B87AA5E" w14:textId="5824BE2A" w:rsidR="00DF235E" w:rsidRPr="00A84C63" w:rsidRDefault="00A84C63" w:rsidP="009E788D">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0.76</w:t>
            </w:r>
          </w:p>
        </w:tc>
        <w:tc>
          <w:tcPr>
            <w:tcW w:w="798" w:type="pct"/>
            <w:tcBorders>
              <w:top w:val="nil"/>
              <w:left w:val="nil"/>
              <w:bottom w:val="nil"/>
              <w:right w:val="nil"/>
            </w:tcBorders>
          </w:tcPr>
          <w:p w14:paraId="6E9F9BF5" w14:textId="114AFD06" w:rsidR="00DF235E" w:rsidRPr="00A84C63" w:rsidRDefault="00A84C63" w:rsidP="009E788D">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0.85</w:t>
            </w:r>
          </w:p>
        </w:tc>
      </w:tr>
      <w:tr w:rsidR="009E788D" w:rsidRPr="00A84C63" w14:paraId="7E898A52" w14:textId="77777777" w:rsidTr="004D77AC">
        <w:trPr>
          <w:trHeight w:val="270"/>
        </w:trPr>
        <w:tc>
          <w:tcPr>
            <w:tcW w:w="1697" w:type="pct"/>
            <w:tcBorders>
              <w:top w:val="nil"/>
              <w:left w:val="nil"/>
              <w:bottom w:val="nil"/>
              <w:right w:val="nil"/>
            </w:tcBorders>
          </w:tcPr>
          <w:p w14:paraId="29D68784" w14:textId="1A287E88" w:rsidR="009E788D" w:rsidRPr="009E788D" w:rsidRDefault="009E788D" w:rsidP="00A84C63">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Pr>
                <w:rFonts w:ascii="Calibri" w:eastAsia="Times New Roman" w:hAnsi="Calibri" w:cs="Calibri"/>
                <w:b/>
                <w:bCs/>
                <w:sz w:val="20"/>
                <w:szCs w:val="20"/>
              </w:rPr>
              <w:t>GDP</w:t>
            </w:r>
          </w:p>
        </w:tc>
        <w:tc>
          <w:tcPr>
            <w:tcW w:w="794" w:type="pct"/>
            <w:tcBorders>
              <w:top w:val="nil"/>
              <w:left w:val="nil"/>
              <w:bottom w:val="nil"/>
              <w:right w:val="nil"/>
            </w:tcBorders>
          </w:tcPr>
          <w:p w14:paraId="26199844" w14:textId="00402E50" w:rsidR="00485124" w:rsidRPr="00A84C63" w:rsidRDefault="00D45AFE" w:rsidP="004851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794" w:type="pct"/>
            <w:tcBorders>
              <w:top w:val="nil"/>
              <w:left w:val="nil"/>
              <w:bottom w:val="nil"/>
              <w:right w:val="nil"/>
            </w:tcBorders>
          </w:tcPr>
          <w:p w14:paraId="3EF31CDB" w14:textId="59C76C84" w:rsidR="00D45AFE" w:rsidRPr="00A84C63" w:rsidRDefault="00D45AFE" w:rsidP="00D45AFE">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918" w:type="pct"/>
            <w:tcBorders>
              <w:top w:val="nil"/>
              <w:left w:val="nil"/>
              <w:bottom w:val="nil"/>
              <w:right w:val="nil"/>
            </w:tcBorders>
          </w:tcPr>
          <w:p w14:paraId="0FA6C139" w14:textId="652E3432" w:rsidR="00D45AFE" w:rsidRPr="00A84C63" w:rsidRDefault="00D45AFE" w:rsidP="00D45AFE">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798" w:type="pct"/>
            <w:tcBorders>
              <w:top w:val="nil"/>
              <w:left w:val="nil"/>
              <w:bottom w:val="nil"/>
              <w:right w:val="nil"/>
            </w:tcBorders>
          </w:tcPr>
          <w:p w14:paraId="0B4F5C03" w14:textId="6C3B19E2" w:rsidR="00D45AFE" w:rsidRPr="00A84C63" w:rsidRDefault="00D45AFE" w:rsidP="00D45AFE">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485124" w:rsidRPr="00A84C63" w14:paraId="0F3ACE67" w14:textId="77777777" w:rsidTr="004D77AC">
        <w:trPr>
          <w:trHeight w:val="333"/>
        </w:trPr>
        <w:tc>
          <w:tcPr>
            <w:tcW w:w="1697" w:type="pct"/>
            <w:tcBorders>
              <w:top w:val="nil"/>
              <w:left w:val="nil"/>
              <w:bottom w:val="nil"/>
              <w:right w:val="nil"/>
            </w:tcBorders>
          </w:tcPr>
          <w:p w14:paraId="63E52A42" w14:textId="6D678D5A" w:rsidR="00485124" w:rsidRPr="00485124" w:rsidRDefault="00485124" w:rsidP="00A84C63">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Pr>
                <w:rFonts w:ascii="Calibri" w:eastAsia="Times New Roman" w:hAnsi="Calibri" w:cs="Calibri"/>
                <w:b/>
                <w:bCs/>
                <w:sz w:val="20"/>
                <w:szCs w:val="20"/>
              </w:rPr>
              <w:t>Time-variant state effect</w:t>
            </w:r>
          </w:p>
        </w:tc>
        <w:tc>
          <w:tcPr>
            <w:tcW w:w="794" w:type="pct"/>
            <w:tcBorders>
              <w:top w:val="nil"/>
              <w:left w:val="nil"/>
              <w:bottom w:val="nil"/>
              <w:right w:val="nil"/>
            </w:tcBorders>
          </w:tcPr>
          <w:p w14:paraId="69931013" w14:textId="6A221DD3" w:rsidR="00485124" w:rsidRDefault="00485124" w:rsidP="004851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794" w:type="pct"/>
            <w:tcBorders>
              <w:top w:val="nil"/>
              <w:left w:val="nil"/>
              <w:bottom w:val="nil"/>
              <w:right w:val="nil"/>
            </w:tcBorders>
          </w:tcPr>
          <w:p w14:paraId="49DC8A89" w14:textId="402B7830" w:rsidR="00485124" w:rsidRDefault="00485124" w:rsidP="00D45AFE">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918" w:type="pct"/>
            <w:tcBorders>
              <w:top w:val="nil"/>
              <w:left w:val="nil"/>
              <w:bottom w:val="nil"/>
              <w:right w:val="nil"/>
            </w:tcBorders>
          </w:tcPr>
          <w:p w14:paraId="2CBB773F" w14:textId="1B0C2E15" w:rsidR="00485124" w:rsidRDefault="00485124" w:rsidP="00D45AFE">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798" w:type="pct"/>
            <w:tcBorders>
              <w:top w:val="nil"/>
              <w:left w:val="nil"/>
              <w:bottom w:val="nil"/>
              <w:right w:val="nil"/>
            </w:tcBorders>
          </w:tcPr>
          <w:p w14:paraId="2EDA7EAF" w14:textId="3FE0D813" w:rsidR="00485124" w:rsidRDefault="00485124" w:rsidP="00D45AFE">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A84C63" w:rsidRPr="00A84C63" w14:paraId="083C4202" w14:textId="77777777" w:rsidTr="004D77AC">
        <w:trPr>
          <w:trHeight w:val="396"/>
        </w:trPr>
        <w:tc>
          <w:tcPr>
            <w:tcW w:w="5000" w:type="pct"/>
            <w:gridSpan w:val="5"/>
            <w:tcBorders>
              <w:top w:val="single" w:sz="6" w:space="0" w:color="auto"/>
              <w:left w:val="nil"/>
              <w:bottom w:val="nil"/>
              <w:right w:val="nil"/>
            </w:tcBorders>
          </w:tcPr>
          <w:p w14:paraId="2F8479AA" w14:textId="2B06E300" w:rsidR="00A84C63" w:rsidRPr="00A84C63" w:rsidRDefault="00940722" w:rsidP="00A84C63">
            <w:pPr>
              <w:widowControl w:val="0"/>
              <w:autoSpaceDE w:val="0"/>
              <w:autoSpaceDN w:val="0"/>
              <w:adjustRightInd w:val="0"/>
              <w:spacing w:after="0" w:line="240" w:lineRule="auto"/>
              <w:rPr>
                <w:rFonts w:ascii="Calibri" w:eastAsia="Times New Roman" w:hAnsi="Calibri" w:cs="Calibri"/>
                <w:i/>
                <w:iCs/>
                <w:sz w:val="20"/>
                <w:szCs w:val="20"/>
              </w:rPr>
            </w:pPr>
            <w:r>
              <w:rPr>
                <w:rFonts w:ascii="Calibri" w:eastAsia="Times New Roman" w:hAnsi="Calibri" w:cs="Calibri"/>
                <w:i/>
                <w:iCs/>
                <w:sz w:val="20"/>
                <w:szCs w:val="20"/>
              </w:rPr>
              <w:t>Clustered</w:t>
            </w:r>
            <w:r w:rsidR="00A84C63" w:rsidRPr="00A84C63">
              <w:rPr>
                <w:rFonts w:ascii="Calibri" w:eastAsia="Times New Roman" w:hAnsi="Calibri" w:cs="Calibri"/>
                <w:i/>
                <w:iCs/>
                <w:sz w:val="20"/>
                <w:szCs w:val="20"/>
              </w:rPr>
              <w:t xml:space="preserve"> standard errors are in parentheses</w:t>
            </w:r>
            <w:r w:rsidR="0086682C">
              <w:rPr>
                <w:rFonts w:ascii="Calibri" w:eastAsia="Times New Roman" w:hAnsi="Calibri" w:cs="Calibri"/>
                <w:i/>
                <w:iCs/>
                <w:sz w:val="20"/>
                <w:szCs w:val="20"/>
              </w:rPr>
              <w:t xml:space="preserve">. </w:t>
            </w:r>
            <w:r w:rsidR="00BA39FD">
              <w:rPr>
                <w:rFonts w:ascii="Calibri" w:eastAsia="Times New Roman" w:hAnsi="Calibri" w:cs="Calibri"/>
                <w:i/>
                <w:iCs/>
                <w:sz w:val="20"/>
                <w:szCs w:val="20"/>
              </w:rPr>
              <w:t>Indicator variables omitted in</w:t>
            </w:r>
            <w:r w:rsidR="005F2AD6">
              <w:rPr>
                <w:rFonts w:ascii="Calibri" w:eastAsia="Times New Roman" w:hAnsi="Calibri" w:cs="Calibri"/>
                <w:i/>
                <w:iCs/>
                <w:sz w:val="20"/>
                <w:szCs w:val="20"/>
              </w:rPr>
              <w:t xml:space="preserve"> the</w:t>
            </w:r>
            <w:r w:rsidR="00BA39FD">
              <w:rPr>
                <w:rFonts w:ascii="Calibri" w:eastAsia="Times New Roman" w:hAnsi="Calibri" w:cs="Calibri"/>
                <w:i/>
                <w:iCs/>
                <w:sz w:val="20"/>
                <w:szCs w:val="20"/>
              </w:rPr>
              <w:t xml:space="preserve"> output table.</w:t>
            </w:r>
          </w:p>
        </w:tc>
      </w:tr>
      <w:tr w:rsidR="00A84C63" w:rsidRPr="00A84C63" w14:paraId="0DB51BA1" w14:textId="77777777" w:rsidTr="004D77AC">
        <w:trPr>
          <w:trHeight w:val="412"/>
        </w:trPr>
        <w:tc>
          <w:tcPr>
            <w:tcW w:w="5000" w:type="pct"/>
            <w:gridSpan w:val="5"/>
            <w:tcBorders>
              <w:top w:val="nil"/>
              <w:left w:val="nil"/>
              <w:bottom w:val="single" w:sz="4" w:space="0" w:color="auto"/>
              <w:right w:val="nil"/>
            </w:tcBorders>
          </w:tcPr>
          <w:p w14:paraId="0ABCF2A3" w14:textId="77777777" w:rsidR="00A84C63" w:rsidRPr="00A84C63" w:rsidRDefault="00A84C63" w:rsidP="00A84C63">
            <w:pPr>
              <w:widowControl w:val="0"/>
              <w:autoSpaceDE w:val="0"/>
              <w:autoSpaceDN w:val="0"/>
              <w:adjustRightInd w:val="0"/>
              <w:spacing w:after="0" w:line="240" w:lineRule="auto"/>
              <w:rPr>
                <w:rFonts w:ascii="Calibri" w:eastAsia="Times New Roman" w:hAnsi="Calibri" w:cs="Calibri"/>
                <w:i/>
                <w:iCs/>
                <w:sz w:val="20"/>
                <w:szCs w:val="20"/>
              </w:rPr>
            </w:pPr>
            <w:r w:rsidRPr="00A84C63">
              <w:rPr>
                <w:rFonts w:ascii="Calibri" w:eastAsia="Times New Roman" w:hAnsi="Calibri" w:cs="Calibri"/>
                <w:i/>
                <w:iCs/>
                <w:sz w:val="20"/>
                <w:szCs w:val="20"/>
              </w:rPr>
              <w:t xml:space="preserve">*** p&lt;.01, ** p&lt;.05, * p&lt;.1 </w:t>
            </w:r>
          </w:p>
        </w:tc>
      </w:tr>
    </w:tbl>
    <w:p w14:paraId="776F3F70" w14:textId="691704A6" w:rsidR="0022176B" w:rsidRDefault="0022176B" w:rsidP="008E448F">
      <w:pPr>
        <w:spacing w:line="480" w:lineRule="auto"/>
      </w:pPr>
    </w:p>
    <w:p w14:paraId="25AEB778" w14:textId="433BA78E" w:rsidR="005F3AB5" w:rsidRDefault="0028208A" w:rsidP="003D1DF3">
      <w:pPr>
        <w:spacing w:line="480" w:lineRule="auto"/>
        <w:ind w:firstLine="720"/>
        <w:rPr>
          <w:sz w:val="24"/>
          <w:szCs w:val="24"/>
        </w:rPr>
      </w:pPr>
      <w:r w:rsidRPr="006557A5">
        <w:rPr>
          <w:sz w:val="24"/>
          <w:szCs w:val="24"/>
        </w:rPr>
        <w:t>The baseline specification provided by model 1 shows a</w:t>
      </w:r>
      <w:r w:rsidR="00942341">
        <w:rPr>
          <w:sz w:val="24"/>
          <w:szCs w:val="24"/>
        </w:rPr>
        <w:t xml:space="preserve"> semi-</w:t>
      </w:r>
      <w:r w:rsidRPr="006557A5">
        <w:rPr>
          <w:sz w:val="24"/>
          <w:szCs w:val="24"/>
        </w:rPr>
        <w:t xml:space="preserve">elasticity </w:t>
      </w:r>
      <w:r w:rsidR="004D00B9" w:rsidRPr="006557A5">
        <w:rPr>
          <w:sz w:val="24"/>
          <w:szCs w:val="24"/>
        </w:rPr>
        <w:t>of -0.</w:t>
      </w:r>
      <w:r w:rsidR="00C410DD">
        <w:rPr>
          <w:sz w:val="24"/>
          <w:szCs w:val="24"/>
        </w:rPr>
        <w:t>372</w:t>
      </w:r>
      <w:r w:rsidR="003470BD">
        <w:rPr>
          <w:sz w:val="24"/>
          <w:szCs w:val="24"/>
        </w:rPr>
        <w:t xml:space="preserve">, which </w:t>
      </w:r>
      <w:r w:rsidR="006557A5" w:rsidRPr="006557A5">
        <w:rPr>
          <w:sz w:val="24"/>
          <w:szCs w:val="24"/>
        </w:rPr>
        <w:t xml:space="preserve">seems to contradict the canonical </w:t>
      </w:r>
      <w:r w:rsidR="00A572E4">
        <w:rPr>
          <w:sz w:val="24"/>
          <w:szCs w:val="24"/>
        </w:rPr>
        <w:t xml:space="preserve">assumption of </w:t>
      </w:r>
      <w:r w:rsidR="001D3A9B">
        <w:rPr>
          <w:sz w:val="24"/>
          <w:szCs w:val="24"/>
        </w:rPr>
        <w:t xml:space="preserve">a </w:t>
      </w:r>
      <w:r w:rsidR="0001488F">
        <w:rPr>
          <w:sz w:val="24"/>
          <w:szCs w:val="24"/>
        </w:rPr>
        <w:t>positive association between minimum wages and unemployment</w:t>
      </w:r>
      <w:r w:rsidR="006C161C">
        <w:rPr>
          <w:sz w:val="24"/>
          <w:szCs w:val="24"/>
        </w:rPr>
        <w:t xml:space="preserve">. </w:t>
      </w:r>
      <w:r w:rsidR="0014046D">
        <w:rPr>
          <w:sz w:val="24"/>
          <w:szCs w:val="24"/>
        </w:rPr>
        <w:t xml:space="preserve">However, this estimate is statistically insignificant. </w:t>
      </w:r>
      <w:r w:rsidR="00BD03E8">
        <w:rPr>
          <w:sz w:val="24"/>
          <w:szCs w:val="24"/>
        </w:rPr>
        <w:t xml:space="preserve">Adding GDP as a control </w:t>
      </w:r>
      <w:r w:rsidR="008D7B87">
        <w:rPr>
          <w:sz w:val="24"/>
          <w:szCs w:val="24"/>
        </w:rPr>
        <w:t xml:space="preserve">in model 2 reduces the </w:t>
      </w:r>
      <w:r w:rsidR="00942341">
        <w:rPr>
          <w:sz w:val="24"/>
          <w:szCs w:val="24"/>
        </w:rPr>
        <w:t>estimate to -0.248</w:t>
      </w:r>
      <w:r w:rsidR="0014046D">
        <w:rPr>
          <w:sz w:val="24"/>
          <w:szCs w:val="24"/>
        </w:rPr>
        <w:t>, and m</w:t>
      </w:r>
      <w:r w:rsidR="00072A06">
        <w:rPr>
          <w:sz w:val="24"/>
          <w:szCs w:val="24"/>
        </w:rPr>
        <w:t xml:space="preserve">odels 3 and 4 which include </w:t>
      </w:r>
      <w:r w:rsidR="00087F90">
        <w:rPr>
          <w:sz w:val="24"/>
          <w:szCs w:val="24"/>
        </w:rPr>
        <w:t xml:space="preserve">time-variant </w:t>
      </w:r>
      <w:r w:rsidR="00047902">
        <w:rPr>
          <w:sz w:val="24"/>
          <w:szCs w:val="24"/>
        </w:rPr>
        <w:t>state</w:t>
      </w:r>
      <w:r w:rsidR="00087F90">
        <w:rPr>
          <w:sz w:val="24"/>
          <w:szCs w:val="24"/>
        </w:rPr>
        <w:t xml:space="preserve"> effects</w:t>
      </w:r>
      <w:r w:rsidR="00072A06">
        <w:rPr>
          <w:sz w:val="24"/>
          <w:szCs w:val="24"/>
        </w:rPr>
        <w:t xml:space="preserve"> </w:t>
      </w:r>
      <w:r w:rsidR="00647442">
        <w:rPr>
          <w:sz w:val="24"/>
          <w:szCs w:val="24"/>
        </w:rPr>
        <w:t>again produce</w:t>
      </w:r>
      <w:r w:rsidR="000E5B94">
        <w:rPr>
          <w:sz w:val="24"/>
          <w:szCs w:val="24"/>
        </w:rPr>
        <w:t xml:space="preserve"> </w:t>
      </w:r>
      <w:r w:rsidR="00647442">
        <w:rPr>
          <w:sz w:val="24"/>
          <w:szCs w:val="24"/>
        </w:rPr>
        <w:t xml:space="preserve">negative </w:t>
      </w:r>
      <w:r w:rsidR="00942341">
        <w:rPr>
          <w:sz w:val="24"/>
          <w:szCs w:val="24"/>
        </w:rPr>
        <w:t>semi-</w:t>
      </w:r>
      <w:r w:rsidR="00647442">
        <w:rPr>
          <w:sz w:val="24"/>
          <w:szCs w:val="24"/>
        </w:rPr>
        <w:t>elasticit</w:t>
      </w:r>
      <w:r w:rsidR="003C08F3">
        <w:rPr>
          <w:sz w:val="24"/>
          <w:szCs w:val="24"/>
        </w:rPr>
        <w:t>ies</w:t>
      </w:r>
      <w:r w:rsidR="000E5B94">
        <w:rPr>
          <w:sz w:val="24"/>
          <w:szCs w:val="24"/>
        </w:rPr>
        <w:t xml:space="preserve"> of -</w:t>
      </w:r>
      <w:r w:rsidR="009A4AA7">
        <w:rPr>
          <w:sz w:val="24"/>
          <w:szCs w:val="24"/>
        </w:rPr>
        <w:t>0.</w:t>
      </w:r>
      <w:r w:rsidR="00942341">
        <w:rPr>
          <w:sz w:val="24"/>
          <w:szCs w:val="24"/>
        </w:rPr>
        <w:t>45</w:t>
      </w:r>
      <w:r w:rsidR="00794AC1">
        <w:rPr>
          <w:sz w:val="24"/>
          <w:szCs w:val="24"/>
        </w:rPr>
        <w:t>5</w:t>
      </w:r>
      <w:r w:rsidR="000E5B94">
        <w:rPr>
          <w:sz w:val="24"/>
          <w:szCs w:val="24"/>
        </w:rPr>
        <w:t xml:space="preserve"> and -0.</w:t>
      </w:r>
      <w:r w:rsidR="00813D34">
        <w:rPr>
          <w:sz w:val="24"/>
          <w:szCs w:val="24"/>
        </w:rPr>
        <w:t xml:space="preserve">735 </w:t>
      </w:r>
      <w:r w:rsidR="000E5B94">
        <w:rPr>
          <w:sz w:val="24"/>
          <w:szCs w:val="24"/>
        </w:rPr>
        <w:t>respectively</w:t>
      </w:r>
      <w:r w:rsidR="00647442">
        <w:rPr>
          <w:sz w:val="24"/>
          <w:szCs w:val="24"/>
        </w:rPr>
        <w:t>.</w:t>
      </w:r>
      <w:r w:rsidR="00CF0164">
        <w:rPr>
          <w:sz w:val="24"/>
          <w:szCs w:val="24"/>
        </w:rPr>
        <w:t xml:space="preserve"> </w:t>
      </w:r>
      <w:r w:rsidR="000556FE">
        <w:rPr>
          <w:sz w:val="24"/>
          <w:szCs w:val="24"/>
        </w:rPr>
        <w:t xml:space="preserve">None of the </w:t>
      </w:r>
      <w:r w:rsidR="002E7EBC">
        <w:rPr>
          <w:sz w:val="24"/>
          <w:szCs w:val="24"/>
        </w:rPr>
        <w:t xml:space="preserve">models </w:t>
      </w:r>
      <w:r w:rsidR="00204EB2">
        <w:rPr>
          <w:sz w:val="24"/>
          <w:szCs w:val="24"/>
        </w:rPr>
        <w:t xml:space="preserve">estimate a </w:t>
      </w:r>
      <w:r w:rsidR="000556FE">
        <w:rPr>
          <w:sz w:val="24"/>
          <w:szCs w:val="24"/>
        </w:rPr>
        <w:t>statistically significant</w:t>
      </w:r>
      <w:r w:rsidR="00BF26F3">
        <w:rPr>
          <w:sz w:val="24"/>
          <w:szCs w:val="24"/>
        </w:rPr>
        <w:t xml:space="preserve"> </w:t>
      </w:r>
      <w:r w:rsidR="005B2A07">
        <w:rPr>
          <w:sz w:val="24"/>
          <w:szCs w:val="24"/>
        </w:rPr>
        <w:t>semi-</w:t>
      </w:r>
      <w:r w:rsidR="00204EB2">
        <w:rPr>
          <w:sz w:val="24"/>
          <w:szCs w:val="24"/>
        </w:rPr>
        <w:t xml:space="preserve">elasticity, </w:t>
      </w:r>
      <w:r w:rsidR="00BF26F3">
        <w:rPr>
          <w:sz w:val="24"/>
          <w:szCs w:val="24"/>
        </w:rPr>
        <w:t xml:space="preserve">and </w:t>
      </w:r>
      <w:r w:rsidR="00D52CC7">
        <w:rPr>
          <w:sz w:val="24"/>
          <w:szCs w:val="24"/>
        </w:rPr>
        <w:t xml:space="preserve">the </w:t>
      </w:r>
      <w:r w:rsidR="002009BA">
        <w:rPr>
          <w:sz w:val="24"/>
          <w:szCs w:val="24"/>
        </w:rPr>
        <w:t xml:space="preserve">large </w:t>
      </w:r>
      <w:r w:rsidR="00BF26F3">
        <w:rPr>
          <w:sz w:val="24"/>
          <w:szCs w:val="24"/>
        </w:rPr>
        <w:t>standard errors</w:t>
      </w:r>
      <w:r w:rsidR="00505DB6">
        <w:rPr>
          <w:sz w:val="24"/>
          <w:szCs w:val="24"/>
        </w:rPr>
        <w:t xml:space="preserve"> produce</w:t>
      </w:r>
      <w:r w:rsidR="007F18BE">
        <w:rPr>
          <w:sz w:val="24"/>
          <w:szCs w:val="24"/>
        </w:rPr>
        <w:t xml:space="preserve"> imprecis</w:t>
      </w:r>
      <w:r w:rsidR="00D52CC7">
        <w:rPr>
          <w:sz w:val="24"/>
          <w:szCs w:val="24"/>
        </w:rPr>
        <w:t>e</w:t>
      </w:r>
      <w:r w:rsidR="000556FE">
        <w:rPr>
          <w:sz w:val="24"/>
          <w:szCs w:val="24"/>
        </w:rPr>
        <w:t xml:space="preserve"> </w:t>
      </w:r>
      <w:r w:rsidR="00EC6006">
        <w:rPr>
          <w:sz w:val="24"/>
          <w:szCs w:val="24"/>
        </w:rPr>
        <w:t>95% confide</w:t>
      </w:r>
      <w:r w:rsidR="000556FE">
        <w:rPr>
          <w:sz w:val="24"/>
          <w:szCs w:val="24"/>
        </w:rPr>
        <w:t>nce interval</w:t>
      </w:r>
      <w:r w:rsidR="00D90FCD">
        <w:rPr>
          <w:sz w:val="24"/>
          <w:szCs w:val="24"/>
        </w:rPr>
        <w:t xml:space="preserve">s </w:t>
      </w:r>
      <w:r w:rsidR="00D52CC7">
        <w:rPr>
          <w:sz w:val="24"/>
          <w:szCs w:val="24"/>
        </w:rPr>
        <w:t xml:space="preserve">that </w:t>
      </w:r>
      <w:r w:rsidR="008D24C1">
        <w:rPr>
          <w:sz w:val="24"/>
          <w:szCs w:val="24"/>
        </w:rPr>
        <w:t>extend in both the positive and negative direction</w:t>
      </w:r>
      <w:r w:rsidR="002615CD">
        <w:rPr>
          <w:sz w:val="24"/>
          <w:szCs w:val="24"/>
        </w:rPr>
        <w:t xml:space="preserve">. </w:t>
      </w:r>
      <w:r w:rsidR="009F1FDD">
        <w:rPr>
          <w:sz w:val="24"/>
          <w:szCs w:val="24"/>
        </w:rPr>
        <w:t xml:space="preserve">Model 4 again has the largest coefficient by magnitude and the largest standard error, which gives us a confidence interval of (-3.46, </w:t>
      </w:r>
      <w:r w:rsidR="009F1FDD">
        <w:rPr>
          <w:sz w:val="24"/>
          <w:szCs w:val="24"/>
        </w:rPr>
        <w:lastRenderedPageBreak/>
        <w:t xml:space="preserve">1.99). This means that the </w:t>
      </w:r>
      <w:r w:rsidR="00802783">
        <w:rPr>
          <w:sz w:val="24"/>
          <w:szCs w:val="24"/>
        </w:rPr>
        <w:t xml:space="preserve">true effect of a 10% increase in the minimum wage on the unemployment rate is between a </w:t>
      </w:r>
      <w:r w:rsidR="000C7F55">
        <w:rPr>
          <w:sz w:val="24"/>
          <w:szCs w:val="24"/>
        </w:rPr>
        <w:t>0.346 percentage poi</w:t>
      </w:r>
      <w:r w:rsidR="00003198">
        <w:rPr>
          <w:sz w:val="24"/>
          <w:szCs w:val="24"/>
        </w:rPr>
        <w:t xml:space="preserve">nt </w:t>
      </w:r>
      <w:r w:rsidR="006B55AC">
        <w:rPr>
          <w:sz w:val="24"/>
          <w:szCs w:val="24"/>
        </w:rPr>
        <w:t xml:space="preserve">decrease </w:t>
      </w:r>
      <w:r w:rsidR="00003198">
        <w:rPr>
          <w:sz w:val="24"/>
          <w:szCs w:val="24"/>
        </w:rPr>
        <w:t xml:space="preserve">and </w:t>
      </w:r>
      <w:r w:rsidR="005A60A8">
        <w:rPr>
          <w:sz w:val="24"/>
          <w:szCs w:val="24"/>
        </w:rPr>
        <w:t xml:space="preserve">a </w:t>
      </w:r>
      <w:r w:rsidR="00003198">
        <w:rPr>
          <w:sz w:val="24"/>
          <w:szCs w:val="24"/>
        </w:rPr>
        <w:t xml:space="preserve">0.199 percentage point </w:t>
      </w:r>
      <w:r w:rsidR="006B55AC">
        <w:rPr>
          <w:sz w:val="24"/>
          <w:szCs w:val="24"/>
        </w:rPr>
        <w:t>increase</w:t>
      </w:r>
      <w:r w:rsidR="00003198">
        <w:rPr>
          <w:sz w:val="24"/>
          <w:szCs w:val="24"/>
        </w:rPr>
        <w:t xml:space="preserve">. </w:t>
      </w:r>
      <w:r w:rsidR="00CD6083">
        <w:rPr>
          <w:sz w:val="24"/>
          <w:szCs w:val="24"/>
        </w:rPr>
        <w:t xml:space="preserve">Assuming an unemployment rate of 5%, </w:t>
      </w:r>
      <w:r w:rsidR="00415E70">
        <w:rPr>
          <w:sz w:val="24"/>
          <w:szCs w:val="24"/>
        </w:rPr>
        <w:t>the</w:t>
      </w:r>
      <w:r w:rsidR="00CD6083">
        <w:rPr>
          <w:sz w:val="24"/>
          <w:szCs w:val="24"/>
        </w:rPr>
        <w:t xml:space="preserve"> minimum wage change will result in a new unemployment rate </w:t>
      </w:r>
      <w:r w:rsidR="00E238F0">
        <w:rPr>
          <w:sz w:val="24"/>
          <w:szCs w:val="24"/>
        </w:rPr>
        <w:t xml:space="preserve">between 4.654% and 5.199%. </w:t>
      </w:r>
      <w:r w:rsidR="002615CD">
        <w:rPr>
          <w:sz w:val="24"/>
          <w:szCs w:val="24"/>
        </w:rPr>
        <w:t>Th</w:t>
      </w:r>
      <w:r w:rsidR="00190BD6">
        <w:rPr>
          <w:sz w:val="24"/>
          <w:szCs w:val="24"/>
        </w:rPr>
        <w:t>is</w:t>
      </w:r>
      <w:r w:rsidR="002615CD">
        <w:rPr>
          <w:sz w:val="24"/>
          <w:szCs w:val="24"/>
        </w:rPr>
        <w:t xml:space="preserve"> confidence </w:t>
      </w:r>
      <w:r w:rsidR="00190BD6">
        <w:rPr>
          <w:sz w:val="24"/>
          <w:szCs w:val="24"/>
        </w:rPr>
        <w:t>interval</w:t>
      </w:r>
      <w:r w:rsidR="002615CD">
        <w:rPr>
          <w:sz w:val="24"/>
          <w:szCs w:val="24"/>
        </w:rPr>
        <w:t xml:space="preserve"> lean</w:t>
      </w:r>
      <w:r w:rsidR="00190BD6">
        <w:rPr>
          <w:sz w:val="24"/>
          <w:szCs w:val="24"/>
        </w:rPr>
        <w:t>s</w:t>
      </w:r>
      <w:r w:rsidR="002615CD">
        <w:rPr>
          <w:sz w:val="24"/>
          <w:szCs w:val="24"/>
        </w:rPr>
        <w:t xml:space="preserve"> further in the negative direction, but </w:t>
      </w:r>
      <w:r w:rsidR="00BA71A0">
        <w:rPr>
          <w:sz w:val="24"/>
          <w:szCs w:val="24"/>
        </w:rPr>
        <w:t xml:space="preserve">the wide </w:t>
      </w:r>
      <w:r w:rsidR="00190BD6">
        <w:rPr>
          <w:sz w:val="24"/>
          <w:szCs w:val="24"/>
        </w:rPr>
        <w:t>range</w:t>
      </w:r>
      <w:r w:rsidR="00F72126">
        <w:rPr>
          <w:sz w:val="24"/>
          <w:szCs w:val="24"/>
        </w:rPr>
        <w:t xml:space="preserve"> paired with </w:t>
      </w:r>
      <w:r w:rsidR="00AF0AB3">
        <w:rPr>
          <w:sz w:val="24"/>
          <w:szCs w:val="24"/>
        </w:rPr>
        <w:t xml:space="preserve">a </w:t>
      </w:r>
      <w:r w:rsidR="00F72126">
        <w:rPr>
          <w:sz w:val="24"/>
          <w:szCs w:val="24"/>
        </w:rPr>
        <w:t xml:space="preserve">statistically insignificant coefficient </w:t>
      </w:r>
      <w:r w:rsidR="00AF0AB3">
        <w:rPr>
          <w:sz w:val="24"/>
          <w:szCs w:val="24"/>
        </w:rPr>
        <w:t>is</w:t>
      </w:r>
      <w:r w:rsidR="00F72126">
        <w:rPr>
          <w:sz w:val="24"/>
          <w:szCs w:val="24"/>
        </w:rPr>
        <w:t xml:space="preserve"> </w:t>
      </w:r>
      <w:r w:rsidR="00ED13C4">
        <w:rPr>
          <w:sz w:val="24"/>
          <w:szCs w:val="24"/>
        </w:rPr>
        <w:t xml:space="preserve">very weak evidence </w:t>
      </w:r>
      <w:r w:rsidR="00AD7D7A">
        <w:rPr>
          <w:sz w:val="24"/>
          <w:szCs w:val="24"/>
        </w:rPr>
        <w:t xml:space="preserve">against </w:t>
      </w:r>
      <w:r w:rsidR="00ED13C4">
        <w:rPr>
          <w:sz w:val="24"/>
          <w:szCs w:val="24"/>
        </w:rPr>
        <w:t xml:space="preserve">the </w:t>
      </w:r>
      <w:r w:rsidR="00AF0AB3">
        <w:rPr>
          <w:sz w:val="24"/>
          <w:szCs w:val="24"/>
        </w:rPr>
        <w:t xml:space="preserve">canonical </w:t>
      </w:r>
      <w:r w:rsidR="00ED13C4">
        <w:rPr>
          <w:sz w:val="24"/>
          <w:szCs w:val="24"/>
        </w:rPr>
        <w:t xml:space="preserve">literature. </w:t>
      </w:r>
    </w:p>
    <w:p w14:paraId="5A4B6441" w14:textId="1AAF7BC6" w:rsidR="008C06E5" w:rsidRPr="00647442" w:rsidRDefault="000763AD" w:rsidP="008C06E5">
      <w:pPr>
        <w:spacing w:line="480" w:lineRule="auto"/>
        <w:ind w:firstLine="720"/>
        <w:rPr>
          <w:sz w:val="24"/>
          <w:szCs w:val="24"/>
        </w:rPr>
      </w:pPr>
      <w:r>
        <w:rPr>
          <w:sz w:val="24"/>
          <w:szCs w:val="24"/>
        </w:rPr>
        <w:t>Table 4 details the m</w:t>
      </w:r>
      <w:r w:rsidR="00712AE6">
        <w:rPr>
          <w:sz w:val="24"/>
          <w:szCs w:val="24"/>
        </w:rPr>
        <w:t xml:space="preserve">inimum wage </w:t>
      </w:r>
      <w:r w:rsidR="00454FFC">
        <w:rPr>
          <w:sz w:val="24"/>
          <w:szCs w:val="24"/>
        </w:rPr>
        <w:t>effects on labor force participation</w:t>
      </w:r>
      <w:r>
        <w:rPr>
          <w:sz w:val="24"/>
          <w:szCs w:val="24"/>
        </w:rPr>
        <w:t>.</w:t>
      </w:r>
      <w:r w:rsidR="00454FFC">
        <w:rPr>
          <w:sz w:val="24"/>
          <w:szCs w:val="24"/>
        </w:rPr>
        <w:t xml:space="preserve"> </w:t>
      </w:r>
    </w:p>
    <w:p w14:paraId="556D9F34" w14:textId="6FAA62B7" w:rsidR="00067187" w:rsidRPr="006E7A49" w:rsidRDefault="00067187" w:rsidP="00067187">
      <w:pPr>
        <w:widowControl w:val="0"/>
        <w:autoSpaceDE w:val="0"/>
        <w:autoSpaceDN w:val="0"/>
        <w:adjustRightInd w:val="0"/>
        <w:spacing w:after="0" w:line="240" w:lineRule="auto"/>
        <w:rPr>
          <w:rFonts w:eastAsia="Times New Roman" w:cstheme="minorHAnsi"/>
          <w:b/>
          <w:bCs/>
          <w:sz w:val="40"/>
          <w:szCs w:val="40"/>
        </w:rPr>
      </w:pPr>
      <w:bookmarkStart w:id="33" w:name="_Hlk70968480"/>
      <w:r w:rsidRPr="006E7A49">
        <w:rPr>
          <w:rFonts w:eastAsia="Times New Roman" w:cstheme="minorHAnsi"/>
          <w:b/>
          <w:bCs/>
          <w:sz w:val="40"/>
          <w:szCs w:val="40"/>
        </w:rPr>
        <w:t>Table 4:</w:t>
      </w:r>
    </w:p>
    <w:p w14:paraId="698167BA" w14:textId="548FFDE2" w:rsidR="00067187" w:rsidRPr="006E7A49" w:rsidRDefault="00067187" w:rsidP="00067187">
      <w:pPr>
        <w:widowControl w:val="0"/>
        <w:autoSpaceDE w:val="0"/>
        <w:autoSpaceDN w:val="0"/>
        <w:adjustRightInd w:val="0"/>
        <w:spacing w:after="0" w:line="240" w:lineRule="auto"/>
        <w:rPr>
          <w:rFonts w:ascii="Garamond" w:eastAsia="Times New Roman" w:hAnsi="Garamond" w:cs="Times New Roman"/>
          <w:sz w:val="28"/>
          <w:szCs w:val="28"/>
        </w:rPr>
      </w:pPr>
      <w:r w:rsidRPr="006E7A49">
        <w:rPr>
          <w:rFonts w:eastAsia="Times New Roman" w:cstheme="minorHAnsi"/>
          <w:sz w:val="28"/>
          <w:szCs w:val="28"/>
        </w:rPr>
        <w:t>Regression Results for labor force participation semi-elasticities</w:t>
      </w:r>
    </w:p>
    <w:tbl>
      <w:tblPr>
        <w:tblW w:w="5000" w:type="pct"/>
        <w:tblLook w:val="0000" w:firstRow="0" w:lastRow="0" w:firstColumn="0" w:lastColumn="0" w:noHBand="0" w:noVBand="0"/>
      </w:tblPr>
      <w:tblGrid>
        <w:gridCol w:w="3055"/>
        <w:gridCol w:w="1429"/>
        <w:gridCol w:w="1429"/>
        <w:gridCol w:w="1652"/>
        <w:gridCol w:w="1435"/>
      </w:tblGrid>
      <w:tr w:rsidR="00067187" w:rsidRPr="00A84C63" w14:paraId="05E51983" w14:textId="77777777" w:rsidTr="004D77AC">
        <w:trPr>
          <w:trHeight w:val="386"/>
        </w:trPr>
        <w:tc>
          <w:tcPr>
            <w:tcW w:w="1697" w:type="pct"/>
            <w:tcBorders>
              <w:top w:val="single" w:sz="4" w:space="0" w:color="auto"/>
              <w:left w:val="nil"/>
              <w:bottom w:val="nil"/>
              <w:right w:val="nil"/>
            </w:tcBorders>
          </w:tcPr>
          <w:p w14:paraId="2475429C"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b/>
                <w:bCs/>
                <w:sz w:val="20"/>
                <w:szCs w:val="20"/>
              </w:rPr>
            </w:pPr>
            <w:r w:rsidRPr="007C01DA">
              <w:rPr>
                <w:rFonts w:ascii="Calibri" w:eastAsia="Times New Roman" w:hAnsi="Calibri" w:cs="Calibri"/>
                <w:b/>
                <w:bCs/>
                <w:sz w:val="20"/>
                <w:szCs w:val="20"/>
              </w:rPr>
              <w:t>Specifications</w:t>
            </w:r>
            <w:r w:rsidRPr="00A84C63">
              <w:rPr>
                <w:rFonts w:ascii="Calibri" w:eastAsia="Times New Roman" w:hAnsi="Calibri" w:cs="Calibri"/>
                <w:b/>
                <w:bCs/>
                <w:sz w:val="20"/>
                <w:szCs w:val="20"/>
              </w:rPr>
              <w:t xml:space="preserve">   </w:t>
            </w:r>
          </w:p>
        </w:tc>
        <w:tc>
          <w:tcPr>
            <w:tcW w:w="794" w:type="pct"/>
            <w:tcBorders>
              <w:top w:val="single" w:sz="4" w:space="0" w:color="auto"/>
              <w:left w:val="nil"/>
              <w:bottom w:val="nil"/>
              <w:right w:val="nil"/>
            </w:tcBorders>
          </w:tcPr>
          <w:p w14:paraId="41890DB3"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(1)</w:t>
            </w:r>
          </w:p>
        </w:tc>
        <w:tc>
          <w:tcPr>
            <w:tcW w:w="794" w:type="pct"/>
            <w:tcBorders>
              <w:top w:val="single" w:sz="4" w:space="0" w:color="auto"/>
              <w:left w:val="nil"/>
              <w:bottom w:val="nil"/>
              <w:right w:val="nil"/>
            </w:tcBorders>
          </w:tcPr>
          <w:p w14:paraId="41DF5A41"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(2)</w:t>
            </w:r>
          </w:p>
        </w:tc>
        <w:tc>
          <w:tcPr>
            <w:tcW w:w="918" w:type="pct"/>
            <w:tcBorders>
              <w:top w:val="single" w:sz="4" w:space="0" w:color="auto"/>
              <w:left w:val="nil"/>
              <w:bottom w:val="nil"/>
              <w:right w:val="nil"/>
            </w:tcBorders>
          </w:tcPr>
          <w:p w14:paraId="30963B5E"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(3)</w:t>
            </w:r>
          </w:p>
        </w:tc>
        <w:tc>
          <w:tcPr>
            <w:tcW w:w="798" w:type="pct"/>
            <w:tcBorders>
              <w:top w:val="single" w:sz="4" w:space="0" w:color="auto"/>
              <w:left w:val="nil"/>
              <w:bottom w:val="nil"/>
              <w:right w:val="nil"/>
            </w:tcBorders>
          </w:tcPr>
          <w:p w14:paraId="0E705121"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(4)</w:t>
            </w:r>
          </w:p>
        </w:tc>
      </w:tr>
      <w:tr w:rsidR="00067187" w:rsidRPr="00A84C63" w14:paraId="7BA6F441" w14:textId="77777777" w:rsidTr="004D77AC">
        <w:trPr>
          <w:trHeight w:val="388"/>
        </w:trPr>
        <w:tc>
          <w:tcPr>
            <w:tcW w:w="1697" w:type="pct"/>
            <w:tcBorders>
              <w:top w:val="nil"/>
              <w:left w:val="nil"/>
              <w:bottom w:val="single" w:sz="10" w:space="0" w:color="auto"/>
              <w:right w:val="nil"/>
            </w:tcBorders>
          </w:tcPr>
          <w:p w14:paraId="411064BF"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p>
        </w:tc>
        <w:tc>
          <w:tcPr>
            <w:tcW w:w="794" w:type="pct"/>
            <w:tcBorders>
              <w:top w:val="nil"/>
              <w:left w:val="nil"/>
              <w:bottom w:val="single" w:sz="10" w:space="0" w:color="auto"/>
              <w:right w:val="nil"/>
            </w:tcBorders>
          </w:tcPr>
          <w:p w14:paraId="2CF5C908"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Baseline</w:t>
            </w:r>
          </w:p>
        </w:tc>
        <w:tc>
          <w:tcPr>
            <w:tcW w:w="794" w:type="pct"/>
            <w:tcBorders>
              <w:top w:val="nil"/>
              <w:left w:val="nil"/>
              <w:bottom w:val="single" w:sz="10" w:space="0" w:color="auto"/>
              <w:right w:val="nil"/>
            </w:tcBorders>
          </w:tcPr>
          <w:p w14:paraId="6C2E02FB"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GDP</w:t>
            </w:r>
          </w:p>
        </w:tc>
        <w:tc>
          <w:tcPr>
            <w:tcW w:w="918" w:type="pct"/>
            <w:tcBorders>
              <w:top w:val="nil"/>
              <w:left w:val="nil"/>
              <w:bottom w:val="single" w:sz="10" w:space="0" w:color="auto"/>
              <w:right w:val="nil"/>
            </w:tcBorders>
          </w:tcPr>
          <w:p w14:paraId="3C355789"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Time Variant</w:t>
            </w:r>
          </w:p>
        </w:tc>
        <w:tc>
          <w:tcPr>
            <w:tcW w:w="798" w:type="pct"/>
            <w:tcBorders>
              <w:top w:val="nil"/>
              <w:left w:val="nil"/>
              <w:bottom w:val="single" w:sz="10" w:space="0" w:color="auto"/>
              <w:right w:val="nil"/>
            </w:tcBorders>
          </w:tcPr>
          <w:p w14:paraId="656C0273"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Full Model</w:t>
            </w:r>
          </w:p>
        </w:tc>
      </w:tr>
      <w:tr w:rsidR="00067187" w:rsidRPr="00A84C63" w14:paraId="29F80FCF" w14:textId="77777777" w:rsidTr="004D77AC">
        <w:trPr>
          <w:trHeight w:val="386"/>
        </w:trPr>
        <w:tc>
          <w:tcPr>
            <w:tcW w:w="1697" w:type="pct"/>
            <w:tcBorders>
              <w:top w:val="nil"/>
              <w:left w:val="nil"/>
              <w:bottom w:val="nil"/>
              <w:right w:val="nil"/>
            </w:tcBorders>
          </w:tcPr>
          <w:p w14:paraId="4EF552D4" w14:textId="77777777" w:rsidR="00067187" w:rsidRPr="007C01DA" w:rsidRDefault="00067187" w:rsidP="005E0F5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Log(minwage)</w:t>
            </w:r>
          </w:p>
          <w:p w14:paraId="34777A8A"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β</w:t>
            </w:r>
          </w:p>
        </w:tc>
        <w:tc>
          <w:tcPr>
            <w:tcW w:w="794" w:type="pct"/>
            <w:tcBorders>
              <w:top w:val="nil"/>
              <w:left w:val="nil"/>
              <w:bottom w:val="nil"/>
              <w:right w:val="nil"/>
            </w:tcBorders>
          </w:tcPr>
          <w:p w14:paraId="66A4CCB5" w14:textId="77777777"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p w14:paraId="5B4E2E05" w14:textId="31E80568"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0.9</w:t>
            </w:r>
            <w:r w:rsidR="00F625CB">
              <w:rPr>
                <w:rFonts w:ascii="Calibri" w:eastAsia="Times New Roman" w:hAnsi="Calibri" w:cs="Calibri"/>
                <w:sz w:val="20"/>
                <w:szCs w:val="20"/>
              </w:rPr>
              <w:t>25</w:t>
            </w:r>
          </w:p>
        </w:tc>
        <w:tc>
          <w:tcPr>
            <w:tcW w:w="794" w:type="pct"/>
            <w:tcBorders>
              <w:top w:val="nil"/>
              <w:left w:val="nil"/>
              <w:bottom w:val="nil"/>
              <w:right w:val="nil"/>
            </w:tcBorders>
          </w:tcPr>
          <w:p w14:paraId="61484FBB" w14:textId="77777777"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p w14:paraId="2E279193" w14:textId="3A4302F7" w:rsidR="00067187" w:rsidRPr="00A84C63" w:rsidRDefault="00F625CB"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1.194</w:t>
            </w:r>
          </w:p>
        </w:tc>
        <w:tc>
          <w:tcPr>
            <w:tcW w:w="918" w:type="pct"/>
            <w:tcBorders>
              <w:top w:val="nil"/>
              <w:left w:val="nil"/>
              <w:bottom w:val="nil"/>
              <w:right w:val="nil"/>
            </w:tcBorders>
          </w:tcPr>
          <w:p w14:paraId="3F0889AC" w14:textId="77777777"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p w14:paraId="45965A16" w14:textId="5F136AAC" w:rsidR="00067187" w:rsidRPr="00A84C63" w:rsidRDefault="00F625CB"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0.325</w:t>
            </w:r>
          </w:p>
        </w:tc>
        <w:tc>
          <w:tcPr>
            <w:tcW w:w="798" w:type="pct"/>
            <w:tcBorders>
              <w:top w:val="nil"/>
              <w:left w:val="nil"/>
              <w:bottom w:val="nil"/>
              <w:right w:val="nil"/>
            </w:tcBorders>
          </w:tcPr>
          <w:p w14:paraId="340AC639" w14:textId="77777777"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p w14:paraId="1C635672" w14:textId="3C83E36B"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sidR="00F625CB">
              <w:rPr>
                <w:rFonts w:ascii="Calibri" w:eastAsia="Times New Roman" w:hAnsi="Calibri" w:cs="Calibri"/>
                <w:sz w:val="20"/>
                <w:szCs w:val="20"/>
              </w:rPr>
              <w:t>277</w:t>
            </w:r>
          </w:p>
        </w:tc>
      </w:tr>
      <w:tr w:rsidR="00067187" w:rsidRPr="00A84C63" w14:paraId="799CD9DD" w14:textId="77777777" w:rsidTr="004D77AC">
        <w:trPr>
          <w:trHeight w:val="794"/>
        </w:trPr>
        <w:tc>
          <w:tcPr>
            <w:tcW w:w="1697" w:type="pct"/>
            <w:tcBorders>
              <w:top w:val="nil"/>
              <w:left w:val="nil"/>
              <w:bottom w:val="nil"/>
              <w:right w:val="nil"/>
            </w:tcBorders>
          </w:tcPr>
          <w:p w14:paraId="2C833B1D" w14:textId="77777777" w:rsidR="00067187" w:rsidRDefault="00067187" w:rsidP="005E0F53">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se                            </w:t>
            </w:r>
            <w:r w:rsidRPr="00A84C63">
              <w:rPr>
                <w:rFonts w:ascii="Calibri" w:eastAsia="Times New Roman" w:hAnsi="Calibri" w:cs="Calibri"/>
                <w:sz w:val="20"/>
                <w:szCs w:val="20"/>
              </w:rPr>
              <w:t xml:space="preserve">  </w:t>
            </w:r>
          </w:p>
          <w:p w14:paraId="417F82E1"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95% CI</w:t>
            </w:r>
          </w:p>
          <w:p w14:paraId="53CCC62E"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GDP</w:t>
            </w:r>
          </w:p>
        </w:tc>
        <w:tc>
          <w:tcPr>
            <w:tcW w:w="794" w:type="pct"/>
            <w:tcBorders>
              <w:top w:val="nil"/>
              <w:left w:val="nil"/>
              <w:bottom w:val="nil"/>
              <w:right w:val="nil"/>
            </w:tcBorders>
          </w:tcPr>
          <w:p w14:paraId="71DBC7BF" w14:textId="75CEDBEC"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336652">
              <w:rPr>
                <w:rFonts w:ascii="Calibri" w:eastAsia="Times New Roman" w:hAnsi="Calibri" w:cs="Calibri"/>
                <w:sz w:val="20"/>
                <w:szCs w:val="20"/>
              </w:rPr>
              <w:t>1.1</w:t>
            </w:r>
            <w:r w:rsidRPr="00A84C63">
              <w:rPr>
                <w:rFonts w:ascii="Calibri" w:eastAsia="Times New Roman" w:hAnsi="Calibri" w:cs="Calibri"/>
                <w:sz w:val="20"/>
                <w:szCs w:val="20"/>
              </w:rPr>
              <w:t>)</w:t>
            </w:r>
          </w:p>
          <w:p w14:paraId="178ADFF4" w14:textId="7E251DD5"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3444F1">
              <w:rPr>
                <w:rFonts w:ascii="Calibri" w:eastAsia="Times New Roman" w:hAnsi="Calibri" w:cs="Calibri"/>
                <w:sz w:val="20"/>
                <w:szCs w:val="20"/>
              </w:rPr>
              <w:t>1.28</w:t>
            </w:r>
            <w:r>
              <w:rPr>
                <w:rFonts w:ascii="Calibri" w:eastAsia="Times New Roman" w:hAnsi="Calibri" w:cs="Calibri"/>
                <w:sz w:val="20"/>
                <w:szCs w:val="20"/>
              </w:rPr>
              <w:t xml:space="preserve">, </w:t>
            </w:r>
            <w:r w:rsidR="003444F1">
              <w:rPr>
                <w:rFonts w:ascii="Calibri" w:eastAsia="Times New Roman" w:hAnsi="Calibri" w:cs="Calibri"/>
                <w:sz w:val="20"/>
                <w:szCs w:val="20"/>
              </w:rPr>
              <w:t>3.13</w:t>
            </w:r>
            <w:r>
              <w:rPr>
                <w:rFonts w:ascii="Calibri" w:eastAsia="Times New Roman" w:hAnsi="Calibri" w:cs="Calibri"/>
                <w:sz w:val="20"/>
                <w:szCs w:val="20"/>
              </w:rPr>
              <w:t>]</w:t>
            </w:r>
          </w:p>
        </w:tc>
        <w:tc>
          <w:tcPr>
            <w:tcW w:w="794" w:type="pct"/>
            <w:tcBorders>
              <w:top w:val="nil"/>
              <w:left w:val="nil"/>
              <w:bottom w:val="nil"/>
              <w:right w:val="nil"/>
            </w:tcBorders>
          </w:tcPr>
          <w:p w14:paraId="45BE46F7" w14:textId="7986413E"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w:t>
            </w:r>
            <w:r w:rsidR="00336652">
              <w:rPr>
                <w:rFonts w:ascii="Calibri" w:eastAsia="Times New Roman" w:hAnsi="Calibri" w:cs="Calibri"/>
                <w:sz w:val="20"/>
                <w:szCs w:val="20"/>
              </w:rPr>
              <w:t>144</w:t>
            </w:r>
            <w:r w:rsidRPr="00A84C63">
              <w:rPr>
                <w:rFonts w:ascii="Calibri" w:eastAsia="Times New Roman" w:hAnsi="Calibri" w:cs="Calibri"/>
                <w:sz w:val="20"/>
                <w:szCs w:val="20"/>
              </w:rPr>
              <w:t>)</w:t>
            </w:r>
          </w:p>
          <w:p w14:paraId="2FB55BD5" w14:textId="2BB7EDC8"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3444F1">
              <w:rPr>
                <w:rFonts w:ascii="Calibri" w:eastAsia="Times New Roman" w:hAnsi="Calibri" w:cs="Calibri"/>
                <w:sz w:val="20"/>
                <w:szCs w:val="20"/>
              </w:rPr>
              <w:t>1.11</w:t>
            </w:r>
            <w:r>
              <w:rPr>
                <w:rFonts w:ascii="Calibri" w:eastAsia="Times New Roman" w:hAnsi="Calibri" w:cs="Calibri"/>
                <w:sz w:val="20"/>
                <w:szCs w:val="20"/>
              </w:rPr>
              <w:t xml:space="preserve">, </w:t>
            </w:r>
            <w:r w:rsidR="003444F1">
              <w:rPr>
                <w:rFonts w:ascii="Calibri" w:eastAsia="Times New Roman" w:hAnsi="Calibri" w:cs="Calibri"/>
                <w:sz w:val="20"/>
                <w:szCs w:val="20"/>
              </w:rPr>
              <w:t>3.</w:t>
            </w:r>
            <w:r w:rsidR="00E85F25">
              <w:rPr>
                <w:rFonts w:ascii="Calibri" w:eastAsia="Times New Roman" w:hAnsi="Calibri" w:cs="Calibri"/>
                <w:sz w:val="20"/>
                <w:szCs w:val="20"/>
              </w:rPr>
              <w:t>49</w:t>
            </w:r>
            <w:r>
              <w:rPr>
                <w:rFonts w:ascii="Calibri" w:eastAsia="Times New Roman" w:hAnsi="Calibri" w:cs="Calibri"/>
                <w:sz w:val="20"/>
                <w:szCs w:val="20"/>
              </w:rPr>
              <w:t>]</w:t>
            </w:r>
          </w:p>
        </w:tc>
        <w:tc>
          <w:tcPr>
            <w:tcW w:w="918" w:type="pct"/>
            <w:tcBorders>
              <w:top w:val="nil"/>
              <w:left w:val="nil"/>
              <w:bottom w:val="nil"/>
              <w:right w:val="nil"/>
            </w:tcBorders>
          </w:tcPr>
          <w:p w14:paraId="5B90B5A5" w14:textId="6BB1D06F"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336652">
              <w:rPr>
                <w:rFonts w:ascii="Calibri" w:eastAsia="Times New Roman" w:hAnsi="Calibri" w:cs="Calibri"/>
                <w:sz w:val="20"/>
                <w:szCs w:val="20"/>
              </w:rPr>
              <w:t>0.81</w:t>
            </w:r>
            <w:r w:rsidRPr="00A84C63">
              <w:rPr>
                <w:rFonts w:ascii="Calibri" w:eastAsia="Times New Roman" w:hAnsi="Calibri" w:cs="Calibri"/>
                <w:sz w:val="20"/>
                <w:szCs w:val="20"/>
              </w:rPr>
              <w:t>)</w:t>
            </w:r>
          </w:p>
          <w:p w14:paraId="59956EC8" w14:textId="4C3D0F64"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E85F25">
              <w:rPr>
                <w:rFonts w:ascii="Calibri" w:eastAsia="Times New Roman" w:hAnsi="Calibri" w:cs="Calibri"/>
                <w:sz w:val="20"/>
                <w:szCs w:val="20"/>
              </w:rPr>
              <w:t>1.3</w:t>
            </w:r>
            <w:r>
              <w:rPr>
                <w:rFonts w:ascii="Calibri" w:eastAsia="Times New Roman" w:hAnsi="Calibri" w:cs="Calibri"/>
                <w:sz w:val="20"/>
                <w:szCs w:val="20"/>
              </w:rPr>
              <w:t xml:space="preserve">, </w:t>
            </w:r>
            <w:r w:rsidR="00E85F25">
              <w:rPr>
                <w:rFonts w:ascii="Calibri" w:eastAsia="Times New Roman" w:hAnsi="Calibri" w:cs="Calibri"/>
                <w:sz w:val="20"/>
                <w:szCs w:val="20"/>
              </w:rPr>
              <w:t>1.95</w:t>
            </w:r>
            <w:r>
              <w:rPr>
                <w:rFonts w:ascii="Calibri" w:eastAsia="Times New Roman" w:hAnsi="Calibri" w:cs="Calibri"/>
                <w:sz w:val="20"/>
                <w:szCs w:val="20"/>
              </w:rPr>
              <w:t>]</w:t>
            </w:r>
          </w:p>
        </w:tc>
        <w:tc>
          <w:tcPr>
            <w:tcW w:w="798" w:type="pct"/>
            <w:tcBorders>
              <w:top w:val="nil"/>
              <w:left w:val="nil"/>
              <w:bottom w:val="nil"/>
              <w:right w:val="nil"/>
            </w:tcBorders>
          </w:tcPr>
          <w:p w14:paraId="54C7C173" w14:textId="72214308" w:rsidR="00067187"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A02759">
              <w:rPr>
                <w:rFonts w:ascii="Calibri" w:eastAsia="Times New Roman" w:hAnsi="Calibri" w:cs="Calibri"/>
                <w:sz w:val="20"/>
                <w:szCs w:val="20"/>
              </w:rPr>
              <w:t>0.8</w:t>
            </w:r>
            <w:r w:rsidR="00A1299C">
              <w:rPr>
                <w:rFonts w:ascii="Calibri" w:eastAsia="Times New Roman" w:hAnsi="Calibri" w:cs="Calibri"/>
                <w:sz w:val="20"/>
                <w:szCs w:val="20"/>
              </w:rPr>
              <w:t>89</w:t>
            </w:r>
            <w:r w:rsidRPr="00A84C63">
              <w:rPr>
                <w:rFonts w:ascii="Calibri" w:eastAsia="Times New Roman" w:hAnsi="Calibri" w:cs="Calibri"/>
                <w:sz w:val="20"/>
                <w:szCs w:val="20"/>
              </w:rPr>
              <w:t>)</w:t>
            </w:r>
          </w:p>
          <w:p w14:paraId="0E554DF8" w14:textId="1A843640"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00544196">
              <w:rPr>
                <w:rFonts w:ascii="Calibri" w:eastAsia="Times New Roman" w:hAnsi="Calibri" w:cs="Calibri"/>
                <w:sz w:val="20"/>
                <w:szCs w:val="20"/>
              </w:rPr>
              <w:t>2.06</w:t>
            </w:r>
            <w:r>
              <w:rPr>
                <w:rFonts w:ascii="Calibri" w:eastAsia="Times New Roman" w:hAnsi="Calibri" w:cs="Calibri"/>
                <w:sz w:val="20"/>
                <w:szCs w:val="20"/>
              </w:rPr>
              <w:t xml:space="preserve">, </w:t>
            </w:r>
            <w:r w:rsidR="00544196">
              <w:rPr>
                <w:rFonts w:ascii="Calibri" w:eastAsia="Times New Roman" w:hAnsi="Calibri" w:cs="Calibri"/>
                <w:sz w:val="20"/>
                <w:szCs w:val="20"/>
              </w:rPr>
              <w:t>1.5</w:t>
            </w:r>
            <w:r w:rsidR="00336652">
              <w:rPr>
                <w:rFonts w:ascii="Calibri" w:eastAsia="Times New Roman" w:hAnsi="Calibri" w:cs="Calibri"/>
                <w:sz w:val="20"/>
                <w:szCs w:val="20"/>
              </w:rPr>
              <w:t>1</w:t>
            </w:r>
            <w:r>
              <w:rPr>
                <w:rFonts w:ascii="Calibri" w:eastAsia="Times New Roman" w:hAnsi="Calibri" w:cs="Calibri"/>
                <w:sz w:val="20"/>
                <w:szCs w:val="20"/>
              </w:rPr>
              <w:t>]</w:t>
            </w:r>
          </w:p>
        </w:tc>
      </w:tr>
      <w:tr w:rsidR="00067187" w:rsidRPr="00A84C63" w14:paraId="02E07739" w14:textId="77777777" w:rsidTr="004D77AC">
        <w:trPr>
          <w:trHeight w:val="386"/>
        </w:trPr>
        <w:tc>
          <w:tcPr>
            <w:tcW w:w="1697" w:type="pct"/>
            <w:tcBorders>
              <w:top w:val="nil"/>
              <w:left w:val="nil"/>
              <w:bottom w:val="nil"/>
              <w:right w:val="nil"/>
            </w:tcBorders>
          </w:tcPr>
          <w:p w14:paraId="115EEB06"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β</w:t>
            </w:r>
          </w:p>
        </w:tc>
        <w:tc>
          <w:tcPr>
            <w:tcW w:w="794" w:type="pct"/>
            <w:tcBorders>
              <w:top w:val="nil"/>
              <w:left w:val="nil"/>
              <w:bottom w:val="nil"/>
              <w:right w:val="nil"/>
            </w:tcBorders>
          </w:tcPr>
          <w:p w14:paraId="016B02DA"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tc>
        <w:tc>
          <w:tcPr>
            <w:tcW w:w="794" w:type="pct"/>
            <w:tcBorders>
              <w:top w:val="nil"/>
              <w:left w:val="nil"/>
              <w:bottom w:val="nil"/>
              <w:right w:val="nil"/>
            </w:tcBorders>
          </w:tcPr>
          <w:p w14:paraId="0159051E" w14:textId="1DFB5E0B"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w:t>
            </w:r>
            <w:r w:rsidR="00FA2EDE">
              <w:rPr>
                <w:rFonts w:ascii="Calibri" w:eastAsia="Times New Roman" w:hAnsi="Calibri" w:cs="Calibri"/>
                <w:sz w:val="20"/>
                <w:szCs w:val="20"/>
              </w:rPr>
              <w:t>07</w:t>
            </w:r>
          </w:p>
        </w:tc>
        <w:tc>
          <w:tcPr>
            <w:tcW w:w="918" w:type="pct"/>
            <w:tcBorders>
              <w:top w:val="nil"/>
              <w:left w:val="nil"/>
              <w:bottom w:val="nil"/>
              <w:right w:val="nil"/>
            </w:tcBorders>
          </w:tcPr>
          <w:p w14:paraId="4F2611E9"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tc>
        <w:tc>
          <w:tcPr>
            <w:tcW w:w="798" w:type="pct"/>
            <w:tcBorders>
              <w:top w:val="nil"/>
              <w:left w:val="nil"/>
              <w:bottom w:val="nil"/>
              <w:right w:val="nil"/>
            </w:tcBorders>
          </w:tcPr>
          <w:p w14:paraId="0289FDF6" w14:textId="37892C18"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-0.01</w:t>
            </w:r>
            <w:r w:rsidR="00CD1672">
              <w:rPr>
                <w:rFonts w:ascii="Calibri" w:eastAsia="Times New Roman" w:hAnsi="Calibri" w:cs="Calibri"/>
                <w:sz w:val="20"/>
                <w:szCs w:val="20"/>
              </w:rPr>
              <w:t>1</w:t>
            </w:r>
          </w:p>
        </w:tc>
      </w:tr>
      <w:tr w:rsidR="00067187" w:rsidRPr="00A84C63" w14:paraId="104DC267" w14:textId="77777777" w:rsidTr="004D77AC">
        <w:trPr>
          <w:trHeight w:val="401"/>
        </w:trPr>
        <w:tc>
          <w:tcPr>
            <w:tcW w:w="1697" w:type="pct"/>
            <w:tcBorders>
              <w:top w:val="nil"/>
              <w:left w:val="nil"/>
              <w:bottom w:val="nil"/>
              <w:right w:val="nil"/>
            </w:tcBorders>
          </w:tcPr>
          <w:p w14:paraId="784A89AB" w14:textId="77777777" w:rsidR="00067187" w:rsidRDefault="00067187" w:rsidP="005E0F5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se</w:t>
            </w:r>
          </w:p>
          <w:p w14:paraId="5E904C4B"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sidRPr="007C01DA">
              <w:rPr>
                <w:rFonts w:ascii="Calibri" w:eastAsia="Times New Roman" w:hAnsi="Calibri" w:cs="Calibri"/>
                <w:b/>
                <w:bCs/>
                <w:sz w:val="20"/>
                <w:szCs w:val="20"/>
              </w:rPr>
              <w:t>Constant</w:t>
            </w:r>
          </w:p>
        </w:tc>
        <w:tc>
          <w:tcPr>
            <w:tcW w:w="794" w:type="pct"/>
            <w:tcBorders>
              <w:top w:val="nil"/>
              <w:left w:val="nil"/>
              <w:bottom w:val="nil"/>
              <w:right w:val="nil"/>
            </w:tcBorders>
          </w:tcPr>
          <w:p w14:paraId="60CBB016"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tc>
        <w:tc>
          <w:tcPr>
            <w:tcW w:w="794" w:type="pct"/>
            <w:tcBorders>
              <w:top w:val="nil"/>
              <w:left w:val="nil"/>
              <w:bottom w:val="nil"/>
              <w:right w:val="nil"/>
            </w:tcBorders>
          </w:tcPr>
          <w:p w14:paraId="012F29D7" w14:textId="403E12A9"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w:t>
            </w:r>
            <w:r w:rsidR="00CD1672">
              <w:rPr>
                <w:rFonts w:ascii="Calibri" w:eastAsia="Times New Roman" w:hAnsi="Calibri" w:cs="Calibri"/>
                <w:sz w:val="20"/>
                <w:szCs w:val="20"/>
              </w:rPr>
              <w:t>5</w:t>
            </w:r>
            <w:r w:rsidRPr="00A84C63">
              <w:rPr>
                <w:rFonts w:ascii="Calibri" w:eastAsia="Times New Roman" w:hAnsi="Calibri" w:cs="Calibri"/>
                <w:sz w:val="20"/>
                <w:szCs w:val="20"/>
              </w:rPr>
              <w:t>)</w:t>
            </w:r>
          </w:p>
        </w:tc>
        <w:tc>
          <w:tcPr>
            <w:tcW w:w="918" w:type="pct"/>
            <w:tcBorders>
              <w:top w:val="nil"/>
              <w:left w:val="nil"/>
              <w:bottom w:val="nil"/>
              <w:right w:val="nil"/>
            </w:tcBorders>
          </w:tcPr>
          <w:p w14:paraId="0964DB86"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p>
        </w:tc>
        <w:tc>
          <w:tcPr>
            <w:tcW w:w="798" w:type="pct"/>
            <w:tcBorders>
              <w:top w:val="nil"/>
              <w:left w:val="nil"/>
              <w:bottom w:val="nil"/>
              <w:right w:val="nil"/>
            </w:tcBorders>
          </w:tcPr>
          <w:p w14:paraId="7D4662EB" w14:textId="14AD3BD5"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w:t>
            </w:r>
            <w:r w:rsidR="00CD1672">
              <w:rPr>
                <w:rFonts w:ascii="Calibri" w:eastAsia="Times New Roman" w:hAnsi="Calibri" w:cs="Calibri"/>
                <w:sz w:val="20"/>
                <w:szCs w:val="20"/>
              </w:rPr>
              <w:t>5</w:t>
            </w:r>
            <w:r w:rsidRPr="00A84C63">
              <w:rPr>
                <w:rFonts w:ascii="Calibri" w:eastAsia="Times New Roman" w:hAnsi="Calibri" w:cs="Calibri"/>
                <w:sz w:val="20"/>
                <w:szCs w:val="20"/>
              </w:rPr>
              <w:t>)</w:t>
            </w:r>
          </w:p>
        </w:tc>
      </w:tr>
      <w:tr w:rsidR="00067187" w:rsidRPr="00A84C63" w14:paraId="13C254B0" w14:textId="77777777" w:rsidTr="004D77AC">
        <w:trPr>
          <w:trHeight w:val="386"/>
        </w:trPr>
        <w:tc>
          <w:tcPr>
            <w:tcW w:w="1697" w:type="pct"/>
            <w:tcBorders>
              <w:top w:val="nil"/>
              <w:left w:val="nil"/>
              <w:bottom w:val="nil"/>
              <w:right w:val="nil"/>
            </w:tcBorders>
          </w:tcPr>
          <w:p w14:paraId="1227B061"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β</w:t>
            </w:r>
          </w:p>
        </w:tc>
        <w:tc>
          <w:tcPr>
            <w:tcW w:w="794" w:type="pct"/>
            <w:tcBorders>
              <w:top w:val="nil"/>
              <w:left w:val="nil"/>
              <w:bottom w:val="nil"/>
              <w:right w:val="nil"/>
            </w:tcBorders>
          </w:tcPr>
          <w:p w14:paraId="17A62D3E" w14:textId="2B5D53E0" w:rsidR="00067187" w:rsidRPr="00A84C63" w:rsidRDefault="00CD1672"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61.</w:t>
            </w:r>
            <w:r w:rsidR="008D38E5">
              <w:rPr>
                <w:rFonts w:ascii="Calibri" w:eastAsia="Times New Roman" w:hAnsi="Calibri" w:cs="Calibri"/>
                <w:sz w:val="20"/>
                <w:szCs w:val="20"/>
              </w:rPr>
              <w:t>809*</w:t>
            </w:r>
            <w:r w:rsidR="00067187" w:rsidRPr="00A84C63">
              <w:rPr>
                <w:rFonts w:ascii="Calibri" w:eastAsia="Times New Roman" w:hAnsi="Calibri" w:cs="Calibri"/>
                <w:sz w:val="20"/>
                <w:szCs w:val="20"/>
              </w:rPr>
              <w:t>**</w:t>
            </w:r>
          </w:p>
        </w:tc>
        <w:tc>
          <w:tcPr>
            <w:tcW w:w="794" w:type="pct"/>
            <w:tcBorders>
              <w:top w:val="nil"/>
              <w:left w:val="nil"/>
              <w:bottom w:val="nil"/>
              <w:right w:val="nil"/>
            </w:tcBorders>
          </w:tcPr>
          <w:p w14:paraId="5D22593F" w14:textId="656E1EE6" w:rsidR="00067187" w:rsidRPr="00A84C63" w:rsidRDefault="008D38E5"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61.199***</w:t>
            </w:r>
          </w:p>
        </w:tc>
        <w:tc>
          <w:tcPr>
            <w:tcW w:w="918" w:type="pct"/>
            <w:tcBorders>
              <w:top w:val="nil"/>
              <w:left w:val="nil"/>
              <w:bottom w:val="nil"/>
              <w:right w:val="nil"/>
            </w:tcBorders>
          </w:tcPr>
          <w:p w14:paraId="09C6A8CC" w14:textId="65BA4074" w:rsidR="00067187" w:rsidRPr="00A84C63" w:rsidRDefault="008D38E5"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63.936***</w:t>
            </w:r>
          </w:p>
        </w:tc>
        <w:tc>
          <w:tcPr>
            <w:tcW w:w="798" w:type="pct"/>
            <w:tcBorders>
              <w:top w:val="nil"/>
              <w:left w:val="nil"/>
              <w:bottom w:val="nil"/>
              <w:right w:val="nil"/>
            </w:tcBorders>
          </w:tcPr>
          <w:p w14:paraId="25464498" w14:textId="7813DE6B" w:rsidR="00067187" w:rsidRPr="00A84C63" w:rsidRDefault="000E3901" w:rsidP="005E0F53">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51.603</w:t>
            </w:r>
            <w:r w:rsidR="00067187" w:rsidRPr="00A84C63">
              <w:rPr>
                <w:rFonts w:ascii="Calibri" w:eastAsia="Times New Roman" w:hAnsi="Calibri" w:cs="Calibri"/>
                <w:sz w:val="20"/>
                <w:szCs w:val="20"/>
              </w:rPr>
              <w:t>***</w:t>
            </w:r>
          </w:p>
        </w:tc>
      </w:tr>
      <w:tr w:rsidR="00067187" w:rsidRPr="00A84C63" w14:paraId="2A932FD5" w14:textId="77777777" w:rsidTr="004D77AC">
        <w:trPr>
          <w:trHeight w:val="586"/>
        </w:trPr>
        <w:tc>
          <w:tcPr>
            <w:tcW w:w="1697" w:type="pct"/>
            <w:tcBorders>
              <w:top w:val="nil"/>
              <w:left w:val="nil"/>
              <w:bottom w:val="single" w:sz="4" w:space="0" w:color="auto"/>
              <w:right w:val="nil"/>
            </w:tcBorders>
          </w:tcPr>
          <w:p w14:paraId="213792C5"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se</w:t>
            </w:r>
          </w:p>
        </w:tc>
        <w:tc>
          <w:tcPr>
            <w:tcW w:w="794" w:type="pct"/>
            <w:tcBorders>
              <w:top w:val="nil"/>
              <w:left w:val="nil"/>
              <w:bottom w:val="single" w:sz="4" w:space="0" w:color="auto"/>
              <w:right w:val="nil"/>
            </w:tcBorders>
          </w:tcPr>
          <w:p w14:paraId="6C065732" w14:textId="3CE57A5A"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0E3901">
              <w:rPr>
                <w:rFonts w:ascii="Calibri" w:eastAsia="Times New Roman" w:hAnsi="Calibri" w:cs="Calibri"/>
                <w:sz w:val="20"/>
                <w:szCs w:val="20"/>
              </w:rPr>
              <w:t>2.32</w:t>
            </w:r>
            <w:r w:rsidRPr="00A84C63">
              <w:rPr>
                <w:rFonts w:ascii="Calibri" w:eastAsia="Times New Roman" w:hAnsi="Calibri" w:cs="Calibri"/>
                <w:sz w:val="20"/>
                <w:szCs w:val="20"/>
              </w:rPr>
              <w:t>)</w:t>
            </w:r>
          </w:p>
        </w:tc>
        <w:tc>
          <w:tcPr>
            <w:tcW w:w="794" w:type="pct"/>
            <w:tcBorders>
              <w:top w:val="nil"/>
              <w:left w:val="nil"/>
              <w:bottom w:val="single" w:sz="4" w:space="0" w:color="auto"/>
              <w:right w:val="nil"/>
            </w:tcBorders>
          </w:tcPr>
          <w:p w14:paraId="4A4C0BE1" w14:textId="7FD8088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(2.</w:t>
            </w:r>
            <w:r w:rsidR="000E3901">
              <w:rPr>
                <w:rFonts w:ascii="Calibri" w:eastAsia="Times New Roman" w:hAnsi="Calibri" w:cs="Calibri"/>
                <w:sz w:val="20"/>
                <w:szCs w:val="20"/>
              </w:rPr>
              <w:t>429</w:t>
            </w:r>
            <w:r w:rsidRPr="00A84C63">
              <w:rPr>
                <w:rFonts w:ascii="Calibri" w:eastAsia="Times New Roman" w:hAnsi="Calibri" w:cs="Calibri"/>
                <w:sz w:val="20"/>
                <w:szCs w:val="20"/>
              </w:rPr>
              <w:t>)</w:t>
            </w:r>
          </w:p>
        </w:tc>
        <w:tc>
          <w:tcPr>
            <w:tcW w:w="918" w:type="pct"/>
            <w:tcBorders>
              <w:top w:val="nil"/>
              <w:left w:val="nil"/>
              <w:bottom w:val="single" w:sz="4" w:space="0" w:color="auto"/>
              <w:right w:val="nil"/>
            </w:tcBorders>
          </w:tcPr>
          <w:p w14:paraId="6270942C" w14:textId="6E8F0243"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w:t>
            </w:r>
            <w:r w:rsidR="00586B32">
              <w:rPr>
                <w:rFonts w:ascii="Calibri" w:eastAsia="Times New Roman" w:hAnsi="Calibri" w:cs="Calibri"/>
                <w:sz w:val="20"/>
                <w:szCs w:val="20"/>
              </w:rPr>
              <w:t>573</w:t>
            </w:r>
            <w:r w:rsidRPr="00A84C63">
              <w:rPr>
                <w:rFonts w:ascii="Calibri" w:eastAsia="Times New Roman" w:hAnsi="Calibri" w:cs="Calibri"/>
                <w:sz w:val="20"/>
                <w:szCs w:val="20"/>
              </w:rPr>
              <w:t>)</w:t>
            </w:r>
          </w:p>
        </w:tc>
        <w:tc>
          <w:tcPr>
            <w:tcW w:w="798" w:type="pct"/>
            <w:tcBorders>
              <w:top w:val="nil"/>
              <w:left w:val="nil"/>
              <w:bottom w:val="single" w:sz="4" w:space="0" w:color="auto"/>
              <w:right w:val="nil"/>
            </w:tcBorders>
          </w:tcPr>
          <w:p w14:paraId="13F1493C" w14:textId="2DD6EB88"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586B32">
              <w:rPr>
                <w:rFonts w:ascii="Calibri" w:eastAsia="Times New Roman" w:hAnsi="Calibri" w:cs="Calibri"/>
                <w:sz w:val="20"/>
                <w:szCs w:val="20"/>
              </w:rPr>
              <w:t>1.688</w:t>
            </w:r>
            <w:r w:rsidRPr="00A84C63">
              <w:rPr>
                <w:rFonts w:ascii="Calibri" w:eastAsia="Times New Roman" w:hAnsi="Calibri" w:cs="Calibri"/>
                <w:sz w:val="20"/>
                <w:szCs w:val="20"/>
              </w:rPr>
              <w:t>)</w:t>
            </w:r>
          </w:p>
        </w:tc>
      </w:tr>
      <w:tr w:rsidR="00067187" w:rsidRPr="00A84C63" w14:paraId="14FDF801" w14:textId="77777777" w:rsidTr="004D77AC">
        <w:trPr>
          <w:trHeight w:val="386"/>
        </w:trPr>
        <w:tc>
          <w:tcPr>
            <w:tcW w:w="1697" w:type="pct"/>
            <w:tcBorders>
              <w:top w:val="single" w:sz="4" w:space="0" w:color="auto"/>
              <w:left w:val="nil"/>
              <w:bottom w:val="nil"/>
              <w:right w:val="nil"/>
            </w:tcBorders>
          </w:tcPr>
          <w:p w14:paraId="6B9EB839"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Observations</w:t>
            </w:r>
          </w:p>
        </w:tc>
        <w:tc>
          <w:tcPr>
            <w:tcW w:w="794" w:type="pct"/>
            <w:tcBorders>
              <w:top w:val="single" w:sz="4" w:space="0" w:color="auto"/>
              <w:left w:val="nil"/>
              <w:bottom w:val="nil"/>
              <w:right w:val="nil"/>
            </w:tcBorders>
          </w:tcPr>
          <w:p w14:paraId="430E453D"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6324</w:t>
            </w:r>
          </w:p>
        </w:tc>
        <w:tc>
          <w:tcPr>
            <w:tcW w:w="794" w:type="pct"/>
            <w:tcBorders>
              <w:top w:val="single" w:sz="4" w:space="0" w:color="auto"/>
              <w:left w:val="nil"/>
              <w:bottom w:val="nil"/>
              <w:right w:val="nil"/>
            </w:tcBorders>
          </w:tcPr>
          <w:p w14:paraId="1583099B"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3060</w:t>
            </w:r>
          </w:p>
        </w:tc>
        <w:tc>
          <w:tcPr>
            <w:tcW w:w="918" w:type="pct"/>
            <w:tcBorders>
              <w:top w:val="single" w:sz="4" w:space="0" w:color="auto"/>
              <w:left w:val="nil"/>
              <w:bottom w:val="nil"/>
              <w:right w:val="nil"/>
            </w:tcBorders>
          </w:tcPr>
          <w:p w14:paraId="5F144DFB"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6324</w:t>
            </w:r>
          </w:p>
        </w:tc>
        <w:tc>
          <w:tcPr>
            <w:tcW w:w="798" w:type="pct"/>
            <w:tcBorders>
              <w:top w:val="single" w:sz="4" w:space="0" w:color="auto"/>
              <w:left w:val="nil"/>
              <w:bottom w:val="nil"/>
              <w:right w:val="nil"/>
            </w:tcBorders>
          </w:tcPr>
          <w:p w14:paraId="29008BBF" w14:textId="77777777" w:rsidR="00067187" w:rsidRPr="00A84C63" w:rsidRDefault="00067187" w:rsidP="005E0F53">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3060</w:t>
            </w:r>
          </w:p>
        </w:tc>
      </w:tr>
      <w:tr w:rsidR="00067187" w:rsidRPr="00A84C63" w14:paraId="55D185AB" w14:textId="77777777" w:rsidTr="004D77AC">
        <w:trPr>
          <w:trHeight w:val="324"/>
        </w:trPr>
        <w:tc>
          <w:tcPr>
            <w:tcW w:w="1697" w:type="pct"/>
            <w:tcBorders>
              <w:top w:val="nil"/>
              <w:left w:val="nil"/>
              <w:bottom w:val="nil"/>
              <w:right w:val="nil"/>
            </w:tcBorders>
          </w:tcPr>
          <w:p w14:paraId="6E1FFB21" w14:textId="53ED778E" w:rsidR="00AA4259" w:rsidRPr="00A84C63" w:rsidRDefault="00067187" w:rsidP="005E0F53">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R-squared</w:t>
            </w:r>
          </w:p>
        </w:tc>
        <w:tc>
          <w:tcPr>
            <w:tcW w:w="794" w:type="pct"/>
            <w:tcBorders>
              <w:top w:val="nil"/>
              <w:left w:val="nil"/>
              <w:bottom w:val="nil"/>
              <w:right w:val="nil"/>
            </w:tcBorders>
          </w:tcPr>
          <w:p w14:paraId="5BF206BD" w14:textId="738045EF" w:rsidR="00AA4259" w:rsidRPr="00A84C63" w:rsidRDefault="00067187" w:rsidP="00701211">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sidR="00D44C73">
              <w:rPr>
                <w:rFonts w:ascii="Calibri" w:eastAsia="Times New Roman" w:hAnsi="Calibri" w:cs="Calibri"/>
                <w:sz w:val="20"/>
                <w:szCs w:val="20"/>
              </w:rPr>
              <w:t>643</w:t>
            </w:r>
          </w:p>
        </w:tc>
        <w:tc>
          <w:tcPr>
            <w:tcW w:w="794" w:type="pct"/>
            <w:tcBorders>
              <w:top w:val="nil"/>
              <w:left w:val="nil"/>
              <w:bottom w:val="nil"/>
              <w:right w:val="nil"/>
            </w:tcBorders>
          </w:tcPr>
          <w:p w14:paraId="6EF97446" w14:textId="4357E265" w:rsidR="00AA4259" w:rsidRPr="00A84C63" w:rsidRDefault="00067187" w:rsidP="00701211">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sidR="00D44C73">
              <w:rPr>
                <w:rFonts w:ascii="Calibri" w:eastAsia="Times New Roman" w:hAnsi="Calibri" w:cs="Calibri"/>
                <w:sz w:val="20"/>
                <w:szCs w:val="20"/>
              </w:rPr>
              <w:t>736</w:t>
            </w:r>
          </w:p>
        </w:tc>
        <w:tc>
          <w:tcPr>
            <w:tcW w:w="918" w:type="pct"/>
            <w:tcBorders>
              <w:top w:val="nil"/>
              <w:left w:val="nil"/>
              <w:bottom w:val="nil"/>
              <w:right w:val="nil"/>
            </w:tcBorders>
          </w:tcPr>
          <w:p w14:paraId="72EE85AE" w14:textId="30B34AB4" w:rsidR="00AA4259" w:rsidRPr="00A84C63" w:rsidRDefault="00067187" w:rsidP="00701211">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sidR="00D44C73">
              <w:rPr>
                <w:rFonts w:ascii="Calibri" w:eastAsia="Times New Roman" w:hAnsi="Calibri" w:cs="Calibri"/>
                <w:sz w:val="20"/>
                <w:szCs w:val="20"/>
              </w:rPr>
              <w:t>808</w:t>
            </w:r>
          </w:p>
        </w:tc>
        <w:tc>
          <w:tcPr>
            <w:tcW w:w="798" w:type="pct"/>
            <w:tcBorders>
              <w:top w:val="nil"/>
              <w:left w:val="nil"/>
              <w:bottom w:val="nil"/>
              <w:right w:val="nil"/>
            </w:tcBorders>
          </w:tcPr>
          <w:p w14:paraId="438B65E9" w14:textId="43440D4C" w:rsidR="00AA4259" w:rsidRPr="00A84C63" w:rsidRDefault="00067187" w:rsidP="00701211">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0.8</w:t>
            </w:r>
            <w:r w:rsidR="00D44C73">
              <w:rPr>
                <w:rFonts w:ascii="Calibri" w:eastAsia="Times New Roman" w:hAnsi="Calibri" w:cs="Calibri"/>
                <w:sz w:val="20"/>
                <w:szCs w:val="20"/>
              </w:rPr>
              <w:t>41</w:t>
            </w:r>
          </w:p>
        </w:tc>
      </w:tr>
      <w:tr w:rsidR="00701211" w:rsidRPr="00A84C63" w14:paraId="43877355" w14:textId="77777777" w:rsidTr="004D77AC">
        <w:trPr>
          <w:trHeight w:val="324"/>
        </w:trPr>
        <w:tc>
          <w:tcPr>
            <w:tcW w:w="1697" w:type="pct"/>
            <w:tcBorders>
              <w:top w:val="nil"/>
              <w:left w:val="nil"/>
              <w:bottom w:val="nil"/>
              <w:right w:val="nil"/>
            </w:tcBorders>
          </w:tcPr>
          <w:p w14:paraId="62888D8E" w14:textId="1E639F88" w:rsidR="00701211" w:rsidRPr="00701211" w:rsidRDefault="00701211" w:rsidP="005E0F53">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Pr>
                <w:rFonts w:ascii="Calibri" w:eastAsia="Times New Roman" w:hAnsi="Calibri" w:cs="Calibri"/>
                <w:b/>
                <w:bCs/>
                <w:sz w:val="20"/>
                <w:szCs w:val="20"/>
              </w:rPr>
              <w:t>GDP</w:t>
            </w:r>
          </w:p>
        </w:tc>
        <w:tc>
          <w:tcPr>
            <w:tcW w:w="794" w:type="pct"/>
            <w:tcBorders>
              <w:top w:val="nil"/>
              <w:left w:val="nil"/>
              <w:bottom w:val="nil"/>
              <w:right w:val="nil"/>
            </w:tcBorders>
          </w:tcPr>
          <w:p w14:paraId="2BAB69C9" w14:textId="4708FB5D"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794" w:type="pct"/>
            <w:tcBorders>
              <w:top w:val="nil"/>
              <w:left w:val="nil"/>
              <w:bottom w:val="nil"/>
              <w:right w:val="nil"/>
            </w:tcBorders>
          </w:tcPr>
          <w:p w14:paraId="6A061EC1" w14:textId="1C14D5BB"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918" w:type="pct"/>
            <w:tcBorders>
              <w:top w:val="nil"/>
              <w:left w:val="nil"/>
              <w:bottom w:val="nil"/>
              <w:right w:val="nil"/>
            </w:tcBorders>
          </w:tcPr>
          <w:p w14:paraId="07D6D10C" w14:textId="5FF0DDAC"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798" w:type="pct"/>
            <w:tcBorders>
              <w:top w:val="nil"/>
              <w:left w:val="nil"/>
              <w:bottom w:val="nil"/>
              <w:right w:val="nil"/>
            </w:tcBorders>
          </w:tcPr>
          <w:p w14:paraId="571E614C" w14:textId="506036D6"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701211" w:rsidRPr="00A84C63" w14:paraId="4453A053" w14:textId="77777777" w:rsidTr="004D77AC">
        <w:trPr>
          <w:trHeight w:val="324"/>
        </w:trPr>
        <w:tc>
          <w:tcPr>
            <w:tcW w:w="1697" w:type="pct"/>
            <w:tcBorders>
              <w:top w:val="nil"/>
              <w:left w:val="nil"/>
              <w:bottom w:val="nil"/>
              <w:right w:val="nil"/>
            </w:tcBorders>
          </w:tcPr>
          <w:p w14:paraId="45A325BB" w14:textId="57D79B2F" w:rsidR="00701211" w:rsidRPr="009E788D" w:rsidRDefault="009E788D" w:rsidP="005E0F53">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Pr>
                <w:rFonts w:ascii="Calibri" w:eastAsia="Times New Roman" w:hAnsi="Calibri" w:cs="Calibri"/>
                <w:b/>
                <w:bCs/>
                <w:sz w:val="20"/>
                <w:szCs w:val="20"/>
              </w:rPr>
              <w:t>Time-variant state effect</w:t>
            </w:r>
          </w:p>
        </w:tc>
        <w:tc>
          <w:tcPr>
            <w:tcW w:w="794" w:type="pct"/>
            <w:tcBorders>
              <w:top w:val="nil"/>
              <w:left w:val="nil"/>
              <w:bottom w:val="nil"/>
              <w:right w:val="nil"/>
            </w:tcBorders>
          </w:tcPr>
          <w:p w14:paraId="1EEB3FEB" w14:textId="3007C909"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794" w:type="pct"/>
            <w:tcBorders>
              <w:top w:val="nil"/>
              <w:left w:val="nil"/>
              <w:bottom w:val="nil"/>
              <w:right w:val="nil"/>
            </w:tcBorders>
          </w:tcPr>
          <w:p w14:paraId="41FFCAB3" w14:textId="7425A02E"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918" w:type="pct"/>
            <w:tcBorders>
              <w:top w:val="nil"/>
              <w:left w:val="nil"/>
              <w:bottom w:val="nil"/>
              <w:right w:val="nil"/>
            </w:tcBorders>
          </w:tcPr>
          <w:p w14:paraId="0D1014F0" w14:textId="0540FAE0"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798" w:type="pct"/>
            <w:tcBorders>
              <w:top w:val="nil"/>
              <w:left w:val="nil"/>
              <w:bottom w:val="nil"/>
              <w:right w:val="nil"/>
            </w:tcBorders>
          </w:tcPr>
          <w:p w14:paraId="3D0001D8" w14:textId="41289C50" w:rsidR="00701211" w:rsidRPr="00A84C63" w:rsidRDefault="009E788D"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067187" w:rsidRPr="00A84C63" w14:paraId="79F3AF9D" w14:textId="77777777" w:rsidTr="004D77AC">
        <w:trPr>
          <w:trHeight w:val="386"/>
        </w:trPr>
        <w:tc>
          <w:tcPr>
            <w:tcW w:w="5000" w:type="pct"/>
            <w:gridSpan w:val="5"/>
            <w:tcBorders>
              <w:top w:val="single" w:sz="6" w:space="0" w:color="auto"/>
              <w:left w:val="nil"/>
              <w:bottom w:val="nil"/>
              <w:right w:val="nil"/>
            </w:tcBorders>
          </w:tcPr>
          <w:p w14:paraId="6201CBC8" w14:textId="61BBE1AD" w:rsidR="00067187" w:rsidRPr="00A84C63" w:rsidRDefault="00940722" w:rsidP="005E0F53">
            <w:pPr>
              <w:widowControl w:val="0"/>
              <w:autoSpaceDE w:val="0"/>
              <w:autoSpaceDN w:val="0"/>
              <w:adjustRightInd w:val="0"/>
              <w:spacing w:after="0" w:line="240" w:lineRule="auto"/>
              <w:rPr>
                <w:rFonts w:ascii="Calibri" w:eastAsia="Times New Roman" w:hAnsi="Calibri" w:cs="Calibri"/>
                <w:i/>
                <w:iCs/>
                <w:sz w:val="20"/>
                <w:szCs w:val="20"/>
              </w:rPr>
            </w:pPr>
            <w:r>
              <w:rPr>
                <w:rFonts w:ascii="Calibri" w:eastAsia="Times New Roman" w:hAnsi="Calibri" w:cs="Calibri"/>
                <w:i/>
                <w:iCs/>
                <w:sz w:val="20"/>
                <w:szCs w:val="20"/>
              </w:rPr>
              <w:t>Clustered</w:t>
            </w:r>
            <w:r w:rsidR="00067187" w:rsidRPr="00A84C63">
              <w:rPr>
                <w:rFonts w:ascii="Calibri" w:eastAsia="Times New Roman" w:hAnsi="Calibri" w:cs="Calibri"/>
                <w:i/>
                <w:iCs/>
                <w:sz w:val="20"/>
                <w:szCs w:val="20"/>
              </w:rPr>
              <w:t xml:space="preserve"> standard errors are in parentheses</w:t>
            </w:r>
            <w:r w:rsidR="0086682C">
              <w:rPr>
                <w:rFonts w:ascii="Calibri" w:eastAsia="Times New Roman" w:hAnsi="Calibri" w:cs="Calibri"/>
                <w:i/>
                <w:iCs/>
                <w:sz w:val="20"/>
                <w:szCs w:val="20"/>
              </w:rPr>
              <w:t>. Indicator variables omitted in</w:t>
            </w:r>
            <w:r w:rsidR="005F2AD6">
              <w:rPr>
                <w:rFonts w:ascii="Calibri" w:eastAsia="Times New Roman" w:hAnsi="Calibri" w:cs="Calibri"/>
                <w:i/>
                <w:iCs/>
                <w:sz w:val="20"/>
                <w:szCs w:val="20"/>
              </w:rPr>
              <w:t xml:space="preserve"> the</w:t>
            </w:r>
            <w:r w:rsidR="0086682C">
              <w:rPr>
                <w:rFonts w:ascii="Calibri" w:eastAsia="Times New Roman" w:hAnsi="Calibri" w:cs="Calibri"/>
                <w:i/>
                <w:iCs/>
                <w:sz w:val="20"/>
                <w:szCs w:val="20"/>
              </w:rPr>
              <w:t xml:space="preserve"> output</w:t>
            </w:r>
            <w:r w:rsidR="00BA39FD">
              <w:rPr>
                <w:rFonts w:ascii="Calibri" w:eastAsia="Times New Roman" w:hAnsi="Calibri" w:cs="Calibri"/>
                <w:i/>
                <w:iCs/>
                <w:sz w:val="20"/>
                <w:szCs w:val="20"/>
              </w:rPr>
              <w:t xml:space="preserve"> table</w:t>
            </w:r>
            <w:r w:rsidR="0086682C">
              <w:rPr>
                <w:rFonts w:ascii="Calibri" w:eastAsia="Times New Roman" w:hAnsi="Calibri" w:cs="Calibri"/>
                <w:i/>
                <w:iCs/>
                <w:sz w:val="20"/>
                <w:szCs w:val="20"/>
              </w:rPr>
              <w:t>.</w:t>
            </w:r>
          </w:p>
        </w:tc>
      </w:tr>
      <w:tr w:rsidR="00067187" w:rsidRPr="00A84C63" w14:paraId="1BCFD4A3" w14:textId="77777777" w:rsidTr="004D77AC">
        <w:trPr>
          <w:trHeight w:val="401"/>
        </w:trPr>
        <w:tc>
          <w:tcPr>
            <w:tcW w:w="5000" w:type="pct"/>
            <w:gridSpan w:val="5"/>
            <w:tcBorders>
              <w:top w:val="nil"/>
              <w:left w:val="nil"/>
              <w:bottom w:val="single" w:sz="4" w:space="0" w:color="auto"/>
              <w:right w:val="nil"/>
            </w:tcBorders>
          </w:tcPr>
          <w:p w14:paraId="14A512D3" w14:textId="77777777" w:rsidR="00067187" w:rsidRPr="00A84C63" w:rsidRDefault="00067187" w:rsidP="005E0F53">
            <w:pPr>
              <w:widowControl w:val="0"/>
              <w:autoSpaceDE w:val="0"/>
              <w:autoSpaceDN w:val="0"/>
              <w:adjustRightInd w:val="0"/>
              <w:spacing w:after="0" w:line="240" w:lineRule="auto"/>
              <w:rPr>
                <w:rFonts w:ascii="Calibri" w:eastAsia="Times New Roman" w:hAnsi="Calibri" w:cs="Calibri"/>
                <w:i/>
                <w:iCs/>
                <w:sz w:val="20"/>
                <w:szCs w:val="20"/>
              </w:rPr>
            </w:pPr>
            <w:r w:rsidRPr="00A84C63">
              <w:rPr>
                <w:rFonts w:ascii="Calibri" w:eastAsia="Times New Roman" w:hAnsi="Calibri" w:cs="Calibri"/>
                <w:i/>
                <w:iCs/>
                <w:sz w:val="20"/>
                <w:szCs w:val="20"/>
              </w:rPr>
              <w:t xml:space="preserve">*** p&lt;.01, ** p&lt;.05, * p&lt;.1 </w:t>
            </w:r>
          </w:p>
        </w:tc>
      </w:tr>
      <w:bookmarkEnd w:id="33"/>
    </w:tbl>
    <w:p w14:paraId="25990217" w14:textId="77777777" w:rsidR="00A1299C" w:rsidRDefault="00A1299C" w:rsidP="00067187">
      <w:pPr>
        <w:spacing w:line="480" w:lineRule="auto"/>
        <w:rPr>
          <w:sz w:val="24"/>
          <w:szCs w:val="24"/>
        </w:rPr>
      </w:pPr>
    </w:p>
    <w:p w14:paraId="6EFEE838" w14:textId="04C1E6CC" w:rsidR="000763AD" w:rsidRDefault="00AF2EE2" w:rsidP="00C17CD9">
      <w:pPr>
        <w:spacing w:line="480" w:lineRule="auto"/>
        <w:ind w:firstLine="720"/>
        <w:rPr>
          <w:sz w:val="24"/>
          <w:szCs w:val="24"/>
        </w:rPr>
      </w:pPr>
      <w:r>
        <w:rPr>
          <w:sz w:val="24"/>
          <w:szCs w:val="24"/>
        </w:rPr>
        <w:lastRenderedPageBreak/>
        <w:t xml:space="preserve">Model 1 provides a </w:t>
      </w:r>
      <w:r w:rsidR="00081723">
        <w:rPr>
          <w:sz w:val="24"/>
          <w:szCs w:val="24"/>
        </w:rPr>
        <w:t>baseline estimate of 0.</w:t>
      </w:r>
      <w:r w:rsidR="00531FDA">
        <w:rPr>
          <w:sz w:val="24"/>
          <w:szCs w:val="24"/>
        </w:rPr>
        <w:t>9251</w:t>
      </w:r>
      <w:r w:rsidR="007C2FD2">
        <w:rPr>
          <w:sz w:val="24"/>
          <w:szCs w:val="24"/>
        </w:rPr>
        <w:t xml:space="preserve">, </w:t>
      </w:r>
      <w:r w:rsidR="009F5FC5">
        <w:rPr>
          <w:sz w:val="24"/>
          <w:szCs w:val="24"/>
        </w:rPr>
        <w:t xml:space="preserve">which </w:t>
      </w:r>
      <w:r w:rsidR="00531FDA">
        <w:rPr>
          <w:sz w:val="24"/>
          <w:szCs w:val="24"/>
        </w:rPr>
        <w:t xml:space="preserve">is statistically insignificant but directionally </w:t>
      </w:r>
      <w:r w:rsidR="00CD730E">
        <w:rPr>
          <w:sz w:val="24"/>
          <w:szCs w:val="24"/>
        </w:rPr>
        <w:t xml:space="preserve">suggests that </w:t>
      </w:r>
      <w:r w:rsidR="00FB5826">
        <w:rPr>
          <w:sz w:val="24"/>
          <w:szCs w:val="24"/>
        </w:rPr>
        <w:t xml:space="preserve">increases in minimum wages </w:t>
      </w:r>
      <w:r w:rsidR="002F2CF5">
        <w:rPr>
          <w:sz w:val="24"/>
          <w:szCs w:val="24"/>
        </w:rPr>
        <w:t>are associated with increases in labor force participation</w:t>
      </w:r>
      <w:r w:rsidR="008C22DC">
        <w:rPr>
          <w:sz w:val="24"/>
          <w:szCs w:val="24"/>
        </w:rPr>
        <w:t xml:space="preserve">. </w:t>
      </w:r>
      <w:r w:rsidR="002F2CF5">
        <w:rPr>
          <w:sz w:val="24"/>
          <w:szCs w:val="24"/>
        </w:rPr>
        <w:t xml:space="preserve">Controlling for </w:t>
      </w:r>
      <w:r w:rsidR="0057399F">
        <w:rPr>
          <w:sz w:val="24"/>
          <w:szCs w:val="24"/>
        </w:rPr>
        <w:t xml:space="preserve">GDP in model 2 </w:t>
      </w:r>
      <w:r w:rsidR="00E846B0">
        <w:rPr>
          <w:sz w:val="24"/>
          <w:szCs w:val="24"/>
        </w:rPr>
        <w:t>leads to a s</w:t>
      </w:r>
      <w:r w:rsidR="00011D2F">
        <w:rPr>
          <w:sz w:val="24"/>
          <w:szCs w:val="24"/>
        </w:rPr>
        <w:t xml:space="preserve">lightly larger coefficient and a nearly identical standard error. </w:t>
      </w:r>
      <w:r w:rsidR="00FB4366">
        <w:rPr>
          <w:sz w:val="24"/>
          <w:szCs w:val="24"/>
        </w:rPr>
        <w:t xml:space="preserve">The time-variant state effects added in models 3 and 4 </w:t>
      </w:r>
      <w:r w:rsidR="00D55005">
        <w:rPr>
          <w:sz w:val="24"/>
          <w:szCs w:val="24"/>
        </w:rPr>
        <w:t>lead to much reduced estimates of 0.3247 and -0.2769</w:t>
      </w:r>
      <w:r w:rsidR="0083154B">
        <w:rPr>
          <w:sz w:val="24"/>
          <w:szCs w:val="24"/>
        </w:rPr>
        <w:t xml:space="preserve"> respectively, with the latter being the only negative semi-elasticity</w:t>
      </w:r>
      <w:r w:rsidR="00D55005">
        <w:rPr>
          <w:sz w:val="24"/>
          <w:szCs w:val="24"/>
        </w:rPr>
        <w:t xml:space="preserve">. </w:t>
      </w:r>
      <w:r w:rsidR="003E71E4">
        <w:rPr>
          <w:sz w:val="24"/>
          <w:szCs w:val="24"/>
        </w:rPr>
        <w:t xml:space="preserve">None of the estimates are </w:t>
      </w:r>
      <w:r w:rsidR="006768FA">
        <w:rPr>
          <w:sz w:val="24"/>
          <w:szCs w:val="24"/>
        </w:rPr>
        <w:t xml:space="preserve">significant, </w:t>
      </w:r>
      <w:r w:rsidR="00247A0A">
        <w:rPr>
          <w:sz w:val="24"/>
          <w:szCs w:val="24"/>
        </w:rPr>
        <w:t xml:space="preserve">and </w:t>
      </w:r>
      <w:r w:rsidR="00EA30B2">
        <w:rPr>
          <w:sz w:val="24"/>
          <w:szCs w:val="24"/>
        </w:rPr>
        <w:t xml:space="preserve">the </w:t>
      </w:r>
      <w:r w:rsidR="00E2796F">
        <w:rPr>
          <w:sz w:val="24"/>
          <w:szCs w:val="24"/>
        </w:rPr>
        <w:t>difference in sign between model 4 and the other three models is of note</w:t>
      </w:r>
      <w:r w:rsidR="00C17CD9">
        <w:rPr>
          <w:sz w:val="24"/>
          <w:szCs w:val="24"/>
        </w:rPr>
        <w:t xml:space="preserve">. </w:t>
      </w:r>
      <w:r w:rsidR="008737F9">
        <w:rPr>
          <w:sz w:val="24"/>
          <w:szCs w:val="24"/>
        </w:rPr>
        <w:t>While models 1, 2, and 3 suggest a positive relationship</w:t>
      </w:r>
      <w:r w:rsidR="00AD6A1D">
        <w:rPr>
          <w:sz w:val="24"/>
          <w:szCs w:val="24"/>
        </w:rPr>
        <w:t xml:space="preserve"> between minimum wages </w:t>
      </w:r>
      <w:r w:rsidR="00170338">
        <w:rPr>
          <w:sz w:val="24"/>
          <w:szCs w:val="24"/>
        </w:rPr>
        <w:t>and labor force participation</w:t>
      </w:r>
      <w:r w:rsidR="008737F9">
        <w:rPr>
          <w:sz w:val="24"/>
          <w:szCs w:val="24"/>
        </w:rPr>
        <w:t xml:space="preserve">, the </w:t>
      </w:r>
      <w:r w:rsidR="00681004">
        <w:rPr>
          <w:sz w:val="24"/>
          <w:szCs w:val="24"/>
        </w:rPr>
        <w:t xml:space="preserve">coefficient for model 4 is interpreted as a 10% increase in the minimum wage associating with a 0.0277 percentage point </w:t>
      </w:r>
      <w:r w:rsidR="00AD6A1D">
        <w:rPr>
          <w:sz w:val="24"/>
          <w:szCs w:val="24"/>
        </w:rPr>
        <w:t>decrease in the population’s engagement in the job market</w:t>
      </w:r>
      <w:r w:rsidR="0024088C">
        <w:rPr>
          <w:sz w:val="24"/>
          <w:szCs w:val="24"/>
        </w:rPr>
        <w:t>.</w:t>
      </w:r>
      <w:r w:rsidR="00043564">
        <w:rPr>
          <w:sz w:val="24"/>
          <w:szCs w:val="24"/>
        </w:rPr>
        <w:t xml:space="preserve"> </w:t>
      </w:r>
      <w:r w:rsidR="00281F36">
        <w:rPr>
          <w:sz w:val="24"/>
          <w:szCs w:val="24"/>
        </w:rPr>
        <w:t>This complicates d</w:t>
      </w:r>
      <w:r w:rsidR="00CA4AC2">
        <w:rPr>
          <w:sz w:val="24"/>
          <w:szCs w:val="24"/>
        </w:rPr>
        <w:t>irectional conclusions ab</w:t>
      </w:r>
      <w:r w:rsidR="00597F4C">
        <w:rPr>
          <w:sz w:val="24"/>
          <w:szCs w:val="24"/>
        </w:rPr>
        <w:t>out the effect of minimum wages</w:t>
      </w:r>
      <w:r w:rsidR="009C61AB">
        <w:rPr>
          <w:sz w:val="24"/>
          <w:szCs w:val="24"/>
        </w:rPr>
        <w:t xml:space="preserve"> on labor force </w:t>
      </w:r>
      <w:r w:rsidR="005A0928">
        <w:rPr>
          <w:sz w:val="24"/>
          <w:szCs w:val="24"/>
        </w:rPr>
        <w:t>participation</w:t>
      </w:r>
      <w:r w:rsidR="00281F36">
        <w:rPr>
          <w:sz w:val="24"/>
          <w:szCs w:val="24"/>
        </w:rPr>
        <w:t>, which can only be assumed to be</w:t>
      </w:r>
      <w:r w:rsidR="005A0928">
        <w:rPr>
          <w:sz w:val="24"/>
          <w:szCs w:val="24"/>
        </w:rPr>
        <w:t xml:space="preserve"> ambiguous</w:t>
      </w:r>
      <w:r w:rsidR="004A07EA">
        <w:rPr>
          <w:sz w:val="24"/>
          <w:szCs w:val="24"/>
        </w:rPr>
        <w:t xml:space="preserve"> from these regressions alone</w:t>
      </w:r>
      <w:r w:rsidR="009A4D80">
        <w:rPr>
          <w:sz w:val="24"/>
          <w:szCs w:val="24"/>
        </w:rPr>
        <w:t xml:space="preserve">. </w:t>
      </w:r>
      <w:r w:rsidR="00C85920">
        <w:rPr>
          <w:sz w:val="24"/>
          <w:szCs w:val="24"/>
        </w:rPr>
        <w:t xml:space="preserve">Later we will see that </w:t>
      </w:r>
      <w:r w:rsidR="00613BB8">
        <w:rPr>
          <w:sz w:val="24"/>
          <w:szCs w:val="24"/>
        </w:rPr>
        <w:t xml:space="preserve">this relationship can be predicted contingent on </w:t>
      </w:r>
      <w:r w:rsidR="0049744A">
        <w:rPr>
          <w:sz w:val="24"/>
          <w:szCs w:val="24"/>
        </w:rPr>
        <w:t>the semi-</w:t>
      </w:r>
      <w:r w:rsidR="009D4301">
        <w:rPr>
          <w:sz w:val="24"/>
          <w:szCs w:val="24"/>
        </w:rPr>
        <w:t>elasticities</w:t>
      </w:r>
      <w:r w:rsidR="0049744A">
        <w:rPr>
          <w:sz w:val="24"/>
          <w:szCs w:val="24"/>
        </w:rPr>
        <w:t xml:space="preserve"> of the other labor market v</w:t>
      </w:r>
      <w:r w:rsidR="009D4301">
        <w:rPr>
          <w:sz w:val="24"/>
          <w:szCs w:val="24"/>
        </w:rPr>
        <w:t>ariables.</w:t>
      </w:r>
      <w:r w:rsidR="0049744A">
        <w:rPr>
          <w:sz w:val="24"/>
          <w:szCs w:val="24"/>
        </w:rPr>
        <w:t xml:space="preserve"> </w:t>
      </w:r>
    </w:p>
    <w:p w14:paraId="1333D873" w14:textId="30551201" w:rsidR="00AA4259" w:rsidRDefault="00CE2496" w:rsidP="00F2214A">
      <w:pPr>
        <w:spacing w:line="480" w:lineRule="auto"/>
        <w:ind w:firstLine="720"/>
        <w:rPr>
          <w:sz w:val="24"/>
          <w:szCs w:val="24"/>
        </w:rPr>
      </w:pPr>
      <w:r>
        <w:rPr>
          <w:sz w:val="24"/>
          <w:szCs w:val="24"/>
        </w:rPr>
        <w:t xml:space="preserve">Table 5 details the minimum wage effects on the </w:t>
      </w:r>
      <w:r w:rsidR="00AF2EE2">
        <w:rPr>
          <w:sz w:val="24"/>
          <w:szCs w:val="24"/>
        </w:rPr>
        <w:t>employment to population ratio.</w:t>
      </w:r>
    </w:p>
    <w:p w14:paraId="4AA07632" w14:textId="08E34119" w:rsidR="006E525D" w:rsidRDefault="006E525D" w:rsidP="00F2214A">
      <w:pPr>
        <w:spacing w:line="480" w:lineRule="auto"/>
        <w:ind w:firstLine="720"/>
        <w:rPr>
          <w:sz w:val="24"/>
          <w:szCs w:val="24"/>
        </w:rPr>
      </w:pPr>
    </w:p>
    <w:p w14:paraId="114502E6" w14:textId="10F23EA2" w:rsidR="006E525D" w:rsidRDefault="006E525D" w:rsidP="00F2214A">
      <w:pPr>
        <w:spacing w:line="480" w:lineRule="auto"/>
        <w:ind w:firstLine="720"/>
        <w:rPr>
          <w:sz w:val="24"/>
          <w:szCs w:val="24"/>
        </w:rPr>
      </w:pPr>
    </w:p>
    <w:p w14:paraId="38597490" w14:textId="5AD99C7E" w:rsidR="006E525D" w:rsidRDefault="006E525D" w:rsidP="00F2214A">
      <w:pPr>
        <w:spacing w:line="480" w:lineRule="auto"/>
        <w:ind w:firstLine="720"/>
        <w:rPr>
          <w:sz w:val="24"/>
          <w:szCs w:val="24"/>
        </w:rPr>
      </w:pPr>
    </w:p>
    <w:p w14:paraId="695561FE" w14:textId="1D4A1166" w:rsidR="006E525D" w:rsidRDefault="006E525D" w:rsidP="00F2214A">
      <w:pPr>
        <w:spacing w:line="480" w:lineRule="auto"/>
        <w:ind w:firstLine="720"/>
        <w:rPr>
          <w:sz w:val="24"/>
          <w:szCs w:val="24"/>
        </w:rPr>
      </w:pPr>
    </w:p>
    <w:p w14:paraId="3D8A3FEF" w14:textId="77777777" w:rsidR="006E525D" w:rsidRDefault="006E525D" w:rsidP="00F2214A">
      <w:pPr>
        <w:spacing w:line="480" w:lineRule="auto"/>
        <w:ind w:firstLine="720"/>
        <w:rPr>
          <w:sz w:val="24"/>
          <w:szCs w:val="24"/>
        </w:rPr>
      </w:pPr>
    </w:p>
    <w:p w14:paraId="705800D9" w14:textId="2894D35B" w:rsidR="00237C8C" w:rsidRPr="006E7A49" w:rsidRDefault="00237C8C" w:rsidP="00237C8C">
      <w:pPr>
        <w:widowControl w:val="0"/>
        <w:autoSpaceDE w:val="0"/>
        <w:autoSpaceDN w:val="0"/>
        <w:adjustRightInd w:val="0"/>
        <w:spacing w:after="0" w:line="240" w:lineRule="auto"/>
        <w:rPr>
          <w:rFonts w:eastAsia="Times New Roman" w:cstheme="minorHAnsi"/>
          <w:b/>
          <w:bCs/>
          <w:sz w:val="40"/>
          <w:szCs w:val="40"/>
        </w:rPr>
      </w:pPr>
      <w:r w:rsidRPr="006E7A49">
        <w:rPr>
          <w:rFonts w:eastAsia="Times New Roman" w:cstheme="minorHAnsi"/>
          <w:b/>
          <w:bCs/>
          <w:sz w:val="40"/>
          <w:szCs w:val="40"/>
        </w:rPr>
        <w:lastRenderedPageBreak/>
        <w:t>Table 5:</w:t>
      </w:r>
    </w:p>
    <w:p w14:paraId="48BDF123" w14:textId="3AB1A28B" w:rsidR="006E7A49" w:rsidRPr="006E7A49" w:rsidRDefault="00237C8C" w:rsidP="00237C8C">
      <w:pPr>
        <w:widowControl w:val="0"/>
        <w:autoSpaceDE w:val="0"/>
        <w:autoSpaceDN w:val="0"/>
        <w:adjustRightInd w:val="0"/>
        <w:spacing w:after="0" w:line="240" w:lineRule="auto"/>
        <w:rPr>
          <w:rFonts w:eastAsia="Times New Roman" w:cstheme="minorHAnsi"/>
          <w:sz w:val="28"/>
          <w:szCs w:val="28"/>
        </w:rPr>
      </w:pPr>
      <w:r w:rsidRPr="006E7A49">
        <w:rPr>
          <w:rFonts w:eastAsia="Times New Roman" w:cstheme="minorHAnsi"/>
          <w:sz w:val="28"/>
          <w:szCs w:val="28"/>
        </w:rPr>
        <w:t>Regression Results for employment to population ratio semi-elasticities</w:t>
      </w:r>
    </w:p>
    <w:tbl>
      <w:tblPr>
        <w:tblW w:w="5000" w:type="pct"/>
        <w:tblLook w:val="0000" w:firstRow="0" w:lastRow="0" w:firstColumn="0" w:lastColumn="0" w:noHBand="0" w:noVBand="0"/>
      </w:tblPr>
      <w:tblGrid>
        <w:gridCol w:w="2615"/>
        <w:gridCol w:w="1546"/>
        <w:gridCol w:w="1607"/>
        <w:gridCol w:w="1607"/>
        <w:gridCol w:w="1625"/>
      </w:tblGrid>
      <w:tr w:rsidR="00237C8C" w:rsidRPr="00A84C63" w14:paraId="780ADECA" w14:textId="77777777" w:rsidTr="004D77AC">
        <w:trPr>
          <w:trHeight w:val="434"/>
        </w:trPr>
        <w:tc>
          <w:tcPr>
            <w:tcW w:w="1452" w:type="pct"/>
            <w:tcBorders>
              <w:top w:val="single" w:sz="4" w:space="0" w:color="auto"/>
              <w:left w:val="nil"/>
              <w:bottom w:val="nil"/>
              <w:right w:val="nil"/>
            </w:tcBorders>
          </w:tcPr>
          <w:p w14:paraId="6825CAC2"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b/>
                <w:bCs/>
                <w:sz w:val="20"/>
                <w:szCs w:val="20"/>
              </w:rPr>
            </w:pPr>
            <w:r w:rsidRPr="007C01DA">
              <w:rPr>
                <w:rFonts w:ascii="Calibri" w:eastAsia="Times New Roman" w:hAnsi="Calibri" w:cs="Calibri"/>
                <w:b/>
                <w:bCs/>
                <w:sz w:val="20"/>
                <w:szCs w:val="20"/>
              </w:rPr>
              <w:t>Specifications</w:t>
            </w:r>
            <w:r w:rsidRPr="00A84C63">
              <w:rPr>
                <w:rFonts w:ascii="Calibri" w:eastAsia="Times New Roman" w:hAnsi="Calibri" w:cs="Calibri"/>
                <w:b/>
                <w:bCs/>
                <w:sz w:val="20"/>
                <w:szCs w:val="20"/>
              </w:rPr>
              <w:t xml:space="preserve">   </w:t>
            </w:r>
          </w:p>
        </w:tc>
        <w:tc>
          <w:tcPr>
            <w:tcW w:w="859" w:type="pct"/>
            <w:tcBorders>
              <w:top w:val="single" w:sz="4" w:space="0" w:color="auto"/>
              <w:left w:val="nil"/>
              <w:bottom w:val="nil"/>
              <w:right w:val="nil"/>
            </w:tcBorders>
          </w:tcPr>
          <w:p w14:paraId="0CE05E5B"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(1)</w:t>
            </w:r>
          </w:p>
        </w:tc>
        <w:tc>
          <w:tcPr>
            <w:tcW w:w="893" w:type="pct"/>
            <w:tcBorders>
              <w:top w:val="single" w:sz="4" w:space="0" w:color="auto"/>
              <w:left w:val="nil"/>
              <w:bottom w:val="nil"/>
              <w:right w:val="nil"/>
            </w:tcBorders>
          </w:tcPr>
          <w:p w14:paraId="16906F6D"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(2)</w:t>
            </w:r>
          </w:p>
        </w:tc>
        <w:tc>
          <w:tcPr>
            <w:tcW w:w="893" w:type="pct"/>
            <w:tcBorders>
              <w:top w:val="single" w:sz="4" w:space="0" w:color="auto"/>
              <w:left w:val="nil"/>
              <w:bottom w:val="nil"/>
              <w:right w:val="nil"/>
            </w:tcBorders>
          </w:tcPr>
          <w:p w14:paraId="3E0F5C13"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(3)</w:t>
            </w:r>
          </w:p>
        </w:tc>
        <w:tc>
          <w:tcPr>
            <w:tcW w:w="903" w:type="pct"/>
            <w:tcBorders>
              <w:top w:val="single" w:sz="4" w:space="0" w:color="auto"/>
              <w:left w:val="nil"/>
              <w:bottom w:val="nil"/>
              <w:right w:val="nil"/>
            </w:tcBorders>
          </w:tcPr>
          <w:p w14:paraId="6E4C1692"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(4)</w:t>
            </w:r>
          </w:p>
        </w:tc>
      </w:tr>
      <w:tr w:rsidR="00237C8C" w:rsidRPr="00A84C63" w14:paraId="0A08AE86" w14:textId="77777777" w:rsidTr="004D77AC">
        <w:trPr>
          <w:trHeight w:val="437"/>
        </w:trPr>
        <w:tc>
          <w:tcPr>
            <w:tcW w:w="1452" w:type="pct"/>
            <w:tcBorders>
              <w:top w:val="nil"/>
              <w:left w:val="nil"/>
              <w:bottom w:val="single" w:sz="10" w:space="0" w:color="auto"/>
              <w:right w:val="nil"/>
            </w:tcBorders>
          </w:tcPr>
          <w:p w14:paraId="5411E00C"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p>
        </w:tc>
        <w:tc>
          <w:tcPr>
            <w:tcW w:w="859" w:type="pct"/>
            <w:tcBorders>
              <w:top w:val="nil"/>
              <w:left w:val="nil"/>
              <w:bottom w:val="single" w:sz="10" w:space="0" w:color="auto"/>
              <w:right w:val="nil"/>
            </w:tcBorders>
          </w:tcPr>
          <w:p w14:paraId="4CCCFF28"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Baseline</w:t>
            </w:r>
          </w:p>
        </w:tc>
        <w:tc>
          <w:tcPr>
            <w:tcW w:w="893" w:type="pct"/>
            <w:tcBorders>
              <w:top w:val="nil"/>
              <w:left w:val="nil"/>
              <w:bottom w:val="single" w:sz="10" w:space="0" w:color="auto"/>
              <w:right w:val="nil"/>
            </w:tcBorders>
          </w:tcPr>
          <w:p w14:paraId="6F65705A"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GDP</w:t>
            </w:r>
          </w:p>
        </w:tc>
        <w:tc>
          <w:tcPr>
            <w:tcW w:w="893" w:type="pct"/>
            <w:tcBorders>
              <w:top w:val="nil"/>
              <w:left w:val="nil"/>
              <w:bottom w:val="single" w:sz="10" w:space="0" w:color="auto"/>
              <w:right w:val="nil"/>
            </w:tcBorders>
          </w:tcPr>
          <w:p w14:paraId="21943032"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Time Variant</w:t>
            </w:r>
          </w:p>
        </w:tc>
        <w:tc>
          <w:tcPr>
            <w:tcW w:w="903" w:type="pct"/>
            <w:tcBorders>
              <w:top w:val="nil"/>
              <w:left w:val="nil"/>
              <w:bottom w:val="single" w:sz="10" w:space="0" w:color="auto"/>
              <w:right w:val="nil"/>
            </w:tcBorders>
          </w:tcPr>
          <w:p w14:paraId="4D09BF9C"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Full Model</w:t>
            </w:r>
          </w:p>
        </w:tc>
      </w:tr>
      <w:tr w:rsidR="00237C8C" w:rsidRPr="00A84C63" w14:paraId="711CCFCC" w14:textId="77777777" w:rsidTr="004D77AC">
        <w:trPr>
          <w:trHeight w:val="434"/>
        </w:trPr>
        <w:tc>
          <w:tcPr>
            <w:tcW w:w="1452" w:type="pct"/>
            <w:tcBorders>
              <w:top w:val="nil"/>
              <w:left w:val="nil"/>
              <w:bottom w:val="nil"/>
              <w:right w:val="nil"/>
            </w:tcBorders>
          </w:tcPr>
          <w:p w14:paraId="0A1BFEE9" w14:textId="77777777" w:rsidR="00237C8C" w:rsidRPr="007C01DA" w:rsidRDefault="00237C8C" w:rsidP="00994D24">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Log(minwage)</w:t>
            </w:r>
          </w:p>
          <w:p w14:paraId="6F0ED4E8"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β</w:t>
            </w:r>
          </w:p>
        </w:tc>
        <w:tc>
          <w:tcPr>
            <w:tcW w:w="859" w:type="pct"/>
            <w:tcBorders>
              <w:top w:val="nil"/>
              <w:left w:val="nil"/>
              <w:bottom w:val="nil"/>
              <w:right w:val="nil"/>
            </w:tcBorders>
          </w:tcPr>
          <w:p w14:paraId="270AC530" w14:textId="77777777"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p w14:paraId="633B947B" w14:textId="41B1B746" w:rsidR="00237C8C" w:rsidRPr="00A84C63" w:rsidRDefault="00AF40F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1.198</w:t>
            </w:r>
          </w:p>
        </w:tc>
        <w:tc>
          <w:tcPr>
            <w:tcW w:w="893" w:type="pct"/>
            <w:tcBorders>
              <w:top w:val="nil"/>
              <w:left w:val="nil"/>
              <w:bottom w:val="nil"/>
              <w:right w:val="nil"/>
            </w:tcBorders>
          </w:tcPr>
          <w:p w14:paraId="7FBC2EE9" w14:textId="77777777"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p w14:paraId="7160A6FD" w14:textId="64B3EB00"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w:t>
            </w:r>
            <w:r w:rsidR="0042316B">
              <w:rPr>
                <w:rFonts w:ascii="Calibri" w:eastAsia="Times New Roman" w:hAnsi="Calibri" w:cs="Calibri"/>
                <w:sz w:val="20"/>
                <w:szCs w:val="20"/>
              </w:rPr>
              <w:t>434</w:t>
            </w:r>
          </w:p>
        </w:tc>
        <w:tc>
          <w:tcPr>
            <w:tcW w:w="893" w:type="pct"/>
            <w:tcBorders>
              <w:top w:val="nil"/>
              <w:left w:val="nil"/>
              <w:bottom w:val="nil"/>
              <w:right w:val="nil"/>
            </w:tcBorders>
          </w:tcPr>
          <w:p w14:paraId="23F32BFA" w14:textId="77777777"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p w14:paraId="42EAD73C" w14:textId="620CAEE5" w:rsidR="00237C8C" w:rsidRPr="00A84C63" w:rsidRDefault="0042316B"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0.715</w:t>
            </w:r>
          </w:p>
        </w:tc>
        <w:tc>
          <w:tcPr>
            <w:tcW w:w="903" w:type="pct"/>
            <w:tcBorders>
              <w:top w:val="nil"/>
              <w:left w:val="nil"/>
              <w:bottom w:val="nil"/>
              <w:right w:val="nil"/>
            </w:tcBorders>
          </w:tcPr>
          <w:p w14:paraId="464FE23A" w14:textId="77777777"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p w14:paraId="01A6A537" w14:textId="05BC0661" w:rsidR="00237C8C" w:rsidRPr="00A84C63" w:rsidRDefault="0042316B"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0.373</w:t>
            </w:r>
          </w:p>
        </w:tc>
      </w:tr>
      <w:tr w:rsidR="00237C8C" w:rsidRPr="00A84C63" w14:paraId="6D1857A6" w14:textId="77777777" w:rsidTr="004D77AC">
        <w:trPr>
          <w:trHeight w:val="893"/>
        </w:trPr>
        <w:tc>
          <w:tcPr>
            <w:tcW w:w="1452" w:type="pct"/>
            <w:tcBorders>
              <w:top w:val="nil"/>
              <w:left w:val="nil"/>
              <w:bottom w:val="nil"/>
              <w:right w:val="nil"/>
            </w:tcBorders>
          </w:tcPr>
          <w:p w14:paraId="795CB460" w14:textId="77777777" w:rsidR="00237C8C" w:rsidRDefault="00237C8C" w:rsidP="00994D24">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se                            </w:t>
            </w:r>
            <w:r w:rsidRPr="00A84C63">
              <w:rPr>
                <w:rFonts w:ascii="Calibri" w:eastAsia="Times New Roman" w:hAnsi="Calibri" w:cs="Calibri"/>
                <w:sz w:val="20"/>
                <w:szCs w:val="20"/>
              </w:rPr>
              <w:t xml:space="preserve">  </w:t>
            </w:r>
          </w:p>
          <w:p w14:paraId="7480C893"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95% CI</w:t>
            </w:r>
          </w:p>
          <w:p w14:paraId="0B9B996E" w14:textId="3BDEE564" w:rsidR="00237C8C" w:rsidRPr="00A84C63" w:rsidRDefault="00237C8C" w:rsidP="00994D24">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GDP</w:t>
            </w:r>
          </w:p>
        </w:tc>
        <w:tc>
          <w:tcPr>
            <w:tcW w:w="859" w:type="pct"/>
            <w:tcBorders>
              <w:top w:val="nil"/>
              <w:left w:val="nil"/>
              <w:bottom w:val="nil"/>
              <w:right w:val="nil"/>
            </w:tcBorders>
          </w:tcPr>
          <w:p w14:paraId="6B59C555" w14:textId="32C56DC3"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Pr>
                <w:rFonts w:ascii="Calibri" w:eastAsia="Times New Roman" w:hAnsi="Calibri" w:cs="Calibri"/>
                <w:sz w:val="20"/>
                <w:szCs w:val="20"/>
              </w:rPr>
              <w:t>1.</w:t>
            </w:r>
            <w:r w:rsidR="0042316B">
              <w:rPr>
                <w:rFonts w:ascii="Calibri" w:eastAsia="Times New Roman" w:hAnsi="Calibri" w:cs="Calibri"/>
                <w:sz w:val="20"/>
                <w:szCs w:val="20"/>
              </w:rPr>
              <w:t>215</w:t>
            </w:r>
            <w:r w:rsidRPr="00A84C63">
              <w:rPr>
                <w:rFonts w:ascii="Calibri" w:eastAsia="Times New Roman" w:hAnsi="Calibri" w:cs="Calibri"/>
                <w:sz w:val="20"/>
                <w:szCs w:val="20"/>
              </w:rPr>
              <w:t>)</w:t>
            </w:r>
          </w:p>
          <w:p w14:paraId="6DF44CCE" w14:textId="0E4811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[-1.2</w:t>
            </w:r>
            <w:r w:rsidR="0042316B">
              <w:rPr>
                <w:rFonts w:ascii="Calibri" w:eastAsia="Times New Roman" w:hAnsi="Calibri" w:cs="Calibri"/>
                <w:sz w:val="20"/>
                <w:szCs w:val="20"/>
              </w:rPr>
              <w:t>4</w:t>
            </w:r>
            <w:r>
              <w:rPr>
                <w:rFonts w:ascii="Calibri" w:eastAsia="Times New Roman" w:hAnsi="Calibri" w:cs="Calibri"/>
                <w:sz w:val="20"/>
                <w:szCs w:val="20"/>
              </w:rPr>
              <w:t>, 3.</w:t>
            </w:r>
            <w:r w:rsidR="00020AEA">
              <w:rPr>
                <w:rFonts w:ascii="Calibri" w:eastAsia="Times New Roman" w:hAnsi="Calibri" w:cs="Calibri"/>
                <w:sz w:val="20"/>
                <w:szCs w:val="20"/>
              </w:rPr>
              <w:t>64</w:t>
            </w:r>
            <w:r>
              <w:rPr>
                <w:rFonts w:ascii="Calibri" w:eastAsia="Times New Roman" w:hAnsi="Calibri" w:cs="Calibri"/>
                <w:sz w:val="20"/>
                <w:szCs w:val="20"/>
              </w:rPr>
              <w:t>]</w:t>
            </w:r>
          </w:p>
        </w:tc>
        <w:tc>
          <w:tcPr>
            <w:tcW w:w="893" w:type="pct"/>
            <w:tcBorders>
              <w:top w:val="nil"/>
              <w:left w:val="nil"/>
              <w:bottom w:val="nil"/>
              <w:right w:val="nil"/>
            </w:tcBorders>
          </w:tcPr>
          <w:p w14:paraId="50336FA6" w14:textId="76724676"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(1.</w:t>
            </w:r>
            <w:r w:rsidR="0042316B">
              <w:rPr>
                <w:rFonts w:ascii="Calibri" w:eastAsia="Times New Roman" w:hAnsi="Calibri" w:cs="Calibri"/>
                <w:sz w:val="20"/>
                <w:szCs w:val="20"/>
              </w:rPr>
              <w:t>309</w:t>
            </w:r>
            <w:r w:rsidRPr="00A84C63">
              <w:rPr>
                <w:rFonts w:ascii="Calibri" w:eastAsia="Times New Roman" w:hAnsi="Calibri" w:cs="Calibri"/>
                <w:sz w:val="20"/>
                <w:szCs w:val="20"/>
              </w:rPr>
              <w:t>)</w:t>
            </w:r>
          </w:p>
          <w:p w14:paraId="604F1409" w14:textId="1E814A3D"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w:t>
            </w:r>
            <w:r w:rsidR="00020AEA">
              <w:rPr>
                <w:rFonts w:ascii="Calibri" w:eastAsia="Times New Roman" w:hAnsi="Calibri" w:cs="Calibri"/>
                <w:sz w:val="20"/>
                <w:szCs w:val="20"/>
              </w:rPr>
              <w:t>2</w:t>
            </w:r>
            <w:r>
              <w:rPr>
                <w:rFonts w:ascii="Calibri" w:eastAsia="Times New Roman" w:hAnsi="Calibri" w:cs="Calibri"/>
                <w:sz w:val="20"/>
                <w:szCs w:val="20"/>
              </w:rPr>
              <w:t xml:space="preserve">, </w:t>
            </w:r>
            <w:r w:rsidR="00020AEA">
              <w:rPr>
                <w:rFonts w:ascii="Calibri" w:eastAsia="Times New Roman" w:hAnsi="Calibri" w:cs="Calibri"/>
                <w:sz w:val="20"/>
                <w:szCs w:val="20"/>
              </w:rPr>
              <w:t>4</w:t>
            </w:r>
            <w:r>
              <w:rPr>
                <w:rFonts w:ascii="Calibri" w:eastAsia="Times New Roman" w:hAnsi="Calibri" w:cs="Calibri"/>
                <w:sz w:val="20"/>
                <w:szCs w:val="20"/>
              </w:rPr>
              <w:t>.</w:t>
            </w:r>
            <w:r w:rsidR="00020AEA">
              <w:rPr>
                <w:rFonts w:ascii="Calibri" w:eastAsia="Times New Roman" w:hAnsi="Calibri" w:cs="Calibri"/>
                <w:sz w:val="20"/>
                <w:szCs w:val="20"/>
              </w:rPr>
              <w:t>06</w:t>
            </w:r>
            <w:r>
              <w:rPr>
                <w:rFonts w:ascii="Calibri" w:eastAsia="Times New Roman" w:hAnsi="Calibri" w:cs="Calibri"/>
                <w:sz w:val="20"/>
                <w:szCs w:val="20"/>
              </w:rPr>
              <w:t>]</w:t>
            </w:r>
          </w:p>
        </w:tc>
        <w:tc>
          <w:tcPr>
            <w:tcW w:w="893" w:type="pct"/>
            <w:tcBorders>
              <w:top w:val="nil"/>
              <w:left w:val="nil"/>
              <w:bottom w:val="nil"/>
              <w:right w:val="nil"/>
            </w:tcBorders>
          </w:tcPr>
          <w:p w14:paraId="54C08A37" w14:textId="623E26C2"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42316B">
              <w:rPr>
                <w:rFonts w:ascii="Calibri" w:eastAsia="Times New Roman" w:hAnsi="Calibri" w:cs="Calibri"/>
                <w:sz w:val="20"/>
                <w:szCs w:val="20"/>
              </w:rPr>
              <w:t>1.12</w:t>
            </w:r>
            <w:r w:rsidRPr="00A84C63">
              <w:rPr>
                <w:rFonts w:ascii="Calibri" w:eastAsia="Times New Roman" w:hAnsi="Calibri" w:cs="Calibri"/>
                <w:sz w:val="20"/>
                <w:szCs w:val="20"/>
              </w:rPr>
              <w:t>)</w:t>
            </w:r>
          </w:p>
          <w:p w14:paraId="79833DDD" w14:textId="6D1E64EE"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[-1.</w:t>
            </w:r>
            <w:r w:rsidR="00020AEA">
              <w:rPr>
                <w:rFonts w:ascii="Calibri" w:eastAsia="Times New Roman" w:hAnsi="Calibri" w:cs="Calibri"/>
                <w:sz w:val="20"/>
                <w:szCs w:val="20"/>
              </w:rPr>
              <w:t>5</w:t>
            </w:r>
            <w:r w:rsidR="00A767C7">
              <w:rPr>
                <w:rFonts w:ascii="Calibri" w:eastAsia="Times New Roman" w:hAnsi="Calibri" w:cs="Calibri"/>
                <w:sz w:val="20"/>
                <w:szCs w:val="20"/>
              </w:rPr>
              <w:t>3</w:t>
            </w:r>
            <w:r>
              <w:rPr>
                <w:rFonts w:ascii="Calibri" w:eastAsia="Times New Roman" w:hAnsi="Calibri" w:cs="Calibri"/>
                <w:sz w:val="20"/>
                <w:szCs w:val="20"/>
              </w:rPr>
              <w:t xml:space="preserve">, </w:t>
            </w:r>
            <w:r w:rsidR="00A767C7">
              <w:rPr>
                <w:rFonts w:ascii="Calibri" w:eastAsia="Times New Roman" w:hAnsi="Calibri" w:cs="Calibri"/>
                <w:sz w:val="20"/>
                <w:szCs w:val="20"/>
              </w:rPr>
              <w:t>2.97</w:t>
            </w:r>
            <w:r>
              <w:rPr>
                <w:rFonts w:ascii="Calibri" w:eastAsia="Times New Roman" w:hAnsi="Calibri" w:cs="Calibri"/>
                <w:sz w:val="20"/>
                <w:szCs w:val="20"/>
              </w:rPr>
              <w:t>]</w:t>
            </w:r>
          </w:p>
        </w:tc>
        <w:tc>
          <w:tcPr>
            <w:tcW w:w="903" w:type="pct"/>
            <w:tcBorders>
              <w:top w:val="nil"/>
              <w:left w:val="nil"/>
              <w:bottom w:val="nil"/>
              <w:right w:val="nil"/>
            </w:tcBorders>
          </w:tcPr>
          <w:p w14:paraId="3AE937FA" w14:textId="59C09B43"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42316B">
              <w:rPr>
                <w:rFonts w:ascii="Calibri" w:eastAsia="Times New Roman" w:hAnsi="Calibri" w:cs="Calibri"/>
                <w:sz w:val="20"/>
                <w:szCs w:val="20"/>
              </w:rPr>
              <w:t>1.365</w:t>
            </w:r>
            <w:r w:rsidRPr="00A84C63">
              <w:rPr>
                <w:rFonts w:ascii="Calibri" w:eastAsia="Times New Roman" w:hAnsi="Calibri" w:cs="Calibri"/>
                <w:sz w:val="20"/>
                <w:szCs w:val="20"/>
              </w:rPr>
              <w:t>)</w:t>
            </w:r>
          </w:p>
          <w:p w14:paraId="5FB69CC7" w14:textId="77777777" w:rsidR="00237C8C"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[-2.</w:t>
            </w:r>
            <w:r w:rsidR="00E308FD">
              <w:rPr>
                <w:rFonts w:ascii="Calibri" w:eastAsia="Times New Roman" w:hAnsi="Calibri" w:cs="Calibri"/>
                <w:sz w:val="20"/>
                <w:szCs w:val="20"/>
              </w:rPr>
              <w:t>37</w:t>
            </w:r>
            <w:r>
              <w:rPr>
                <w:rFonts w:ascii="Calibri" w:eastAsia="Times New Roman" w:hAnsi="Calibri" w:cs="Calibri"/>
                <w:sz w:val="20"/>
                <w:szCs w:val="20"/>
              </w:rPr>
              <w:t xml:space="preserve">, </w:t>
            </w:r>
            <w:r w:rsidR="00E308FD">
              <w:rPr>
                <w:rFonts w:ascii="Calibri" w:eastAsia="Times New Roman" w:hAnsi="Calibri" w:cs="Calibri"/>
                <w:sz w:val="20"/>
                <w:szCs w:val="20"/>
              </w:rPr>
              <w:t>3.11</w:t>
            </w:r>
            <w:r>
              <w:rPr>
                <w:rFonts w:ascii="Calibri" w:eastAsia="Times New Roman" w:hAnsi="Calibri" w:cs="Calibri"/>
                <w:sz w:val="20"/>
                <w:szCs w:val="20"/>
              </w:rPr>
              <w:t>]</w:t>
            </w:r>
          </w:p>
          <w:p w14:paraId="201552DB" w14:textId="2F9D68DD" w:rsidR="00C745E9" w:rsidRPr="00A84C63" w:rsidRDefault="00C745E9" w:rsidP="00994D24">
            <w:pPr>
              <w:widowControl w:val="0"/>
              <w:autoSpaceDE w:val="0"/>
              <w:autoSpaceDN w:val="0"/>
              <w:adjustRightInd w:val="0"/>
              <w:spacing w:after="0" w:line="240" w:lineRule="auto"/>
              <w:jc w:val="center"/>
              <w:rPr>
                <w:rFonts w:ascii="Calibri" w:eastAsia="Times New Roman" w:hAnsi="Calibri" w:cs="Calibri"/>
                <w:sz w:val="20"/>
                <w:szCs w:val="20"/>
              </w:rPr>
            </w:pPr>
          </w:p>
        </w:tc>
      </w:tr>
      <w:tr w:rsidR="00237C8C" w:rsidRPr="00A84C63" w14:paraId="200A44C3" w14:textId="77777777" w:rsidTr="004D77AC">
        <w:trPr>
          <w:trHeight w:val="77"/>
        </w:trPr>
        <w:tc>
          <w:tcPr>
            <w:tcW w:w="1452" w:type="pct"/>
            <w:tcBorders>
              <w:top w:val="nil"/>
              <w:left w:val="nil"/>
              <w:bottom w:val="nil"/>
              <w:right w:val="nil"/>
            </w:tcBorders>
          </w:tcPr>
          <w:p w14:paraId="59E76F11"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β</w:t>
            </w:r>
          </w:p>
        </w:tc>
        <w:tc>
          <w:tcPr>
            <w:tcW w:w="859" w:type="pct"/>
            <w:tcBorders>
              <w:top w:val="nil"/>
              <w:left w:val="nil"/>
              <w:bottom w:val="nil"/>
              <w:right w:val="nil"/>
            </w:tcBorders>
          </w:tcPr>
          <w:p w14:paraId="1E9CD172"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tc>
        <w:tc>
          <w:tcPr>
            <w:tcW w:w="893" w:type="pct"/>
            <w:tcBorders>
              <w:top w:val="nil"/>
              <w:left w:val="nil"/>
              <w:bottom w:val="nil"/>
              <w:right w:val="nil"/>
            </w:tcBorders>
          </w:tcPr>
          <w:p w14:paraId="011BB5F8" w14:textId="6D4F7123" w:rsidR="00237C8C" w:rsidRPr="00A84C63" w:rsidRDefault="00E308FD"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0</w:t>
            </w:r>
          </w:p>
        </w:tc>
        <w:tc>
          <w:tcPr>
            <w:tcW w:w="893" w:type="pct"/>
            <w:tcBorders>
              <w:top w:val="nil"/>
              <w:left w:val="nil"/>
              <w:bottom w:val="nil"/>
              <w:right w:val="nil"/>
            </w:tcBorders>
          </w:tcPr>
          <w:p w14:paraId="1F209D5F"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tc>
        <w:tc>
          <w:tcPr>
            <w:tcW w:w="903" w:type="pct"/>
            <w:tcBorders>
              <w:top w:val="nil"/>
              <w:left w:val="nil"/>
              <w:bottom w:val="nil"/>
              <w:right w:val="nil"/>
            </w:tcBorders>
          </w:tcPr>
          <w:p w14:paraId="41421AC8" w14:textId="1C175588"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w:t>
            </w:r>
            <w:r w:rsidR="005731C9">
              <w:rPr>
                <w:rFonts w:ascii="Calibri" w:eastAsia="Times New Roman" w:hAnsi="Calibri" w:cs="Calibri"/>
                <w:sz w:val="20"/>
                <w:szCs w:val="20"/>
              </w:rPr>
              <w:t>09</w:t>
            </w:r>
          </w:p>
        </w:tc>
      </w:tr>
      <w:tr w:rsidR="00237C8C" w:rsidRPr="00A84C63" w14:paraId="40AC3A22" w14:textId="77777777" w:rsidTr="004D77AC">
        <w:trPr>
          <w:trHeight w:val="451"/>
        </w:trPr>
        <w:tc>
          <w:tcPr>
            <w:tcW w:w="1452" w:type="pct"/>
            <w:tcBorders>
              <w:top w:val="nil"/>
              <w:left w:val="nil"/>
              <w:bottom w:val="nil"/>
              <w:right w:val="nil"/>
            </w:tcBorders>
          </w:tcPr>
          <w:p w14:paraId="44FC9D65" w14:textId="77777777" w:rsidR="00237C8C" w:rsidRDefault="00237C8C" w:rsidP="00994D24">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se</w:t>
            </w:r>
          </w:p>
          <w:p w14:paraId="2A2EFA25" w14:textId="65D8F30E" w:rsidR="00237C8C" w:rsidRPr="00A84C63" w:rsidRDefault="00237C8C" w:rsidP="00994D24">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sidRPr="007C01DA">
              <w:rPr>
                <w:rFonts w:ascii="Calibri" w:eastAsia="Times New Roman" w:hAnsi="Calibri" w:cs="Calibri"/>
                <w:b/>
                <w:bCs/>
                <w:sz w:val="20"/>
                <w:szCs w:val="20"/>
              </w:rPr>
              <w:t>Constant</w:t>
            </w:r>
          </w:p>
        </w:tc>
        <w:tc>
          <w:tcPr>
            <w:tcW w:w="859" w:type="pct"/>
            <w:tcBorders>
              <w:top w:val="nil"/>
              <w:left w:val="nil"/>
              <w:bottom w:val="nil"/>
              <w:right w:val="nil"/>
            </w:tcBorders>
          </w:tcPr>
          <w:p w14:paraId="673F17BC"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tc>
        <w:tc>
          <w:tcPr>
            <w:tcW w:w="893" w:type="pct"/>
            <w:tcBorders>
              <w:top w:val="nil"/>
              <w:left w:val="nil"/>
              <w:bottom w:val="nil"/>
              <w:right w:val="nil"/>
            </w:tcBorders>
          </w:tcPr>
          <w:p w14:paraId="7A7E6D45"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w:t>
            </w:r>
            <w:r>
              <w:rPr>
                <w:rFonts w:ascii="Calibri" w:eastAsia="Times New Roman" w:hAnsi="Calibri" w:cs="Calibri"/>
                <w:sz w:val="20"/>
                <w:szCs w:val="20"/>
              </w:rPr>
              <w:t>5</w:t>
            </w:r>
            <w:r w:rsidRPr="00A84C63">
              <w:rPr>
                <w:rFonts w:ascii="Calibri" w:eastAsia="Times New Roman" w:hAnsi="Calibri" w:cs="Calibri"/>
                <w:sz w:val="20"/>
                <w:szCs w:val="20"/>
              </w:rPr>
              <w:t>)</w:t>
            </w:r>
          </w:p>
        </w:tc>
        <w:tc>
          <w:tcPr>
            <w:tcW w:w="893" w:type="pct"/>
            <w:tcBorders>
              <w:top w:val="nil"/>
              <w:left w:val="nil"/>
              <w:bottom w:val="nil"/>
              <w:right w:val="nil"/>
            </w:tcBorders>
          </w:tcPr>
          <w:p w14:paraId="5F32F86F"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p>
        </w:tc>
        <w:tc>
          <w:tcPr>
            <w:tcW w:w="903" w:type="pct"/>
            <w:tcBorders>
              <w:top w:val="nil"/>
              <w:left w:val="nil"/>
              <w:bottom w:val="nil"/>
              <w:right w:val="nil"/>
            </w:tcBorders>
          </w:tcPr>
          <w:p w14:paraId="4171AAA4" w14:textId="11F2F424"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(0.00</w:t>
            </w:r>
            <w:r w:rsidR="005731C9">
              <w:rPr>
                <w:rFonts w:ascii="Calibri" w:eastAsia="Times New Roman" w:hAnsi="Calibri" w:cs="Calibri"/>
                <w:sz w:val="20"/>
                <w:szCs w:val="20"/>
              </w:rPr>
              <w:t>8</w:t>
            </w:r>
            <w:r w:rsidRPr="00A84C63">
              <w:rPr>
                <w:rFonts w:ascii="Calibri" w:eastAsia="Times New Roman" w:hAnsi="Calibri" w:cs="Calibri"/>
                <w:sz w:val="20"/>
                <w:szCs w:val="20"/>
              </w:rPr>
              <w:t>)</w:t>
            </w:r>
          </w:p>
        </w:tc>
      </w:tr>
      <w:tr w:rsidR="00237C8C" w:rsidRPr="00A84C63" w14:paraId="0A58EFC9" w14:textId="77777777" w:rsidTr="004D77AC">
        <w:trPr>
          <w:trHeight w:val="115"/>
        </w:trPr>
        <w:tc>
          <w:tcPr>
            <w:tcW w:w="1452" w:type="pct"/>
            <w:tcBorders>
              <w:top w:val="nil"/>
              <w:left w:val="nil"/>
              <w:bottom w:val="nil"/>
              <w:right w:val="nil"/>
            </w:tcBorders>
          </w:tcPr>
          <w:p w14:paraId="2A3EFB0D"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β</w:t>
            </w:r>
          </w:p>
        </w:tc>
        <w:tc>
          <w:tcPr>
            <w:tcW w:w="859" w:type="pct"/>
            <w:tcBorders>
              <w:top w:val="nil"/>
              <w:left w:val="nil"/>
              <w:bottom w:val="nil"/>
              <w:right w:val="nil"/>
            </w:tcBorders>
          </w:tcPr>
          <w:p w14:paraId="4D31ED40" w14:textId="261A943C" w:rsidR="00237C8C" w:rsidRPr="00A84C63" w:rsidRDefault="005731C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59.121</w:t>
            </w:r>
            <w:r w:rsidR="00237C8C">
              <w:rPr>
                <w:rFonts w:ascii="Calibri" w:eastAsia="Times New Roman" w:hAnsi="Calibri" w:cs="Calibri"/>
                <w:sz w:val="20"/>
                <w:szCs w:val="20"/>
              </w:rPr>
              <w:t>*</w:t>
            </w:r>
            <w:r w:rsidR="00237C8C" w:rsidRPr="00A84C63">
              <w:rPr>
                <w:rFonts w:ascii="Calibri" w:eastAsia="Times New Roman" w:hAnsi="Calibri" w:cs="Calibri"/>
                <w:sz w:val="20"/>
                <w:szCs w:val="20"/>
              </w:rPr>
              <w:t>**</w:t>
            </w:r>
          </w:p>
        </w:tc>
        <w:tc>
          <w:tcPr>
            <w:tcW w:w="893" w:type="pct"/>
            <w:tcBorders>
              <w:top w:val="nil"/>
              <w:left w:val="nil"/>
              <w:bottom w:val="nil"/>
              <w:right w:val="nil"/>
            </w:tcBorders>
          </w:tcPr>
          <w:p w14:paraId="0F678DB0" w14:textId="2F536B3C" w:rsidR="00237C8C" w:rsidRPr="00A84C63" w:rsidRDefault="005731C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58.</w:t>
            </w:r>
            <w:r w:rsidR="00C76D79">
              <w:rPr>
                <w:rFonts w:ascii="Calibri" w:eastAsia="Times New Roman" w:hAnsi="Calibri" w:cs="Calibri"/>
                <w:sz w:val="20"/>
                <w:szCs w:val="20"/>
              </w:rPr>
              <w:t>609</w:t>
            </w:r>
            <w:r w:rsidR="00237C8C">
              <w:rPr>
                <w:rFonts w:ascii="Calibri" w:eastAsia="Times New Roman" w:hAnsi="Calibri" w:cs="Calibri"/>
                <w:sz w:val="20"/>
                <w:szCs w:val="20"/>
              </w:rPr>
              <w:t>***</w:t>
            </w:r>
          </w:p>
        </w:tc>
        <w:tc>
          <w:tcPr>
            <w:tcW w:w="893" w:type="pct"/>
            <w:tcBorders>
              <w:top w:val="nil"/>
              <w:left w:val="nil"/>
              <w:bottom w:val="nil"/>
              <w:right w:val="nil"/>
            </w:tcBorders>
          </w:tcPr>
          <w:p w14:paraId="12B35FD3" w14:textId="6B369212" w:rsidR="00237C8C" w:rsidRPr="00A84C63" w:rsidRDefault="00C76D7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62.125</w:t>
            </w:r>
            <w:r w:rsidR="00237C8C">
              <w:rPr>
                <w:rFonts w:ascii="Calibri" w:eastAsia="Times New Roman" w:hAnsi="Calibri" w:cs="Calibri"/>
                <w:sz w:val="20"/>
                <w:szCs w:val="20"/>
              </w:rPr>
              <w:t>***</w:t>
            </w:r>
          </w:p>
        </w:tc>
        <w:tc>
          <w:tcPr>
            <w:tcW w:w="903" w:type="pct"/>
            <w:tcBorders>
              <w:top w:val="nil"/>
              <w:left w:val="nil"/>
              <w:bottom w:val="nil"/>
              <w:right w:val="nil"/>
            </w:tcBorders>
          </w:tcPr>
          <w:p w14:paraId="066FCEB0" w14:textId="3623D20F" w:rsidR="00237C8C" w:rsidRPr="00A84C63" w:rsidRDefault="00C76D7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42.689</w:t>
            </w:r>
            <w:r w:rsidR="00237C8C" w:rsidRPr="00A84C63">
              <w:rPr>
                <w:rFonts w:ascii="Calibri" w:eastAsia="Times New Roman" w:hAnsi="Calibri" w:cs="Calibri"/>
                <w:sz w:val="20"/>
                <w:szCs w:val="20"/>
              </w:rPr>
              <w:t>***</w:t>
            </w:r>
          </w:p>
        </w:tc>
      </w:tr>
      <w:tr w:rsidR="00237C8C" w:rsidRPr="00A84C63" w14:paraId="74670A7C" w14:textId="77777777" w:rsidTr="004D77AC">
        <w:trPr>
          <w:trHeight w:val="659"/>
        </w:trPr>
        <w:tc>
          <w:tcPr>
            <w:tcW w:w="1452" w:type="pct"/>
            <w:tcBorders>
              <w:top w:val="nil"/>
              <w:left w:val="nil"/>
              <w:bottom w:val="single" w:sz="4" w:space="0" w:color="auto"/>
              <w:right w:val="nil"/>
            </w:tcBorders>
          </w:tcPr>
          <w:p w14:paraId="10F3AE31"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sz w:val="20"/>
                <w:szCs w:val="20"/>
              </w:rPr>
            </w:pPr>
            <w:r w:rsidRPr="00A84C63">
              <w:rPr>
                <w:rFonts w:ascii="Calibri" w:eastAsia="Times New Roman" w:hAnsi="Calibri" w:cs="Calibri"/>
                <w:sz w:val="20"/>
                <w:szCs w:val="20"/>
              </w:rPr>
              <w:t xml:space="preserve">  </w:t>
            </w:r>
            <w:r>
              <w:rPr>
                <w:rFonts w:ascii="Calibri" w:eastAsia="Times New Roman" w:hAnsi="Calibri" w:cs="Calibri"/>
                <w:sz w:val="20"/>
                <w:szCs w:val="20"/>
              </w:rPr>
              <w:t xml:space="preserve">                                       se</w:t>
            </w:r>
          </w:p>
        </w:tc>
        <w:tc>
          <w:tcPr>
            <w:tcW w:w="859" w:type="pct"/>
            <w:tcBorders>
              <w:top w:val="nil"/>
              <w:left w:val="nil"/>
              <w:bottom w:val="single" w:sz="4" w:space="0" w:color="auto"/>
              <w:right w:val="nil"/>
            </w:tcBorders>
          </w:tcPr>
          <w:p w14:paraId="6F6E3BCE" w14:textId="4238A23E"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Pr>
                <w:rFonts w:ascii="Calibri" w:eastAsia="Times New Roman" w:hAnsi="Calibri" w:cs="Calibri"/>
                <w:sz w:val="20"/>
                <w:szCs w:val="20"/>
              </w:rPr>
              <w:t>2.</w:t>
            </w:r>
            <w:r w:rsidR="00C76D79">
              <w:rPr>
                <w:rFonts w:ascii="Calibri" w:eastAsia="Times New Roman" w:hAnsi="Calibri" w:cs="Calibri"/>
                <w:sz w:val="20"/>
                <w:szCs w:val="20"/>
              </w:rPr>
              <w:t>547</w:t>
            </w:r>
            <w:r w:rsidRPr="00A84C63">
              <w:rPr>
                <w:rFonts w:ascii="Calibri" w:eastAsia="Times New Roman" w:hAnsi="Calibri" w:cs="Calibri"/>
                <w:sz w:val="20"/>
                <w:szCs w:val="20"/>
              </w:rPr>
              <w:t>)</w:t>
            </w:r>
          </w:p>
        </w:tc>
        <w:tc>
          <w:tcPr>
            <w:tcW w:w="893" w:type="pct"/>
            <w:tcBorders>
              <w:top w:val="nil"/>
              <w:left w:val="nil"/>
              <w:bottom w:val="single" w:sz="4" w:space="0" w:color="auto"/>
              <w:right w:val="nil"/>
            </w:tcBorders>
          </w:tcPr>
          <w:p w14:paraId="72F93BE7" w14:textId="3EA28371"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(2.</w:t>
            </w:r>
            <w:r w:rsidR="00C76D79">
              <w:rPr>
                <w:rFonts w:ascii="Calibri" w:eastAsia="Times New Roman" w:hAnsi="Calibri" w:cs="Calibri"/>
                <w:sz w:val="20"/>
                <w:szCs w:val="20"/>
              </w:rPr>
              <w:t>805</w:t>
            </w:r>
            <w:r w:rsidRPr="00A84C63">
              <w:rPr>
                <w:rFonts w:ascii="Calibri" w:eastAsia="Times New Roman" w:hAnsi="Calibri" w:cs="Calibri"/>
                <w:sz w:val="20"/>
                <w:szCs w:val="20"/>
              </w:rPr>
              <w:t>)</w:t>
            </w:r>
          </w:p>
        </w:tc>
        <w:tc>
          <w:tcPr>
            <w:tcW w:w="893" w:type="pct"/>
            <w:tcBorders>
              <w:top w:val="nil"/>
              <w:left w:val="nil"/>
              <w:bottom w:val="single" w:sz="4" w:space="0" w:color="auto"/>
              <w:right w:val="nil"/>
            </w:tcBorders>
          </w:tcPr>
          <w:p w14:paraId="5E7C06AD" w14:textId="1903CAC4"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C76D79">
              <w:rPr>
                <w:rFonts w:ascii="Calibri" w:eastAsia="Times New Roman" w:hAnsi="Calibri" w:cs="Calibri"/>
                <w:sz w:val="20"/>
                <w:szCs w:val="20"/>
              </w:rPr>
              <w:t>2.198</w:t>
            </w:r>
            <w:r w:rsidRPr="00A84C63">
              <w:rPr>
                <w:rFonts w:ascii="Calibri" w:eastAsia="Times New Roman" w:hAnsi="Calibri" w:cs="Calibri"/>
                <w:sz w:val="20"/>
                <w:szCs w:val="20"/>
              </w:rPr>
              <w:t>)</w:t>
            </w:r>
          </w:p>
        </w:tc>
        <w:tc>
          <w:tcPr>
            <w:tcW w:w="903" w:type="pct"/>
            <w:tcBorders>
              <w:top w:val="nil"/>
              <w:left w:val="nil"/>
              <w:bottom w:val="single" w:sz="4" w:space="0" w:color="auto"/>
              <w:right w:val="nil"/>
            </w:tcBorders>
          </w:tcPr>
          <w:p w14:paraId="5718FB21" w14:textId="48BBCC50"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w:t>
            </w:r>
            <w:r w:rsidR="00B94ACA">
              <w:rPr>
                <w:rFonts w:ascii="Calibri" w:eastAsia="Times New Roman" w:hAnsi="Calibri" w:cs="Calibri"/>
                <w:sz w:val="20"/>
                <w:szCs w:val="20"/>
              </w:rPr>
              <w:t>2.516</w:t>
            </w:r>
            <w:r w:rsidRPr="00A84C63">
              <w:rPr>
                <w:rFonts w:ascii="Calibri" w:eastAsia="Times New Roman" w:hAnsi="Calibri" w:cs="Calibri"/>
                <w:sz w:val="20"/>
                <w:szCs w:val="20"/>
              </w:rPr>
              <w:t>)</w:t>
            </w:r>
          </w:p>
        </w:tc>
      </w:tr>
      <w:tr w:rsidR="00237C8C" w:rsidRPr="00A84C63" w14:paraId="78665E77" w14:textId="77777777" w:rsidTr="004D77AC">
        <w:trPr>
          <w:trHeight w:val="434"/>
        </w:trPr>
        <w:tc>
          <w:tcPr>
            <w:tcW w:w="1452" w:type="pct"/>
            <w:tcBorders>
              <w:top w:val="single" w:sz="4" w:space="0" w:color="auto"/>
              <w:left w:val="nil"/>
              <w:bottom w:val="nil"/>
              <w:right w:val="nil"/>
            </w:tcBorders>
          </w:tcPr>
          <w:p w14:paraId="300A2DA9"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Observations</w:t>
            </w:r>
          </w:p>
        </w:tc>
        <w:tc>
          <w:tcPr>
            <w:tcW w:w="859" w:type="pct"/>
            <w:tcBorders>
              <w:top w:val="single" w:sz="4" w:space="0" w:color="auto"/>
              <w:left w:val="nil"/>
              <w:bottom w:val="nil"/>
              <w:right w:val="nil"/>
            </w:tcBorders>
          </w:tcPr>
          <w:p w14:paraId="1186748E"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6324</w:t>
            </w:r>
          </w:p>
        </w:tc>
        <w:tc>
          <w:tcPr>
            <w:tcW w:w="893" w:type="pct"/>
            <w:tcBorders>
              <w:top w:val="single" w:sz="4" w:space="0" w:color="auto"/>
              <w:left w:val="nil"/>
              <w:bottom w:val="nil"/>
              <w:right w:val="nil"/>
            </w:tcBorders>
          </w:tcPr>
          <w:p w14:paraId="6E321BFD"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3060</w:t>
            </w:r>
          </w:p>
        </w:tc>
        <w:tc>
          <w:tcPr>
            <w:tcW w:w="893" w:type="pct"/>
            <w:tcBorders>
              <w:top w:val="single" w:sz="4" w:space="0" w:color="auto"/>
              <w:left w:val="nil"/>
              <w:bottom w:val="nil"/>
              <w:right w:val="nil"/>
            </w:tcBorders>
          </w:tcPr>
          <w:p w14:paraId="13689FCA"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6324</w:t>
            </w:r>
          </w:p>
        </w:tc>
        <w:tc>
          <w:tcPr>
            <w:tcW w:w="903" w:type="pct"/>
            <w:tcBorders>
              <w:top w:val="single" w:sz="4" w:space="0" w:color="auto"/>
              <w:left w:val="nil"/>
              <w:bottom w:val="nil"/>
              <w:right w:val="nil"/>
            </w:tcBorders>
          </w:tcPr>
          <w:p w14:paraId="2FC6CAFF" w14:textId="7777777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3060</w:t>
            </w:r>
          </w:p>
        </w:tc>
      </w:tr>
      <w:tr w:rsidR="00237C8C" w:rsidRPr="00A84C63" w14:paraId="0435C44B" w14:textId="77777777" w:rsidTr="004D77AC">
        <w:trPr>
          <w:trHeight w:val="434"/>
        </w:trPr>
        <w:tc>
          <w:tcPr>
            <w:tcW w:w="1452" w:type="pct"/>
            <w:tcBorders>
              <w:top w:val="nil"/>
              <w:left w:val="nil"/>
              <w:bottom w:val="nil"/>
              <w:right w:val="nil"/>
            </w:tcBorders>
          </w:tcPr>
          <w:p w14:paraId="0A430687"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b/>
                <w:bCs/>
                <w:sz w:val="20"/>
                <w:szCs w:val="20"/>
              </w:rPr>
            </w:pPr>
            <w:r w:rsidRPr="00A84C63">
              <w:rPr>
                <w:rFonts w:ascii="Calibri" w:eastAsia="Times New Roman" w:hAnsi="Calibri" w:cs="Calibri"/>
                <w:sz w:val="20"/>
                <w:szCs w:val="20"/>
              </w:rPr>
              <w:t xml:space="preserve"> </w:t>
            </w:r>
            <w:r w:rsidRPr="00A84C63">
              <w:rPr>
                <w:rFonts w:ascii="Calibri" w:eastAsia="Times New Roman" w:hAnsi="Calibri" w:cs="Calibri"/>
                <w:b/>
                <w:bCs/>
                <w:sz w:val="20"/>
                <w:szCs w:val="20"/>
              </w:rPr>
              <w:t>R-squared</w:t>
            </w:r>
          </w:p>
        </w:tc>
        <w:tc>
          <w:tcPr>
            <w:tcW w:w="859" w:type="pct"/>
            <w:tcBorders>
              <w:top w:val="nil"/>
              <w:left w:val="nil"/>
              <w:bottom w:val="nil"/>
              <w:right w:val="nil"/>
            </w:tcBorders>
          </w:tcPr>
          <w:p w14:paraId="485E0FEE" w14:textId="6721BE3D"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Pr>
                <w:rFonts w:ascii="Calibri" w:eastAsia="Times New Roman" w:hAnsi="Calibri" w:cs="Calibri"/>
                <w:sz w:val="20"/>
                <w:szCs w:val="20"/>
              </w:rPr>
              <w:t>6</w:t>
            </w:r>
            <w:r w:rsidR="00B94ACA">
              <w:rPr>
                <w:rFonts w:ascii="Calibri" w:eastAsia="Times New Roman" w:hAnsi="Calibri" w:cs="Calibri"/>
                <w:sz w:val="20"/>
                <w:szCs w:val="20"/>
              </w:rPr>
              <w:t>57</w:t>
            </w:r>
          </w:p>
        </w:tc>
        <w:tc>
          <w:tcPr>
            <w:tcW w:w="893" w:type="pct"/>
            <w:tcBorders>
              <w:top w:val="nil"/>
              <w:left w:val="nil"/>
              <w:bottom w:val="nil"/>
              <w:right w:val="nil"/>
            </w:tcBorders>
          </w:tcPr>
          <w:p w14:paraId="5B9601B7" w14:textId="5E1FDC07"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Pr>
                <w:rFonts w:ascii="Calibri" w:eastAsia="Times New Roman" w:hAnsi="Calibri" w:cs="Calibri"/>
                <w:sz w:val="20"/>
                <w:szCs w:val="20"/>
              </w:rPr>
              <w:t>73</w:t>
            </w:r>
            <w:r w:rsidR="00B94ACA">
              <w:rPr>
                <w:rFonts w:ascii="Calibri" w:eastAsia="Times New Roman" w:hAnsi="Calibri" w:cs="Calibri"/>
                <w:sz w:val="20"/>
                <w:szCs w:val="20"/>
              </w:rPr>
              <w:t>1</w:t>
            </w:r>
          </w:p>
        </w:tc>
        <w:tc>
          <w:tcPr>
            <w:tcW w:w="893" w:type="pct"/>
            <w:tcBorders>
              <w:top w:val="nil"/>
              <w:left w:val="nil"/>
              <w:bottom w:val="nil"/>
              <w:right w:val="nil"/>
            </w:tcBorders>
          </w:tcPr>
          <w:p w14:paraId="24CCA4AC" w14:textId="286002B9"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w:t>
            </w:r>
            <w:r w:rsidR="00B94ACA">
              <w:rPr>
                <w:rFonts w:ascii="Calibri" w:eastAsia="Times New Roman" w:hAnsi="Calibri" w:cs="Calibri"/>
                <w:sz w:val="20"/>
                <w:szCs w:val="20"/>
              </w:rPr>
              <w:t>796</w:t>
            </w:r>
          </w:p>
        </w:tc>
        <w:tc>
          <w:tcPr>
            <w:tcW w:w="903" w:type="pct"/>
            <w:tcBorders>
              <w:top w:val="nil"/>
              <w:left w:val="nil"/>
              <w:bottom w:val="nil"/>
              <w:right w:val="nil"/>
            </w:tcBorders>
          </w:tcPr>
          <w:p w14:paraId="59D61022" w14:textId="391506E1" w:rsidR="00237C8C" w:rsidRPr="00A84C63" w:rsidRDefault="00237C8C" w:rsidP="00994D24">
            <w:pPr>
              <w:widowControl w:val="0"/>
              <w:autoSpaceDE w:val="0"/>
              <w:autoSpaceDN w:val="0"/>
              <w:adjustRightInd w:val="0"/>
              <w:spacing w:after="0" w:line="240" w:lineRule="auto"/>
              <w:jc w:val="center"/>
              <w:rPr>
                <w:rFonts w:ascii="Calibri" w:eastAsia="Times New Roman" w:hAnsi="Calibri" w:cs="Calibri"/>
                <w:sz w:val="20"/>
                <w:szCs w:val="20"/>
              </w:rPr>
            </w:pPr>
            <w:r w:rsidRPr="00A84C63">
              <w:rPr>
                <w:rFonts w:ascii="Calibri" w:eastAsia="Times New Roman" w:hAnsi="Calibri" w:cs="Calibri"/>
                <w:sz w:val="20"/>
                <w:szCs w:val="20"/>
              </w:rPr>
              <w:t>0.8</w:t>
            </w:r>
            <w:r w:rsidR="00B94ACA">
              <w:rPr>
                <w:rFonts w:ascii="Calibri" w:eastAsia="Times New Roman" w:hAnsi="Calibri" w:cs="Calibri"/>
                <w:sz w:val="20"/>
                <w:szCs w:val="20"/>
              </w:rPr>
              <w:t>14</w:t>
            </w:r>
          </w:p>
        </w:tc>
      </w:tr>
      <w:tr w:rsidR="00AA4259" w:rsidRPr="00A84C63" w14:paraId="45DF5375" w14:textId="77777777" w:rsidTr="004D77AC">
        <w:trPr>
          <w:trHeight w:val="434"/>
        </w:trPr>
        <w:tc>
          <w:tcPr>
            <w:tcW w:w="1452" w:type="pct"/>
            <w:tcBorders>
              <w:top w:val="nil"/>
              <w:left w:val="nil"/>
              <w:bottom w:val="nil"/>
              <w:right w:val="nil"/>
            </w:tcBorders>
          </w:tcPr>
          <w:p w14:paraId="1F0B30AE" w14:textId="29A28E9F" w:rsidR="00AA4259" w:rsidRPr="00AA4259" w:rsidRDefault="00AA4259" w:rsidP="00994D24">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sz w:val="20"/>
                <w:szCs w:val="20"/>
              </w:rPr>
              <w:t xml:space="preserve"> </w:t>
            </w:r>
            <w:r>
              <w:rPr>
                <w:rFonts w:ascii="Calibri" w:eastAsia="Times New Roman" w:hAnsi="Calibri" w:cs="Calibri"/>
                <w:b/>
                <w:bCs/>
                <w:sz w:val="20"/>
                <w:szCs w:val="20"/>
              </w:rPr>
              <w:t>GDP</w:t>
            </w:r>
          </w:p>
        </w:tc>
        <w:tc>
          <w:tcPr>
            <w:tcW w:w="859" w:type="pct"/>
            <w:tcBorders>
              <w:top w:val="nil"/>
              <w:left w:val="nil"/>
              <w:bottom w:val="nil"/>
              <w:right w:val="nil"/>
            </w:tcBorders>
          </w:tcPr>
          <w:p w14:paraId="0B5746F3" w14:textId="0C2C78AF" w:rsidR="00AA4259" w:rsidRPr="00A84C63" w:rsidRDefault="00AA425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893" w:type="pct"/>
            <w:tcBorders>
              <w:top w:val="nil"/>
              <w:left w:val="nil"/>
              <w:bottom w:val="nil"/>
              <w:right w:val="nil"/>
            </w:tcBorders>
          </w:tcPr>
          <w:p w14:paraId="2E49938C" w14:textId="4CCDE65A" w:rsidR="00AA4259" w:rsidRPr="00A84C63" w:rsidRDefault="00AA425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893" w:type="pct"/>
            <w:tcBorders>
              <w:top w:val="nil"/>
              <w:left w:val="nil"/>
              <w:bottom w:val="nil"/>
              <w:right w:val="nil"/>
            </w:tcBorders>
          </w:tcPr>
          <w:p w14:paraId="57AE2F56" w14:textId="4807E0C4" w:rsidR="00AA4259" w:rsidRPr="00A84C63" w:rsidRDefault="00AA4259"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903" w:type="pct"/>
            <w:tcBorders>
              <w:top w:val="nil"/>
              <w:left w:val="nil"/>
              <w:bottom w:val="nil"/>
              <w:right w:val="nil"/>
            </w:tcBorders>
          </w:tcPr>
          <w:p w14:paraId="505AC90A" w14:textId="084A3D00" w:rsidR="00AA4259" w:rsidRPr="00A84C63" w:rsidRDefault="00AA4259"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701211" w:rsidRPr="00A84C63" w14:paraId="32B9296F" w14:textId="77777777" w:rsidTr="004D77AC">
        <w:trPr>
          <w:trHeight w:val="434"/>
        </w:trPr>
        <w:tc>
          <w:tcPr>
            <w:tcW w:w="1452" w:type="pct"/>
            <w:tcBorders>
              <w:top w:val="nil"/>
              <w:left w:val="nil"/>
              <w:bottom w:val="nil"/>
              <w:right w:val="nil"/>
            </w:tcBorders>
          </w:tcPr>
          <w:p w14:paraId="28E87D99" w14:textId="5F70BABD" w:rsidR="00701211" w:rsidRPr="00701211" w:rsidRDefault="00701211" w:rsidP="00994D24">
            <w:pPr>
              <w:widowControl w:val="0"/>
              <w:autoSpaceDE w:val="0"/>
              <w:autoSpaceDN w:val="0"/>
              <w:adjustRightInd w:val="0"/>
              <w:spacing w:after="0" w:line="240" w:lineRule="auto"/>
              <w:rPr>
                <w:rFonts w:ascii="Calibri" w:eastAsia="Times New Roman" w:hAnsi="Calibri" w:cs="Calibri"/>
                <w:b/>
                <w:bCs/>
                <w:sz w:val="20"/>
                <w:szCs w:val="20"/>
              </w:rPr>
            </w:pPr>
            <w:r>
              <w:rPr>
                <w:rFonts w:ascii="Calibri" w:eastAsia="Times New Roman" w:hAnsi="Calibri" w:cs="Calibri"/>
                <w:b/>
                <w:bCs/>
                <w:sz w:val="20"/>
                <w:szCs w:val="20"/>
              </w:rPr>
              <w:t xml:space="preserve"> Time-variant state effect</w:t>
            </w:r>
          </w:p>
        </w:tc>
        <w:tc>
          <w:tcPr>
            <w:tcW w:w="859" w:type="pct"/>
            <w:tcBorders>
              <w:top w:val="nil"/>
              <w:left w:val="nil"/>
              <w:bottom w:val="nil"/>
              <w:right w:val="nil"/>
            </w:tcBorders>
          </w:tcPr>
          <w:p w14:paraId="7A271A04" w14:textId="08B834E7" w:rsidR="00701211" w:rsidRDefault="00701211"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893" w:type="pct"/>
            <w:tcBorders>
              <w:top w:val="nil"/>
              <w:left w:val="nil"/>
              <w:bottom w:val="nil"/>
              <w:right w:val="nil"/>
            </w:tcBorders>
          </w:tcPr>
          <w:p w14:paraId="491DF793" w14:textId="24B0685A" w:rsidR="00701211" w:rsidRDefault="00701211"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No</w:t>
            </w:r>
          </w:p>
        </w:tc>
        <w:tc>
          <w:tcPr>
            <w:tcW w:w="893" w:type="pct"/>
            <w:tcBorders>
              <w:top w:val="nil"/>
              <w:left w:val="nil"/>
              <w:bottom w:val="nil"/>
              <w:right w:val="nil"/>
            </w:tcBorders>
          </w:tcPr>
          <w:p w14:paraId="1DAFA071" w14:textId="62EB0F0D" w:rsidR="00701211" w:rsidRDefault="00701211" w:rsidP="00994D24">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c>
          <w:tcPr>
            <w:tcW w:w="903" w:type="pct"/>
            <w:tcBorders>
              <w:top w:val="nil"/>
              <w:left w:val="nil"/>
              <w:bottom w:val="nil"/>
              <w:right w:val="nil"/>
            </w:tcBorders>
          </w:tcPr>
          <w:p w14:paraId="75AAC0F3" w14:textId="4BBE7F2A" w:rsidR="00701211" w:rsidRDefault="00701211" w:rsidP="00701211">
            <w:pPr>
              <w:widowControl w:val="0"/>
              <w:autoSpaceDE w:val="0"/>
              <w:autoSpaceDN w:val="0"/>
              <w:adjustRightInd w:val="0"/>
              <w:spacing w:after="0" w:line="240" w:lineRule="auto"/>
              <w:jc w:val="center"/>
              <w:rPr>
                <w:rFonts w:ascii="Calibri" w:eastAsia="Times New Roman" w:hAnsi="Calibri" w:cs="Calibri"/>
                <w:sz w:val="20"/>
                <w:szCs w:val="20"/>
              </w:rPr>
            </w:pPr>
            <w:r>
              <w:rPr>
                <w:rFonts w:ascii="Calibri" w:eastAsia="Times New Roman" w:hAnsi="Calibri" w:cs="Calibri"/>
                <w:sz w:val="20"/>
                <w:szCs w:val="20"/>
              </w:rPr>
              <w:t>Yes</w:t>
            </w:r>
          </w:p>
        </w:tc>
      </w:tr>
      <w:tr w:rsidR="00237C8C" w:rsidRPr="00A84C63" w14:paraId="3BAAC749" w14:textId="77777777" w:rsidTr="004D77AC">
        <w:trPr>
          <w:trHeight w:val="434"/>
        </w:trPr>
        <w:tc>
          <w:tcPr>
            <w:tcW w:w="5000" w:type="pct"/>
            <w:gridSpan w:val="5"/>
            <w:tcBorders>
              <w:top w:val="single" w:sz="6" w:space="0" w:color="auto"/>
              <w:left w:val="nil"/>
              <w:bottom w:val="nil"/>
              <w:right w:val="nil"/>
            </w:tcBorders>
          </w:tcPr>
          <w:p w14:paraId="1DB81FDB" w14:textId="0E16EA3E" w:rsidR="00237C8C" w:rsidRPr="00A84C63" w:rsidRDefault="00940722" w:rsidP="00994D24">
            <w:pPr>
              <w:widowControl w:val="0"/>
              <w:autoSpaceDE w:val="0"/>
              <w:autoSpaceDN w:val="0"/>
              <w:adjustRightInd w:val="0"/>
              <w:spacing w:after="0" w:line="240" w:lineRule="auto"/>
              <w:rPr>
                <w:rFonts w:ascii="Calibri" w:eastAsia="Times New Roman" w:hAnsi="Calibri" w:cs="Calibri"/>
                <w:i/>
                <w:iCs/>
                <w:sz w:val="20"/>
                <w:szCs w:val="20"/>
              </w:rPr>
            </w:pPr>
            <w:r>
              <w:rPr>
                <w:rFonts w:ascii="Calibri" w:eastAsia="Times New Roman" w:hAnsi="Calibri" w:cs="Calibri"/>
                <w:i/>
                <w:iCs/>
                <w:sz w:val="20"/>
                <w:szCs w:val="20"/>
              </w:rPr>
              <w:t>Clustered</w:t>
            </w:r>
            <w:r w:rsidR="00237C8C" w:rsidRPr="00A84C63">
              <w:rPr>
                <w:rFonts w:ascii="Calibri" w:eastAsia="Times New Roman" w:hAnsi="Calibri" w:cs="Calibri"/>
                <w:i/>
                <w:iCs/>
                <w:sz w:val="20"/>
                <w:szCs w:val="20"/>
              </w:rPr>
              <w:t xml:space="preserve"> standard errors are in parentheses</w:t>
            </w:r>
            <w:r w:rsidR="0086682C">
              <w:rPr>
                <w:rFonts w:ascii="Calibri" w:eastAsia="Times New Roman" w:hAnsi="Calibri" w:cs="Calibri"/>
                <w:i/>
                <w:iCs/>
                <w:sz w:val="20"/>
                <w:szCs w:val="20"/>
              </w:rPr>
              <w:t>. Indicator variables omitted in</w:t>
            </w:r>
            <w:r w:rsidR="005F2AD6">
              <w:rPr>
                <w:rFonts w:ascii="Calibri" w:eastAsia="Times New Roman" w:hAnsi="Calibri" w:cs="Calibri"/>
                <w:i/>
                <w:iCs/>
                <w:sz w:val="20"/>
                <w:szCs w:val="20"/>
              </w:rPr>
              <w:t xml:space="preserve"> the</w:t>
            </w:r>
            <w:r w:rsidR="0086682C">
              <w:rPr>
                <w:rFonts w:ascii="Calibri" w:eastAsia="Times New Roman" w:hAnsi="Calibri" w:cs="Calibri"/>
                <w:i/>
                <w:iCs/>
                <w:sz w:val="20"/>
                <w:szCs w:val="20"/>
              </w:rPr>
              <w:t xml:space="preserve"> output</w:t>
            </w:r>
            <w:r w:rsidR="00BA39FD">
              <w:rPr>
                <w:rFonts w:ascii="Calibri" w:eastAsia="Times New Roman" w:hAnsi="Calibri" w:cs="Calibri"/>
                <w:i/>
                <w:iCs/>
                <w:sz w:val="20"/>
                <w:szCs w:val="20"/>
              </w:rPr>
              <w:t xml:space="preserve"> table</w:t>
            </w:r>
            <w:r w:rsidR="0086682C">
              <w:rPr>
                <w:rFonts w:ascii="Calibri" w:eastAsia="Times New Roman" w:hAnsi="Calibri" w:cs="Calibri"/>
                <w:i/>
                <w:iCs/>
                <w:sz w:val="20"/>
                <w:szCs w:val="20"/>
              </w:rPr>
              <w:t>.</w:t>
            </w:r>
          </w:p>
        </w:tc>
      </w:tr>
      <w:tr w:rsidR="00237C8C" w:rsidRPr="00A84C63" w14:paraId="61911E08" w14:textId="77777777" w:rsidTr="004D77AC">
        <w:trPr>
          <w:trHeight w:val="451"/>
        </w:trPr>
        <w:tc>
          <w:tcPr>
            <w:tcW w:w="5000" w:type="pct"/>
            <w:gridSpan w:val="5"/>
            <w:tcBorders>
              <w:top w:val="nil"/>
              <w:left w:val="nil"/>
              <w:bottom w:val="single" w:sz="4" w:space="0" w:color="auto"/>
              <w:right w:val="nil"/>
            </w:tcBorders>
          </w:tcPr>
          <w:p w14:paraId="21AC143D" w14:textId="77777777" w:rsidR="00237C8C" w:rsidRPr="00A84C63" w:rsidRDefault="00237C8C" w:rsidP="00994D24">
            <w:pPr>
              <w:widowControl w:val="0"/>
              <w:autoSpaceDE w:val="0"/>
              <w:autoSpaceDN w:val="0"/>
              <w:adjustRightInd w:val="0"/>
              <w:spacing w:after="0" w:line="240" w:lineRule="auto"/>
              <w:rPr>
                <w:rFonts w:ascii="Calibri" w:eastAsia="Times New Roman" w:hAnsi="Calibri" w:cs="Calibri"/>
                <w:i/>
                <w:iCs/>
                <w:sz w:val="20"/>
                <w:szCs w:val="20"/>
              </w:rPr>
            </w:pPr>
            <w:r w:rsidRPr="00A84C63">
              <w:rPr>
                <w:rFonts w:ascii="Calibri" w:eastAsia="Times New Roman" w:hAnsi="Calibri" w:cs="Calibri"/>
                <w:i/>
                <w:iCs/>
                <w:sz w:val="20"/>
                <w:szCs w:val="20"/>
              </w:rPr>
              <w:t xml:space="preserve">*** p&lt;.01, ** p&lt;.05, * p&lt;.1 </w:t>
            </w:r>
          </w:p>
        </w:tc>
      </w:tr>
    </w:tbl>
    <w:p w14:paraId="27E21704" w14:textId="77777777" w:rsidR="00237C8C" w:rsidRDefault="00237C8C" w:rsidP="00237C8C">
      <w:pPr>
        <w:spacing w:line="480" w:lineRule="auto"/>
        <w:rPr>
          <w:sz w:val="24"/>
          <w:szCs w:val="24"/>
        </w:rPr>
      </w:pPr>
    </w:p>
    <w:p w14:paraId="6D43CF77" w14:textId="75A9E834" w:rsidR="005277B2" w:rsidRDefault="00D0449D" w:rsidP="00AD2834">
      <w:pPr>
        <w:spacing w:line="480" w:lineRule="auto"/>
        <w:ind w:firstLine="220"/>
        <w:rPr>
          <w:sz w:val="24"/>
          <w:szCs w:val="24"/>
        </w:rPr>
      </w:pPr>
      <w:r>
        <w:rPr>
          <w:sz w:val="24"/>
          <w:szCs w:val="24"/>
        </w:rPr>
        <w:t xml:space="preserve">Like </w:t>
      </w:r>
      <w:r w:rsidR="003C1FFB">
        <w:rPr>
          <w:sz w:val="24"/>
          <w:szCs w:val="24"/>
        </w:rPr>
        <w:t xml:space="preserve">for </w:t>
      </w:r>
      <w:r>
        <w:rPr>
          <w:sz w:val="24"/>
          <w:szCs w:val="24"/>
        </w:rPr>
        <w:t xml:space="preserve">the </w:t>
      </w:r>
      <w:r w:rsidR="00771AAF">
        <w:rPr>
          <w:sz w:val="24"/>
          <w:szCs w:val="24"/>
        </w:rPr>
        <w:t>previous</w:t>
      </w:r>
      <w:r>
        <w:rPr>
          <w:sz w:val="24"/>
          <w:szCs w:val="24"/>
        </w:rPr>
        <w:t xml:space="preserve"> two </w:t>
      </w:r>
      <w:r w:rsidR="003C1FFB">
        <w:rPr>
          <w:sz w:val="24"/>
          <w:szCs w:val="24"/>
        </w:rPr>
        <w:t>employment</w:t>
      </w:r>
      <w:r>
        <w:rPr>
          <w:sz w:val="24"/>
          <w:szCs w:val="24"/>
        </w:rPr>
        <w:t xml:space="preserve"> variables, </w:t>
      </w:r>
      <w:r w:rsidR="00F855EA">
        <w:rPr>
          <w:sz w:val="24"/>
          <w:szCs w:val="24"/>
        </w:rPr>
        <w:t xml:space="preserve">the calculated </w:t>
      </w:r>
      <w:r w:rsidR="008677AE">
        <w:rPr>
          <w:sz w:val="24"/>
          <w:szCs w:val="24"/>
        </w:rPr>
        <w:t xml:space="preserve">minimum wage </w:t>
      </w:r>
      <w:r w:rsidR="007E2E0B">
        <w:rPr>
          <w:sz w:val="24"/>
          <w:szCs w:val="24"/>
        </w:rPr>
        <w:t>semi-</w:t>
      </w:r>
      <w:r w:rsidR="003C1FFB">
        <w:rPr>
          <w:sz w:val="24"/>
          <w:szCs w:val="24"/>
        </w:rPr>
        <w:t>elasticit</w:t>
      </w:r>
      <w:r w:rsidR="00F855EA">
        <w:rPr>
          <w:sz w:val="24"/>
          <w:szCs w:val="24"/>
        </w:rPr>
        <w:t xml:space="preserve">ies </w:t>
      </w:r>
      <w:r w:rsidR="003C1FFB">
        <w:rPr>
          <w:sz w:val="24"/>
          <w:szCs w:val="24"/>
        </w:rPr>
        <w:t>for the emp</w:t>
      </w:r>
      <w:r w:rsidR="008677AE">
        <w:rPr>
          <w:sz w:val="24"/>
          <w:szCs w:val="24"/>
        </w:rPr>
        <w:t xml:space="preserve">loyment to population ratio </w:t>
      </w:r>
      <w:r w:rsidR="00F855EA">
        <w:rPr>
          <w:sz w:val="24"/>
          <w:szCs w:val="24"/>
        </w:rPr>
        <w:t>are insig</w:t>
      </w:r>
      <w:r w:rsidR="0075277B">
        <w:rPr>
          <w:sz w:val="24"/>
          <w:szCs w:val="24"/>
        </w:rPr>
        <w:t>nificant and imprecisely estimated across the four models.</w:t>
      </w:r>
      <w:r w:rsidR="003815D9">
        <w:rPr>
          <w:sz w:val="24"/>
          <w:szCs w:val="24"/>
        </w:rPr>
        <w:t xml:space="preserve"> The baseline </w:t>
      </w:r>
      <w:r w:rsidR="007E2E0B">
        <w:rPr>
          <w:sz w:val="24"/>
          <w:szCs w:val="24"/>
        </w:rPr>
        <w:t>semi-</w:t>
      </w:r>
      <w:r w:rsidR="003815D9">
        <w:rPr>
          <w:sz w:val="24"/>
          <w:szCs w:val="24"/>
        </w:rPr>
        <w:t xml:space="preserve">elasticity in model 1 is </w:t>
      </w:r>
      <w:r w:rsidR="007E2E0B">
        <w:rPr>
          <w:sz w:val="24"/>
          <w:szCs w:val="24"/>
        </w:rPr>
        <w:t>1.1978</w:t>
      </w:r>
      <w:r w:rsidR="00E54A5D">
        <w:rPr>
          <w:sz w:val="24"/>
          <w:szCs w:val="24"/>
        </w:rPr>
        <w:t xml:space="preserve">, </w:t>
      </w:r>
      <w:r w:rsidR="00303454">
        <w:rPr>
          <w:sz w:val="24"/>
          <w:szCs w:val="24"/>
        </w:rPr>
        <w:t>to which</w:t>
      </w:r>
      <w:r w:rsidR="005C7647">
        <w:rPr>
          <w:sz w:val="24"/>
          <w:szCs w:val="24"/>
        </w:rPr>
        <w:t xml:space="preserve"> </w:t>
      </w:r>
      <w:r w:rsidR="008B7E9B">
        <w:rPr>
          <w:sz w:val="24"/>
          <w:szCs w:val="24"/>
        </w:rPr>
        <w:t>controlling</w:t>
      </w:r>
      <w:r w:rsidR="00D05F81">
        <w:rPr>
          <w:sz w:val="24"/>
          <w:szCs w:val="24"/>
        </w:rPr>
        <w:t xml:space="preserve"> for </w:t>
      </w:r>
      <w:r w:rsidR="005C7647">
        <w:rPr>
          <w:sz w:val="24"/>
          <w:szCs w:val="24"/>
        </w:rPr>
        <w:t xml:space="preserve">GDP </w:t>
      </w:r>
      <w:r w:rsidR="005D21B5">
        <w:rPr>
          <w:sz w:val="24"/>
          <w:szCs w:val="24"/>
        </w:rPr>
        <w:t xml:space="preserve">in model 2 </w:t>
      </w:r>
      <w:r w:rsidR="005C7647">
        <w:rPr>
          <w:sz w:val="24"/>
          <w:szCs w:val="24"/>
        </w:rPr>
        <w:t xml:space="preserve">appears </w:t>
      </w:r>
      <w:r w:rsidR="002B298B">
        <w:rPr>
          <w:sz w:val="24"/>
          <w:szCs w:val="24"/>
        </w:rPr>
        <w:t xml:space="preserve">to </w:t>
      </w:r>
      <w:r w:rsidR="00AC7CB1">
        <w:rPr>
          <w:sz w:val="24"/>
          <w:szCs w:val="24"/>
        </w:rPr>
        <w:t>mildly increase both the coefficient and the standard error</w:t>
      </w:r>
      <w:r w:rsidR="004178B8">
        <w:rPr>
          <w:sz w:val="24"/>
          <w:szCs w:val="24"/>
        </w:rPr>
        <w:t>. I</w:t>
      </w:r>
      <w:r w:rsidR="00502A10">
        <w:rPr>
          <w:sz w:val="24"/>
          <w:szCs w:val="24"/>
        </w:rPr>
        <w:t xml:space="preserve">ncluding the time-variant state effects in models 3 and 4 </w:t>
      </w:r>
      <w:r w:rsidR="00E2168F">
        <w:rPr>
          <w:sz w:val="24"/>
          <w:szCs w:val="24"/>
        </w:rPr>
        <w:t>reduce</w:t>
      </w:r>
      <w:r w:rsidR="005D21B5">
        <w:rPr>
          <w:sz w:val="24"/>
          <w:szCs w:val="24"/>
        </w:rPr>
        <w:t>s</w:t>
      </w:r>
      <w:r w:rsidR="00E2168F">
        <w:rPr>
          <w:sz w:val="24"/>
          <w:szCs w:val="24"/>
        </w:rPr>
        <w:t xml:space="preserve"> the </w:t>
      </w:r>
      <w:r w:rsidR="00814E96">
        <w:rPr>
          <w:sz w:val="24"/>
          <w:szCs w:val="24"/>
        </w:rPr>
        <w:t>semi-</w:t>
      </w:r>
      <w:r w:rsidR="00E2168F">
        <w:rPr>
          <w:sz w:val="24"/>
          <w:szCs w:val="24"/>
        </w:rPr>
        <w:t>elasticity estimate</w:t>
      </w:r>
      <w:r w:rsidR="00595DC8">
        <w:rPr>
          <w:sz w:val="24"/>
          <w:szCs w:val="24"/>
        </w:rPr>
        <w:t>s to 0.</w:t>
      </w:r>
      <w:r w:rsidR="003F3098">
        <w:rPr>
          <w:sz w:val="24"/>
          <w:szCs w:val="24"/>
        </w:rPr>
        <w:t>7154</w:t>
      </w:r>
      <w:r w:rsidR="00595DC8">
        <w:rPr>
          <w:sz w:val="24"/>
          <w:szCs w:val="24"/>
        </w:rPr>
        <w:t xml:space="preserve"> and </w:t>
      </w:r>
      <w:r w:rsidR="009060A6">
        <w:rPr>
          <w:sz w:val="24"/>
          <w:szCs w:val="24"/>
        </w:rPr>
        <w:t>0.3727,</w:t>
      </w:r>
      <w:r w:rsidR="00595DC8">
        <w:rPr>
          <w:sz w:val="24"/>
          <w:szCs w:val="24"/>
        </w:rPr>
        <w:t xml:space="preserve"> respectively</w:t>
      </w:r>
      <w:r w:rsidR="00E2168F">
        <w:rPr>
          <w:sz w:val="24"/>
          <w:szCs w:val="24"/>
        </w:rPr>
        <w:t>.</w:t>
      </w:r>
      <w:r w:rsidR="00FC4609">
        <w:rPr>
          <w:sz w:val="24"/>
          <w:szCs w:val="24"/>
        </w:rPr>
        <w:t xml:space="preserve"> </w:t>
      </w:r>
      <w:r w:rsidR="00833093">
        <w:rPr>
          <w:sz w:val="24"/>
          <w:szCs w:val="24"/>
        </w:rPr>
        <w:t xml:space="preserve">Standard errors </w:t>
      </w:r>
      <w:r w:rsidR="00D50E83">
        <w:rPr>
          <w:sz w:val="24"/>
          <w:szCs w:val="24"/>
        </w:rPr>
        <w:t xml:space="preserve">do not change </w:t>
      </w:r>
      <w:r w:rsidR="009060A6">
        <w:rPr>
          <w:sz w:val="24"/>
          <w:szCs w:val="24"/>
        </w:rPr>
        <w:t>dramatically</w:t>
      </w:r>
      <w:r w:rsidR="00D50E83">
        <w:rPr>
          <w:sz w:val="24"/>
          <w:szCs w:val="24"/>
        </w:rPr>
        <w:t xml:space="preserve"> between the four models.</w:t>
      </w:r>
      <w:r w:rsidR="00266E29">
        <w:rPr>
          <w:sz w:val="24"/>
          <w:szCs w:val="24"/>
        </w:rPr>
        <w:t xml:space="preserve"> </w:t>
      </w:r>
      <w:r w:rsidR="003F0ECA">
        <w:rPr>
          <w:sz w:val="24"/>
          <w:szCs w:val="24"/>
        </w:rPr>
        <w:t>T</w:t>
      </w:r>
      <w:r w:rsidR="00802F30">
        <w:rPr>
          <w:sz w:val="24"/>
          <w:szCs w:val="24"/>
        </w:rPr>
        <w:t xml:space="preserve">he coefficient for model 4 can </w:t>
      </w:r>
      <w:r w:rsidR="00A50239">
        <w:rPr>
          <w:sz w:val="24"/>
          <w:szCs w:val="24"/>
        </w:rPr>
        <w:t xml:space="preserve">be </w:t>
      </w:r>
      <w:r w:rsidR="00802F30">
        <w:rPr>
          <w:sz w:val="24"/>
          <w:szCs w:val="24"/>
        </w:rPr>
        <w:t xml:space="preserve">interpreted as a 10% increase in the minimum wage associating with </w:t>
      </w:r>
      <w:r w:rsidR="008C2317">
        <w:rPr>
          <w:sz w:val="24"/>
          <w:szCs w:val="24"/>
        </w:rPr>
        <w:t xml:space="preserve">a 0.0373 percentage point increase in </w:t>
      </w:r>
      <w:r w:rsidR="008C2317">
        <w:rPr>
          <w:sz w:val="24"/>
          <w:szCs w:val="24"/>
        </w:rPr>
        <w:lastRenderedPageBreak/>
        <w:t xml:space="preserve">the proportion of the population that it is employed. </w:t>
      </w:r>
      <w:r w:rsidR="00691CB5">
        <w:rPr>
          <w:sz w:val="24"/>
          <w:szCs w:val="24"/>
        </w:rPr>
        <w:t>M</w:t>
      </w:r>
      <w:r w:rsidR="00C727A5">
        <w:rPr>
          <w:sz w:val="24"/>
          <w:szCs w:val="24"/>
        </w:rPr>
        <w:t>odels 1, 2, and 3 suggest a similar relationship</w:t>
      </w:r>
      <w:r w:rsidR="00E17268">
        <w:rPr>
          <w:sz w:val="24"/>
          <w:szCs w:val="24"/>
        </w:rPr>
        <w:t>.</w:t>
      </w:r>
      <w:r w:rsidR="00AD2834">
        <w:rPr>
          <w:sz w:val="24"/>
          <w:szCs w:val="24"/>
        </w:rPr>
        <w:t xml:space="preserve"> </w:t>
      </w:r>
      <w:r w:rsidR="003560CA">
        <w:rPr>
          <w:sz w:val="24"/>
          <w:szCs w:val="24"/>
        </w:rPr>
        <w:t xml:space="preserve">While these effects are all </w:t>
      </w:r>
      <w:r w:rsidR="005B0802">
        <w:rPr>
          <w:sz w:val="24"/>
          <w:szCs w:val="24"/>
        </w:rPr>
        <w:t>statistically insignificant, t</w:t>
      </w:r>
      <w:r w:rsidR="00E17268">
        <w:rPr>
          <w:sz w:val="24"/>
          <w:szCs w:val="24"/>
        </w:rPr>
        <w:t>h</w:t>
      </w:r>
      <w:r w:rsidR="00D44FE1">
        <w:rPr>
          <w:sz w:val="24"/>
          <w:szCs w:val="24"/>
        </w:rPr>
        <w:t>e</w:t>
      </w:r>
      <w:r w:rsidR="005867A1">
        <w:rPr>
          <w:sz w:val="24"/>
          <w:szCs w:val="24"/>
        </w:rPr>
        <w:t xml:space="preserve"> </w:t>
      </w:r>
      <w:r w:rsidR="005B0802">
        <w:rPr>
          <w:sz w:val="24"/>
          <w:szCs w:val="24"/>
        </w:rPr>
        <w:t xml:space="preserve">consistency </w:t>
      </w:r>
      <w:r w:rsidR="00656955">
        <w:rPr>
          <w:sz w:val="24"/>
          <w:szCs w:val="24"/>
        </w:rPr>
        <w:t>in direction</w:t>
      </w:r>
      <w:r w:rsidR="005B0802">
        <w:rPr>
          <w:sz w:val="24"/>
          <w:szCs w:val="24"/>
        </w:rPr>
        <w:t xml:space="preserve"> </w:t>
      </w:r>
      <w:r w:rsidR="00AD2834">
        <w:rPr>
          <w:sz w:val="24"/>
          <w:szCs w:val="24"/>
        </w:rPr>
        <w:t>indicates</w:t>
      </w:r>
      <w:r w:rsidR="00730632">
        <w:rPr>
          <w:sz w:val="24"/>
          <w:szCs w:val="24"/>
        </w:rPr>
        <w:t xml:space="preserve"> a likelihood of a positive </w:t>
      </w:r>
      <w:r w:rsidR="007A6958">
        <w:rPr>
          <w:sz w:val="24"/>
          <w:szCs w:val="24"/>
        </w:rPr>
        <w:t>true effect</w:t>
      </w:r>
      <w:r w:rsidR="000E7A9D">
        <w:rPr>
          <w:sz w:val="24"/>
          <w:szCs w:val="24"/>
        </w:rPr>
        <w:t xml:space="preserve"> such that </w:t>
      </w:r>
      <w:r w:rsidR="000C0505">
        <w:rPr>
          <w:sz w:val="24"/>
          <w:szCs w:val="24"/>
        </w:rPr>
        <w:t xml:space="preserve">increases in the minimum wage </w:t>
      </w:r>
      <w:r w:rsidR="00B91A4F">
        <w:rPr>
          <w:sz w:val="24"/>
          <w:szCs w:val="24"/>
        </w:rPr>
        <w:t xml:space="preserve">are expected to </w:t>
      </w:r>
      <w:r w:rsidR="000C0505">
        <w:rPr>
          <w:sz w:val="24"/>
          <w:szCs w:val="24"/>
        </w:rPr>
        <w:t>increase the employment to population ratio</w:t>
      </w:r>
      <w:r w:rsidR="00EC1E48">
        <w:rPr>
          <w:sz w:val="24"/>
          <w:szCs w:val="24"/>
        </w:rPr>
        <w:t xml:space="preserve">. </w:t>
      </w:r>
      <w:r w:rsidR="005867A1">
        <w:rPr>
          <w:sz w:val="24"/>
          <w:szCs w:val="24"/>
        </w:rPr>
        <w:t xml:space="preserve">The 95% confidence intervals further support a positive relationship </w:t>
      </w:r>
      <w:r w:rsidR="00231040">
        <w:rPr>
          <w:sz w:val="24"/>
          <w:szCs w:val="24"/>
        </w:rPr>
        <w:t xml:space="preserve">as the absolute value of the upper bounds exceed those </w:t>
      </w:r>
      <w:r w:rsidR="008D0B0A">
        <w:rPr>
          <w:sz w:val="24"/>
          <w:szCs w:val="24"/>
        </w:rPr>
        <w:t xml:space="preserve">the lower bounds. </w:t>
      </w:r>
    </w:p>
    <w:p w14:paraId="25D00163" w14:textId="0F6807BC" w:rsidR="00F04810" w:rsidRPr="00AC7927" w:rsidRDefault="00F04810" w:rsidP="00C91940">
      <w:pPr>
        <w:spacing w:line="480" w:lineRule="auto"/>
        <w:ind w:firstLine="220"/>
        <w:rPr>
          <w:sz w:val="24"/>
          <w:szCs w:val="24"/>
        </w:rPr>
      </w:pPr>
      <w:r>
        <w:rPr>
          <w:sz w:val="24"/>
          <w:szCs w:val="24"/>
        </w:rPr>
        <w:t xml:space="preserve">Overall, estimates for each of the three </w:t>
      </w:r>
      <w:r w:rsidR="00AB0C11">
        <w:rPr>
          <w:sz w:val="24"/>
          <w:szCs w:val="24"/>
        </w:rPr>
        <w:t>employment variables</w:t>
      </w:r>
      <w:r w:rsidR="002767C9">
        <w:rPr>
          <w:sz w:val="24"/>
          <w:szCs w:val="24"/>
        </w:rPr>
        <w:t xml:space="preserve"> </w:t>
      </w:r>
      <w:r w:rsidR="0029366E">
        <w:rPr>
          <w:sz w:val="24"/>
          <w:szCs w:val="24"/>
        </w:rPr>
        <w:t xml:space="preserve">provide no </w:t>
      </w:r>
      <w:r w:rsidR="005010C4">
        <w:rPr>
          <w:sz w:val="24"/>
          <w:szCs w:val="24"/>
        </w:rPr>
        <w:t xml:space="preserve">evidence of </w:t>
      </w:r>
      <w:r w:rsidR="000D4EB7">
        <w:rPr>
          <w:sz w:val="24"/>
          <w:szCs w:val="24"/>
        </w:rPr>
        <w:t>statistically significant</w:t>
      </w:r>
      <w:r w:rsidR="003458A1">
        <w:rPr>
          <w:sz w:val="24"/>
          <w:szCs w:val="24"/>
        </w:rPr>
        <w:t xml:space="preserve"> </w:t>
      </w:r>
      <w:r w:rsidR="005010C4">
        <w:rPr>
          <w:sz w:val="24"/>
          <w:szCs w:val="24"/>
        </w:rPr>
        <w:t xml:space="preserve">employment effects </w:t>
      </w:r>
      <w:r w:rsidR="003458A1">
        <w:rPr>
          <w:sz w:val="24"/>
          <w:szCs w:val="24"/>
        </w:rPr>
        <w:t>of minimum wage</w:t>
      </w:r>
      <w:r w:rsidR="000D4EB7">
        <w:rPr>
          <w:sz w:val="24"/>
          <w:szCs w:val="24"/>
        </w:rPr>
        <w:t>s</w:t>
      </w:r>
      <w:r w:rsidR="003458A1">
        <w:rPr>
          <w:sz w:val="24"/>
          <w:szCs w:val="24"/>
        </w:rPr>
        <w:t xml:space="preserve">, but </w:t>
      </w:r>
      <w:r w:rsidR="008C76FE">
        <w:rPr>
          <w:sz w:val="24"/>
          <w:szCs w:val="24"/>
        </w:rPr>
        <w:t xml:space="preserve">large standard errors </w:t>
      </w:r>
      <w:r w:rsidR="00BD588D">
        <w:rPr>
          <w:sz w:val="24"/>
          <w:szCs w:val="24"/>
        </w:rPr>
        <w:t xml:space="preserve">and wide confidence intervals </w:t>
      </w:r>
      <w:r w:rsidR="005B7366">
        <w:rPr>
          <w:sz w:val="24"/>
          <w:szCs w:val="24"/>
        </w:rPr>
        <w:t xml:space="preserve">present a </w:t>
      </w:r>
      <w:r w:rsidR="00990EB3">
        <w:rPr>
          <w:sz w:val="24"/>
          <w:szCs w:val="24"/>
        </w:rPr>
        <w:t>nontrivial possibility of random estimation error</w:t>
      </w:r>
      <w:r w:rsidR="00A64C68">
        <w:rPr>
          <w:sz w:val="24"/>
          <w:szCs w:val="24"/>
        </w:rPr>
        <w:t>.</w:t>
      </w:r>
      <w:r w:rsidR="00990EB3">
        <w:rPr>
          <w:sz w:val="24"/>
          <w:szCs w:val="24"/>
        </w:rPr>
        <w:t xml:space="preserve"> </w:t>
      </w:r>
      <w:r w:rsidR="00BD5F4A">
        <w:rPr>
          <w:sz w:val="24"/>
          <w:szCs w:val="24"/>
        </w:rPr>
        <w:t>Because of this it is difficult to</w:t>
      </w:r>
      <w:r w:rsidR="008C76FE">
        <w:rPr>
          <w:sz w:val="24"/>
          <w:szCs w:val="24"/>
        </w:rPr>
        <w:t xml:space="preserve"> </w:t>
      </w:r>
      <w:r w:rsidR="00CF3E84">
        <w:rPr>
          <w:sz w:val="24"/>
          <w:szCs w:val="24"/>
        </w:rPr>
        <w:t>conclud</w:t>
      </w:r>
      <w:r w:rsidR="00BD5F4A">
        <w:rPr>
          <w:sz w:val="24"/>
          <w:szCs w:val="24"/>
        </w:rPr>
        <w:t>e</w:t>
      </w:r>
      <w:r w:rsidR="00E13C60">
        <w:rPr>
          <w:sz w:val="24"/>
          <w:szCs w:val="24"/>
        </w:rPr>
        <w:t xml:space="preserve"> </w:t>
      </w:r>
      <w:r w:rsidR="00486851">
        <w:rPr>
          <w:sz w:val="24"/>
          <w:szCs w:val="24"/>
        </w:rPr>
        <w:t xml:space="preserve">a </w:t>
      </w:r>
      <w:r w:rsidR="00E13C60">
        <w:rPr>
          <w:sz w:val="24"/>
          <w:szCs w:val="24"/>
        </w:rPr>
        <w:t>consistent</w:t>
      </w:r>
      <w:r w:rsidR="0021034D">
        <w:rPr>
          <w:sz w:val="24"/>
          <w:szCs w:val="24"/>
        </w:rPr>
        <w:t xml:space="preserve"> </w:t>
      </w:r>
      <w:r w:rsidR="00685383">
        <w:rPr>
          <w:sz w:val="24"/>
          <w:szCs w:val="24"/>
        </w:rPr>
        <w:t xml:space="preserve">0 </w:t>
      </w:r>
      <w:r w:rsidR="008C22E0">
        <w:rPr>
          <w:sz w:val="24"/>
          <w:szCs w:val="24"/>
        </w:rPr>
        <w:t>semi-</w:t>
      </w:r>
      <w:r w:rsidR="0021034D">
        <w:rPr>
          <w:sz w:val="24"/>
          <w:szCs w:val="24"/>
        </w:rPr>
        <w:t>elasticit</w:t>
      </w:r>
      <w:r w:rsidR="00486851">
        <w:rPr>
          <w:sz w:val="24"/>
          <w:szCs w:val="24"/>
        </w:rPr>
        <w:t>y</w:t>
      </w:r>
      <w:r w:rsidR="00523F23">
        <w:rPr>
          <w:sz w:val="24"/>
          <w:szCs w:val="24"/>
        </w:rPr>
        <w:t>.</w:t>
      </w:r>
      <w:r w:rsidR="00B55AA3">
        <w:rPr>
          <w:sz w:val="24"/>
          <w:szCs w:val="24"/>
        </w:rPr>
        <w:t xml:space="preserve"> </w:t>
      </w:r>
      <w:r w:rsidR="00291CF2">
        <w:rPr>
          <w:sz w:val="24"/>
          <w:szCs w:val="24"/>
        </w:rPr>
        <w:t>Assuming nonzero effects, the</w:t>
      </w:r>
      <w:r w:rsidR="00B55AA3">
        <w:rPr>
          <w:sz w:val="24"/>
          <w:szCs w:val="24"/>
        </w:rPr>
        <w:t xml:space="preserve"> </w:t>
      </w:r>
      <w:r w:rsidR="00AF211D">
        <w:rPr>
          <w:sz w:val="24"/>
          <w:szCs w:val="24"/>
        </w:rPr>
        <w:t>regressions suggest</w:t>
      </w:r>
      <w:r w:rsidR="00B55AA3">
        <w:rPr>
          <w:sz w:val="24"/>
          <w:szCs w:val="24"/>
        </w:rPr>
        <w:t xml:space="preserve"> a possibility </w:t>
      </w:r>
      <w:r w:rsidR="00D2064E">
        <w:rPr>
          <w:sz w:val="24"/>
          <w:szCs w:val="24"/>
        </w:rPr>
        <w:t xml:space="preserve">of </w:t>
      </w:r>
      <w:r w:rsidR="003C4506">
        <w:rPr>
          <w:sz w:val="24"/>
          <w:szCs w:val="24"/>
        </w:rPr>
        <w:t xml:space="preserve">a negative relationship with </w:t>
      </w:r>
      <w:r w:rsidR="00D2064E">
        <w:rPr>
          <w:sz w:val="24"/>
          <w:szCs w:val="24"/>
        </w:rPr>
        <w:t xml:space="preserve">unemployment and </w:t>
      </w:r>
      <w:r w:rsidR="00DB5821">
        <w:rPr>
          <w:sz w:val="24"/>
          <w:szCs w:val="24"/>
        </w:rPr>
        <w:t xml:space="preserve">a </w:t>
      </w:r>
      <w:r w:rsidR="00D2064E">
        <w:rPr>
          <w:sz w:val="24"/>
          <w:szCs w:val="24"/>
        </w:rPr>
        <w:t xml:space="preserve">positive </w:t>
      </w:r>
      <w:r w:rsidR="00DB5821">
        <w:rPr>
          <w:sz w:val="24"/>
          <w:szCs w:val="24"/>
        </w:rPr>
        <w:t xml:space="preserve">relationship with the </w:t>
      </w:r>
      <w:r w:rsidR="00D2064E">
        <w:rPr>
          <w:sz w:val="24"/>
          <w:szCs w:val="24"/>
        </w:rPr>
        <w:t>employment to population ratio</w:t>
      </w:r>
      <w:r w:rsidR="00CB22CD">
        <w:rPr>
          <w:sz w:val="24"/>
          <w:szCs w:val="24"/>
        </w:rPr>
        <w:t xml:space="preserve"> due to the estimates’ directional consistency</w:t>
      </w:r>
      <w:r w:rsidR="00D2064E">
        <w:rPr>
          <w:sz w:val="24"/>
          <w:szCs w:val="24"/>
        </w:rPr>
        <w:t xml:space="preserve">. </w:t>
      </w:r>
      <w:r w:rsidR="00015507">
        <w:rPr>
          <w:sz w:val="24"/>
          <w:szCs w:val="24"/>
        </w:rPr>
        <w:t>Th</w:t>
      </w:r>
      <w:r w:rsidR="00BA27A8">
        <w:rPr>
          <w:sz w:val="24"/>
          <w:szCs w:val="24"/>
        </w:rPr>
        <w:t>e</w:t>
      </w:r>
      <w:r w:rsidR="00015507">
        <w:rPr>
          <w:sz w:val="24"/>
          <w:szCs w:val="24"/>
        </w:rPr>
        <w:t xml:space="preserve"> effect on l</w:t>
      </w:r>
      <w:r w:rsidR="00D2064E">
        <w:rPr>
          <w:sz w:val="24"/>
          <w:szCs w:val="24"/>
        </w:rPr>
        <w:t xml:space="preserve">abor force participation </w:t>
      </w:r>
      <w:r w:rsidR="00015507">
        <w:rPr>
          <w:sz w:val="24"/>
          <w:szCs w:val="24"/>
        </w:rPr>
        <w:t xml:space="preserve">was found to be directionally </w:t>
      </w:r>
      <w:r w:rsidR="003B45CF">
        <w:rPr>
          <w:sz w:val="24"/>
          <w:szCs w:val="24"/>
        </w:rPr>
        <w:t>ambiguous and</w:t>
      </w:r>
      <w:r w:rsidR="00BB31CF">
        <w:rPr>
          <w:sz w:val="24"/>
          <w:szCs w:val="24"/>
        </w:rPr>
        <w:t xml:space="preserve"> is mathematically </w:t>
      </w:r>
      <w:r w:rsidR="002D5A37">
        <w:rPr>
          <w:sz w:val="24"/>
          <w:szCs w:val="24"/>
        </w:rPr>
        <w:t xml:space="preserve">dependent upon whether the </w:t>
      </w:r>
      <w:r w:rsidR="008E1C98">
        <w:rPr>
          <w:sz w:val="24"/>
          <w:szCs w:val="24"/>
        </w:rPr>
        <w:t>decrease in unemployed individuals or</w:t>
      </w:r>
      <w:r w:rsidR="00055005">
        <w:rPr>
          <w:sz w:val="24"/>
          <w:szCs w:val="24"/>
        </w:rPr>
        <w:t xml:space="preserve"> the increase in employed individuals is larger. </w:t>
      </w:r>
      <w:r w:rsidR="001F1EE1">
        <w:rPr>
          <w:sz w:val="24"/>
          <w:szCs w:val="24"/>
        </w:rPr>
        <w:t>This is because civilian</w:t>
      </w:r>
      <w:r w:rsidR="001A73DB">
        <w:rPr>
          <w:sz w:val="24"/>
          <w:szCs w:val="24"/>
        </w:rPr>
        <w:t xml:space="preserve"> noninstitutional</w:t>
      </w:r>
      <w:r w:rsidR="001F1EE1">
        <w:rPr>
          <w:sz w:val="24"/>
          <w:szCs w:val="24"/>
        </w:rPr>
        <w:t xml:space="preserve"> population </w:t>
      </w:r>
      <w:r w:rsidR="00AA7A05">
        <w:rPr>
          <w:sz w:val="24"/>
          <w:szCs w:val="24"/>
        </w:rPr>
        <w:t>can</w:t>
      </w:r>
      <w:r w:rsidR="00833F7E">
        <w:rPr>
          <w:sz w:val="24"/>
          <w:szCs w:val="24"/>
        </w:rPr>
        <w:t xml:space="preserve"> be</w:t>
      </w:r>
      <w:r w:rsidR="00AA7A05">
        <w:rPr>
          <w:sz w:val="24"/>
          <w:szCs w:val="24"/>
        </w:rPr>
        <w:t xml:space="preserve"> reasonably </w:t>
      </w:r>
      <w:r w:rsidR="001A73DB">
        <w:rPr>
          <w:sz w:val="24"/>
          <w:szCs w:val="24"/>
        </w:rPr>
        <w:t xml:space="preserve">assumed </w:t>
      </w:r>
      <w:r w:rsidR="00AA7A05">
        <w:rPr>
          <w:sz w:val="24"/>
          <w:szCs w:val="24"/>
        </w:rPr>
        <w:t>as</w:t>
      </w:r>
      <w:r w:rsidR="001A73DB">
        <w:rPr>
          <w:sz w:val="24"/>
          <w:szCs w:val="24"/>
        </w:rPr>
        <w:t xml:space="preserve"> constant in this context, so </w:t>
      </w:r>
      <w:r w:rsidR="007B1841">
        <w:rPr>
          <w:sz w:val="24"/>
          <w:szCs w:val="24"/>
        </w:rPr>
        <w:t>labor force participation, which equals total labor force</w:t>
      </w:r>
      <w:r w:rsidR="000E72F4">
        <w:rPr>
          <w:sz w:val="24"/>
          <w:szCs w:val="24"/>
        </w:rPr>
        <w:t xml:space="preserve"> (employed individuals + unemployed individuals)</w:t>
      </w:r>
      <w:r w:rsidR="007B1841">
        <w:rPr>
          <w:sz w:val="24"/>
          <w:szCs w:val="24"/>
        </w:rPr>
        <w:t xml:space="preserve"> divided by population, must </w:t>
      </w:r>
      <w:r w:rsidR="009C6328">
        <w:rPr>
          <w:sz w:val="24"/>
          <w:szCs w:val="24"/>
        </w:rPr>
        <w:t xml:space="preserve">therefore </w:t>
      </w:r>
      <w:r w:rsidR="007B1841">
        <w:rPr>
          <w:sz w:val="24"/>
          <w:szCs w:val="24"/>
        </w:rPr>
        <w:t xml:space="preserve">change through </w:t>
      </w:r>
      <w:r w:rsidR="009C6328">
        <w:rPr>
          <w:sz w:val="24"/>
          <w:szCs w:val="24"/>
        </w:rPr>
        <w:t xml:space="preserve">the numerator. </w:t>
      </w:r>
      <w:r w:rsidR="0093655E">
        <w:rPr>
          <w:sz w:val="24"/>
          <w:szCs w:val="24"/>
        </w:rPr>
        <w:t xml:space="preserve">However, since </w:t>
      </w:r>
      <w:r w:rsidR="009A16B2">
        <w:rPr>
          <w:sz w:val="24"/>
          <w:szCs w:val="24"/>
        </w:rPr>
        <w:t xml:space="preserve">the point semi-elasticities are </w:t>
      </w:r>
      <w:r w:rsidR="002F50E8">
        <w:rPr>
          <w:sz w:val="24"/>
          <w:szCs w:val="24"/>
        </w:rPr>
        <w:t xml:space="preserve">statistically insignificant and imprecise, </w:t>
      </w:r>
      <w:r w:rsidR="005A05E7">
        <w:rPr>
          <w:sz w:val="24"/>
          <w:szCs w:val="24"/>
        </w:rPr>
        <w:t xml:space="preserve">these relative magnitudes cannot be </w:t>
      </w:r>
      <w:r w:rsidR="00284AA5">
        <w:rPr>
          <w:sz w:val="24"/>
          <w:szCs w:val="24"/>
        </w:rPr>
        <w:t>determined,</w:t>
      </w:r>
      <w:r w:rsidR="005A05E7">
        <w:rPr>
          <w:sz w:val="24"/>
          <w:szCs w:val="24"/>
        </w:rPr>
        <w:t xml:space="preserve"> and </w:t>
      </w:r>
      <w:r w:rsidR="002F50E8">
        <w:rPr>
          <w:sz w:val="24"/>
          <w:szCs w:val="24"/>
        </w:rPr>
        <w:t xml:space="preserve">no conclusions can be drawn </w:t>
      </w:r>
      <w:r w:rsidR="00177A2D">
        <w:rPr>
          <w:sz w:val="24"/>
          <w:szCs w:val="24"/>
        </w:rPr>
        <w:t>on the labor force participation</w:t>
      </w:r>
      <w:r w:rsidR="00221ED0">
        <w:rPr>
          <w:sz w:val="24"/>
          <w:szCs w:val="24"/>
        </w:rPr>
        <w:t xml:space="preserve"> effects of minimum wages</w:t>
      </w:r>
      <w:r w:rsidR="00177A2D">
        <w:rPr>
          <w:sz w:val="24"/>
          <w:szCs w:val="24"/>
        </w:rPr>
        <w:t>.</w:t>
      </w:r>
    </w:p>
    <w:p w14:paraId="529AF59D" w14:textId="61B9215B" w:rsidR="00CA3082" w:rsidRPr="00C26369" w:rsidRDefault="00403EAF" w:rsidP="008E448F">
      <w:pPr>
        <w:pStyle w:val="Heading1"/>
        <w:numPr>
          <w:ilvl w:val="0"/>
          <w:numId w:val="18"/>
        </w:numPr>
        <w:spacing w:line="480" w:lineRule="auto"/>
      </w:pPr>
      <w:bookmarkStart w:id="34" w:name="_Toc71466058"/>
      <w:r>
        <w:lastRenderedPageBreak/>
        <w:t>Conclusion</w:t>
      </w:r>
      <w:bookmarkEnd w:id="34"/>
    </w:p>
    <w:p w14:paraId="4485558F" w14:textId="03EC19F0" w:rsidR="007A3CE3" w:rsidRDefault="000D6495" w:rsidP="006A27FE">
      <w:pPr>
        <w:spacing w:line="480" w:lineRule="auto"/>
        <w:ind w:firstLine="220"/>
        <w:rPr>
          <w:sz w:val="24"/>
          <w:szCs w:val="24"/>
        </w:rPr>
      </w:pPr>
      <w:r>
        <w:rPr>
          <w:sz w:val="24"/>
          <w:szCs w:val="24"/>
        </w:rPr>
        <w:t xml:space="preserve">As </w:t>
      </w:r>
      <w:r w:rsidR="001E0A08">
        <w:rPr>
          <w:sz w:val="24"/>
          <w:szCs w:val="24"/>
        </w:rPr>
        <w:t xml:space="preserve">regional </w:t>
      </w:r>
      <w:r w:rsidR="00AA7DC0">
        <w:rPr>
          <w:sz w:val="24"/>
          <w:szCs w:val="24"/>
        </w:rPr>
        <w:t>minimum wage legislation has expanded greatly within the last decade</w:t>
      </w:r>
      <w:r w:rsidR="002A59FC">
        <w:rPr>
          <w:sz w:val="24"/>
          <w:szCs w:val="24"/>
        </w:rPr>
        <w:t xml:space="preserve"> and </w:t>
      </w:r>
      <w:r w:rsidR="00F8122B">
        <w:rPr>
          <w:sz w:val="24"/>
          <w:szCs w:val="24"/>
        </w:rPr>
        <w:t xml:space="preserve">provided new research opportunities, the debate over the </w:t>
      </w:r>
      <w:r w:rsidR="006A3BB2">
        <w:rPr>
          <w:sz w:val="24"/>
          <w:szCs w:val="24"/>
        </w:rPr>
        <w:t xml:space="preserve">efficacy of these wage floors has </w:t>
      </w:r>
      <w:r w:rsidR="009D1DD2">
        <w:rPr>
          <w:sz w:val="24"/>
          <w:szCs w:val="24"/>
        </w:rPr>
        <w:t>taken a primary role in our national economic discourse</w:t>
      </w:r>
      <w:r w:rsidR="002B6C87">
        <w:rPr>
          <w:sz w:val="24"/>
          <w:szCs w:val="24"/>
        </w:rPr>
        <w:t xml:space="preserve">. </w:t>
      </w:r>
      <w:r w:rsidR="0036272C">
        <w:rPr>
          <w:sz w:val="24"/>
          <w:szCs w:val="24"/>
        </w:rPr>
        <w:t xml:space="preserve">Prominent in the news is </w:t>
      </w:r>
      <w:r w:rsidR="00DA26D7">
        <w:rPr>
          <w:sz w:val="24"/>
          <w:szCs w:val="24"/>
        </w:rPr>
        <w:t xml:space="preserve">the </w:t>
      </w:r>
      <w:r w:rsidR="00BD385D">
        <w:rPr>
          <w:sz w:val="24"/>
          <w:szCs w:val="24"/>
        </w:rPr>
        <w:t xml:space="preserve">contentious </w:t>
      </w:r>
      <w:r w:rsidR="00DA26D7">
        <w:rPr>
          <w:sz w:val="24"/>
          <w:szCs w:val="24"/>
        </w:rPr>
        <w:t>propos</w:t>
      </w:r>
      <w:r w:rsidR="00583F36">
        <w:rPr>
          <w:sz w:val="24"/>
          <w:szCs w:val="24"/>
        </w:rPr>
        <w:t>al for a new</w:t>
      </w:r>
      <w:r w:rsidR="00DA26D7">
        <w:rPr>
          <w:sz w:val="24"/>
          <w:szCs w:val="24"/>
        </w:rPr>
        <w:t xml:space="preserve"> $15 federal minimum wage, which </w:t>
      </w:r>
      <w:r w:rsidR="00C61851">
        <w:rPr>
          <w:sz w:val="24"/>
          <w:szCs w:val="24"/>
        </w:rPr>
        <w:t xml:space="preserve">necessities further contributions and discussions in the minimum </w:t>
      </w:r>
      <w:r w:rsidR="006A27FE">
        <w:rPr>
          <w:sz w:val="24"/>
          <w:szCs w:val="24"/>
        </w:rPr>
        <w:t xml:space="preserve">wage literature. </w:t>
      </w:r>
      <w:r w:rsidR="002E54ED">
        <w:rPr>
          <w:sz w:val="24"/>
          <w:szCs w:val="24"/>
        </w:rPr>
        <w:t xml:space="preserve">In this paper, I </w:t>
      </w:r>
      <w:r w:rsidR="00E563EA">
        <w:rPr>
          <w:sz w:val="24"/>
          <w:szCs w:val="24"/>
        </w:rPr>
        <w:t>employ</w:t>
      </w:r>
      <w:r w:rsidR="007A3CE3">
        <w:rPr>
          <w:sz w:val="24"/>
          <w:szCs w:val="24"/>
        </w:rPr>
        <w:t xml:space="preserve"> </w:t>
      </w:r>
      <w:r w:rsidR="00E563EA">
        <w:rPr>
          <w:sz w:val="24"/>
          <w:szCs w:val="24"/>
        </w:rPr>
        <w:t xml:space="preserve">a </w:t>
      </w:r>
      <w:r w:rsidR="00350018">
        <w:rPr>
          <w:sz w:val="24"/>
          <w:szCs w:val="24"/>
        </w:rPr>
        <w:t>state</w:t>
      </w:r>
      <w:r w:rsidR="0091587E">
        <w:rPr>
          <w:sz w:val="24"/>
          <w:szCs w:val="24"/>
        </w:rPr>
        <w:t xml:space="preserve"> cross-section</w:t>
      </w:r>
      <w:r w:rsidR="008C2CAE">
        <w:rPr>
          <w:sz w:val="24"/>
          <w:szCs w:val="24"/>
        </w:rPr>
        <w:t>ed</w:t>
      </w:r>
      <w:r w:rsidR="00350018">
        <w:rPr>
          <w:sz w:val="24"/>
          <w:szCs w:val="24"/>
        </w:rPr>
        <w:t xml:space="preserve"> national panel identification strategy </w:t>
      </w:r>
      <w:r w:rsidR="00AA0C8F">
        <w:rPr>
          <w:sz w:val="24"/>
          <w:szCs w:val="24"/>
        </w:rPr>
        <w:t xml:space="preserve">spanning 1989-2019 </w:t>
      </w:r>
      <w:r w:rsidR="00350018">
        <w:rPr>
          <w:sz w:val="24"/>
          <w:szCs w:val="24"/>
        </w:rPr>
        <w:t>to</w:t>
      </w:r>
      <w:r w:rsidR="005448FD">
        <w:rPr>
          <w:sz w:val="24"/>
          <w:szCs w:val="24"/>
        </w:rPr>
        <w:t xml:space="preserve"> </w:t>
      </w:r>
      <w:r w:rsidR="00E563EA">
        <w:rPr>
          <w:sz w:val="24"/>
          <w:szCs w:val="24"/>
        </w:rPr>
        <w:t>utilize</w:t>
      </w:r>
      <w:r w:rsidR="00C84736">
        <w:rPr>
          <w:sz w:val="24"/>
          <w:szCs w:val="24"/>
        </w:rPr>
        <w:t xml:space="preserve"> </w:t>
      </w:r>
      <w:r w:rsidR="00C963F0">
        <w:rPr>
          <w:sz w:val="24"/>
          <w:szCs w:val="24"/>
        </w:rPr>
        <w:t>the recent increase in regional minimum wage variation</w:t>
      </w:r>
      <w:r w:rsidR="005448FD">
        <w:rPr>
          <w:sz w:val="24"/>
          <w:szCs w:val="24"/>
        </w:rPr>
        <w:t>,</w:t>
      </w:r>
      <w:r w:rsidR="00C963F0">
        <w:rPr>
          <w:sz w:val="24"/>
          <w:szCs w:val="24"/>
        </w:rPr>
        <w:t xml:space="preserve"> and </w:t>
      </w:r>
      <w:r w:rsidR="005448FD">
        <w:rPr>
          <w:sz w:val="24"/>
          <w:szCs w:val="24"/>
        </w:rPr>
        <w:t xml:space="preserve">pair this with </w:t>
      </w:r>
      <w:r w:rsidR="00C84736">
        <w:rPr>
          <w:sz w:val="24"/>
          <w:szCs w:val="24"/>
        </w:rPr>
        <w:t>newly available state</w:t>
      </w:r>
      <w:r w:rsidR="005448FD">
        <w:rPr>
          <w:sz w:val="24"/>
          <w:szCs w:val="24"/>
        </w:rPr>
        <w:t xml:space="preserve"> inflation </w:t>
      </w:r>
      <w:r w:rsidR="00C84736">
        <w:rPr>
          <w:sz w:val="24"/>
          <w:szCs w:val="24"/>
        </w:rPr>
        <w:t xml:space="preserve">data </w:t>
      </w:r>
      <w:r w:rsidR="00183E25">
        <w:rPr>
          <w:sz w:val="24"/>
          <w:szCs w:val="24"/>
        </w:rPr>
        <w:t xml:space="preserve">and </w:t>
      </w:r>
      <w:r w:rsidR="00963BD0">
        <w:rPr>
          <w:sz w:val="24"/>
          <w:szCs w:val="24"/>
        </w:rPr>
        <w:t xml:space="preserve">a </w:t>
      </w:r>
      <w:r w:rsidR="00554D41">
        <w:rPr>
          <w:sz w:val="24"/>
          <w:szCs w:val="24"/>
        </w:rPr>
        <w:t xml:space="preserve">comprehensive set of employment measures </w:t>
      </w:r>
      <w:r w:rsidR="00A604EE">
        <w:rPr>
          <w:sz w:val="24"/>
          <w:szCs w:val="24"/>
        </w:rPr>
        <w:t xml:space="preserve">to </w:t>
      </w:r>
      <w:r w:rsidR="0018257F">
        <w:rPr>
          <w:sz w:val="24"/>
          <w:szCs w:val="24"/>
        </w:rPr>
        <w:t xml:space="preserve">obtain updated </w:t>
      </w:r>
      <w:r w:rsidR="00A604EE">
        <w:rPr>
          <w:sz w:val="24"/>
          <w:szCs w:val="24"/>
        </w:rPr>
        <w:t>estimate</w:t>
      </w:r>
      <w:r w:rsidR="0018257F">
        <w:rPr>
          <w:sz w:val="24"/>
          <w:szCs w:val="24"/>
        </w:rPr>
        <w:t>s of</w:t>
      </w:r>
      <w:r w:rsidR="00A604EE">
        <w:rPr>
          <w:sz w:val="24"/>
          <w:szCs w:val="24"/>
        </w:rPr>
        <w:t xml:space="preserve"> the </w:t>
      </w:r>
      <w:r w:rsidR="0018257F">
        <w:rPr>
          <w:sz w:val="24"/>
          <w:szCs w:val="24"/>
        </w:rPr>
        <w:t xml:space="preserve">aggregate </w:t>
      </w:r>
      <w:r w:rsidR="00A604EE">
        <w:rPr>
          <w:sz w:val="24"/>
          <w:szCs w:val="24"/>
        </w:rPr>
        <w:t>price and employment effects of minimum wages.</w:t>
      </w:r>
      <w:r w:rsidR="007C71BB">
        <w:rPr>
          <w:sz w:val="24"/>
          <w:szCs w:val="24"/>
        </w:rPr>
        <w:t xml:space="preserve"> </w:t>
      </w:r>
    </w:p>
    <w:p w14:paraId="12EF7861" w14:textId="1E930BBA" w:rsidR="00CA4AD6" w:rsidRDefault="007C71BB" w:rsidP="008A38B8">
      <w:pPr>
        <w:spacing w:line="480" w:lineRule="auto"/>
        <w:ind w:firstLine="220"/>
        <w:rPr>
          <w:sz w:val="24"/>
          <w:szCs w:val="24"/>
        </w:rPr>
      </w:pPr>
      <w:r>
        <w:rPr>
          <w:sz w:val="24"/>
          <w:szCs w:val="24"/>
        </w:rPr>
        <w:t>A</w:t>
      </w:r>
      <w:r w:rsidR="00036F9E">
        <w:rPr>
          <w:sz w:val="24"/>
          <w:szCs w:val="24"/>
        </w:rPr>
        <w:t xml:space="preserve">fter testing this </w:t>
      </w:r>
      <w:r w:rsidR="00557D2C">
        <w:rPr>
          <w:sz w:val="24"/>
          <w:szCs w:val="24"/>
        </w:rPr>
        <w:t xml:space="preserve">model </w:t>
      </w:r>
      <w:r w:rsidR="000E1477">
        <w:rPr>
          <w:sz w:val="24"/>
          <w:szCs w:val="24"/>
        </w:rPr>
        <w:t>and including</w:t>
      </w:r>
      <w:r w:rsidR="007E631C">
        <w:rPr>
          <w:sz w:val="24"/>
          <w:szCs w:val="24"/>
        </w:rPr>
        <w:t xml:space="preserve"> </w:t>
      </w:r>
      <w:r w:rsidR="001B2052">
        <w:rPr>
          <w:sz w:val="24"/>
          <w:szCs w:val="24"/>
        </w:rPr>
        <w:t>anci</w:t>
      </w:r>
      <w:r w:rsidR="00FA2FA3">
        <w:rPr>
          <w:sz w:val="24"/>
          <w:szCs w:val="24"/>
        </w:rPr>
        <w:t>llary specifications that control</w:t>
      </w:r>
      <w:r w:rsidR="00460B41">
        <w:rPr>
          <w:sz w:val="24"/>
          <w:szCs w:val="24"/>
        </w:rPr>
        <w:t xml:space="preserve"> </w:t>
      </w:r>
      <w:r w:rsidR="00FA2FA3">
        <w:rPr>
          <w:sz w:val="24"/>
          <w:szCs w:val="24"/>
        </w:rPr>
        <w:t>for GDP and time-variant state effects</w:t>
      </w:r>
      <w:r w:rsidR="000E1477">
        <w:rPr>
          <w:sz w:val="24"/>
          <w:szCs w:val="24"/>
        </w:rPr>
        <w:t xml:space="preserve">, no statistically significant effects were found, </w:t>
      </w:r>
      <w:r w:rsidR="000326B3">
        <w:rPr>
          <w:sz w:val="24"/>
          <w:szCs w:val="24"/>
        </w:rPr>
        <w:t xml:space="preserve">with large standard error calculations resulting in imprecise </w:t>
      </w:r>
      <w:r w:rsidR="00F04635">
        <w:rPr>
          <w:sz w:val="24"/>
          <w:szCs w:val="24"/>
        </w:rPr>
        <w:t>semi-</w:t>
      </w:r>
      <w:r w:rsidR="000326B3">
        <w:rPr>
          <w:sz w:val="24"/>
          <w:szCs w:val="24"/>
        </w:rPr>
        <w:t>elasticity estimates.</w:t>
      </w:r>
      <w:r w:rsidR="00E5359B">
        <w:rPr>
          <w:sz w:val="24"/>
          <w:szCs w:val="24"/>
        </w:rPr>
        <w:t xml:space="preserve"> </w:t>
      </w:r>
      <w:r w:rsidR="001F44F1">
        <w:rPr>
          <w:sz w:val="24"/>
          <w:szCs w:val="24"/>
        </w:rPr>
        <w:t>Inflation</w:t>
      </w:r>
      <w:r w:rsidR="00E5359B">
        <w:rPr>
          <w:sz w:val="24"/>
          <w:szCs w:val="24"/>
        </w:rPr>
        <w:t xml:space="preserve"> </w:t>
      </w:r>
      <w:r w:rsidR="00CB202B">
        <w:rPr>
          <w:sz w:val="24"/>
          <w:szCs w:val="24"/>
        </w:rPr>
        <w:t>semi-</w:t>
      </w:r>
      <w:r w:rsidR="00E5359B">
        <w:rPr>
          <w:sz w:val="24"/>
          <w:szCs w:val="24"/>
        </w:rPr>
        <w:t>elasticit</w:t>
      </w:r>
      <w:r w:rsidR="0000433C">
        <w:rPr>
          <w:sz w:val="24"/>
          <w:szCs w:val="24"/>
        </w:rPr>
        <w:t xml:space="preserve">y estimates </w:t>
      </w:r>
      <w:r w:rsidR="00655B16">
        <w:rPr>
          <w:sz w:val="24"/>
          <w:szCs w:val="24"/>
        </w:rPr>
        <w:t xml:space="preserve">were </w:t>
      </w:r>
      <w:r w:rsidR="0000433C">
        <w:rPr>
          <w:sz w:val="24"/>
          <w:szCs w:val="24"/>
        </w:rPr>
        <w:t xml:space="preserve">positive and </w:t>
      </w:r>
      <w:r w:rsidR="00655B16">
        <w:rPr>
          <w:sz w:val="24"/>
          <w:szCs w:val="24"/>
        </w:rPr>
        <w:t xml:space="preserve">directionally consistent with the previous </w:t>
      </w:r>
      <w:r w:rsidR="00E13A9A">
        <w:rPr>
          <w:sz w:val="24"/>
          <w:szCs w:val="24"/>
        </w:rPr>
        <w:t>literature</w:t>
      </w:r>
      <w:r w:rsidR="0000433C">
        <w:rPr>
          <w:sz w:val="24"/>
          <w:szCs w:val="24"/>
        </w:rPr>
        <w:t xml:space="preserve">, </w:t>
      </w:r>
      <w:r w:rsidR="0028792C">
        <w:rPr>
          <w:sz w:val="24"/>
          <w:szCs w:val="24"/>
        </w:rPr>
        <w:t xml:space="preserve">but </w:t>
      </w:r>
      <w:r w:rsidR="007B5440">
        <w:rPr>
          <w:sz w:val="24"/>
          <w:szCs w:val="24"/>
        </w:rPr>
        <w:t xml:space="preserve">much smaller in magnitude. </w:t>
      </w:r>
      <w:r w:rsidR="00A76F41">
        <w:rPr>
          <w:sz w:val="24"/>
          <w:szCs w:val="24"/>
        </w:rPr>
        <w:t xml:space="preserve">The insignificant p-values of these estimates suggest </w:t>
      </w:r>
      <w:r w:rsidR="006C4E8D">
        <w:rPr>
          <w:sz w:val="24"/>
          <w:szCs w:val="24"/>
        </w:rPr>
        <w:t>a possibility of 0 detectable price effects across the macroeconomy,</w:t>
      </w:r>
      <w:r w:rsidR="007B5440">
        <w:rPr>
          <w:sz w:val="24"/>
          <w:szCs w:val="24"/>
        </w:rPr>
        <w:t xml:space="preserve"> </w:t>
      </w:r>
      <w:r w:rsidR="005D3DEE">
        <w:rPr>
          <w:sz w:val="24"/>
          <w:szCs w:val="24"/>
        </w:rPr>
        <w:t>however</w:t>
      </w:r>
      <w:r w:rsidR="00351F13">
        <w:rPr>
          <w:sz w:val="24"/>
          <w:szCs w:val="24"/>
        </w:rPr>
        <w:t xml:space="preserve"> their imprecision lead</w:t>
      </w:r>
      <w:r w:rsidR="000555B4">
        <w:rPr>
          <w:sz w:val="24"/>
          <w:szCs w:val="24"/>
        </w:rPr>
        <w:t>s</w:t>
      </w:r>
      <w:r w:rsidR="00351F13">
        <w:rPr>
          <w:sz w:val="24"/>
          <w:szCs w:val="24"/>
        </w:rPr>
        <w:t xml:space="preserve"> to</w:t>
      </w:r>
      <w:r w:rsidR="007B5440">
        <w:rPr>
          <w:sz w:val="24"/>
          <w:szCs w:val="24"/>
        </w:rPr>
        <w:t xml:space="preserve"> </w:t>
      </w:r>
      <w:r w:rsidR="00351F13">
        <w:rPr>
          <w:sz w:val="24"/>
          <w:szCs w:val="24"/>
        </w:rPr>
        <w:t>a more</w:t>
      </w:r>
      <w:r w:rsidR="006F3C55">
        <w:rPr>
          <w:sz w:val="24"/>
          <w:szCs w:val="24"/>
        </w:rPr>
        <w:t xml:space="preserve"> modest </w:t>
      </w:r>
      <w:r w:rsidR="00351F13">
        <w:rPr>
          <w:sz w:val="24"/>
          <w:szCs w:val="24"/>
        </w:rPr>
        <w:t>conclusion that these</w:t>
      </w:r>
      <w:r w:rsidR="007B5440">
        <w:rPr>
          <w:sz w:val="24"/>
          <w:szCs w:val="24"/>
        </w:rPr>
        <w:t xml:space="preserve"> </w:t>
      </w:r>
      <w:r w:rsidR="00522ACA">
        <w:rPr>
          <w:sz w:val="24"/>
          <w:szCs w:val="24"/>
        </w:rPr>
        <w:t xml:space="preserve">price effects are </w:t>
      </w:r>
      <w:r w:rsidR="00351F13">
        <w:rPr>
          <w:sz w:val="24"/>
          <w:szCs w:val="24"/>
        </w:rPr>
        <w:t xml:space="preserve">at least </w:t>
      </w:r>
      <w:r w:rsidR="00300B31">
        <w:rPr>
          <w:sz w:val="24"/>
          <w:szCs w:val="24"/>
        </w:rPr>
        <w:t xml:space="preserve">considerably </w:t>
      </w:r>
      <w:r w:rsidR="0098676E">
        <w:rPr>
          <w:sz w:val="24"/>
          <w:szCs w:val="24"/>
        </w:rPr>
        <w:t xml:space="preserve">smaller </w:t>
      </w:r>
      <w:r w:rsidR="00300B31">
        <w:rPr>
          <w:sz w:val="24"/>
          <w:szCs w:val="24"/>
        </w:rPr>
        <w:t>than th</w:t>
      </w:r>
      <w:r w:rsidR="0036655C">
        <w:rPr>
          <w:sz w:val="24"/>
          <w:szCs w:val="24"/>
        </w:rPr>
        <w:t xml:space="preserve">ose found in the </w:t>
      </w:r>
      <w:r w:rsidR="00300B31">
        <w:rPr>
          <w:sz w:val="24"/>
          <w:szCs w:val="24"/>
        </w:rPr>
        <w:t>standard</w:t>
      </w:r>
      <w:r w:rsidR="0036655C">
        <w:rPr>
          <w:sz w:val="24"/>
          <w:szCs w:val="24"/>
        </w:rPr>
        <w:t xml:space="preserve"> individual</w:t>
      </w:r>
      <w:r w:rsidR="002C78AA">
        <w:rPr>
          <w:sz w:val="24"/>
          <w:szCs w:val="24"/>
        </w:rPr>
        <w:t>-</w:t>
      </w:r>
      <w:r w:rsidR="0036655C">
        <w:rPr>
          <w:sz w:val="24"/>
          <w:szCs w:val="24"/>
        </w:rPr>
        <w:t>industry studies.</w:t>
      </w:r>
      <w:r w:rsidR="00B717EB">
        <w:rPr>
          <w:sz w:val="24"/>
          <w:szCs w:val="24"/>
        </w:rPr>
        <w:t xml:space="preserve"> </w:t>
      </w:r>
      <w:r w:rsidR="001F740E">
        <w:rPr>
          <w:sz w:val="24"/>
          <w:szCs w:val="24"/>
        </w:rPr>
        <w:t>That is</w:t>
      </w:r>
      <w:r w:rsidR="002A2AA6">
        <w:rPr>
          <w:sz w:val="24"/>
          <w:szCs w:val="24"/>
        </w:rPr>
        <w:t xml:space="preserve"> not to say, however, that price effects do not occur</w:t>
      </w:r>
      <w:r w:rsidR="00CA3BA7">
        <w:rPr>
          <w:sz w:val="24"/>
          <w:szCs w:val="24"/>
        </w:rPr>
        <w:t xml:space="preserve"> in these minimum wage intensive industries</w:t>
      </w:r>
      <w:r w:rsidR="001F740E">
        <w:rPr>
          <w:sz w:val="24"/>
          <w:szCs w:val="24"/>
        </w:rPr>
        <w:t xml:space="preserve">, but that across the entire economy these effects are diluted and hidden by the mass of product markets that </w:t>
      </w:r>
      <w:r w:rsidR="00954D44">
        <w:rPr>
          <w:sz w:val="24"/>
          <w:szCs w:val="24"/>
        </w:rPr>
        <w:t>are not</w:t>
      </w:r>
      <w:r w:rsidR="001F740E">
        <w:rPr>
          <w:sz w:val="24"/>
          <w:szCs w:val="24"/>
        </w:rPr>
        <w:t xml:space="preserve"> affected. </w:t>
      </w:r>
      <w:r w:rsidR="00B717EB">
        <w:rPr>
          <w:sz w:val="24"/>
          <w:szCs w:val="24"/>
        </w:rPr>
        <w:t>Results for employment e</w:t>
      </w:r>
      <w:r w:rsidR="00FF6C37">
        <w:rPr>
          <w:sz w:val="24"/>
          <w:szCs w:val="24"/>
        </w:rPr>
        <w:t>lasticities</w:t>
      </w:r>
      <w:r w:rsidR="00B717EB">
        <w:rPr>
          <w:sz w:val="24"/>
          <w:szCs w:val="24"/>
        </w:rPr>
        <w:t xml:space="preserve"> are also statistically </w:t>
      </w:r>
      <w:r w:rsidR="00FF6C37">
        <w:rPr>
          <w:sz w:val="24"/>
          <w:szCs w:val="24"/>
        </w:rPr>
        <w:t>insignificant yet</w:t>
      </w:r>
      <w:r w:rsidR="007E1400">
        <w:rPr>
          <w:sz w:val="24"/>
          <w:szCs w:val="24"/>
        </w:rPr>
        <w:t xml:space="preserve"> are </w:t>
      </w:r>
      <w:r w:rsidR="00B717EB">
        <w:rPr>
          <w:sz w:val="24"/>
          <w:szCs w:val="24"/>
        </w:rPr>
        <w:t>more varied</w:t>
      </w:r>
      <w:r w:rsidR="007E1400">
        <w:rPr>
          <w:sz w:val="24"/>
          <w:szCs w:val="24"/>
        </w:rPr>
        <w:t xml:space="preserve"> in their directional </w:t>
      </w:r>
      <w:r w:rsidR="00FF6C37">
        <w:rPr>
          <w:sz w:val="24"/>
          <w:szCs w:val="24"/>
        </w:rPr>
        <w:t xml:space="preserve">effect. </w:t>
      </w:r>
      <w:r w:rsidR="0044453A">
        <w:rPr>
          <w:sz w:val="24"/>
          <w:szCs w:val="24"/>
        </w:rPr>
        <w:t>Labor force participation semi-</w:t>
      </w:r>
      <w:r w:rsidR="004C1EBF">
        <w:rPr>
          <w:sz w:val="24"/>
          <w:szCs w:val="24"/>
        </w:rPr>
        <w:t>elasticities</w:t>
      </w:r>
      <w:r w:rsidR="000E1A35">
        <w:rPr>
          <w:sz w:val="24"/>
          <w:szCs w:val="24"/>
        </w:rPr>
        <w:t xml:space="preserve"> in </w:t>
      </w:r>
      <w:r w:rsidR="000E1A35">
        <w:rPr>
          <w:sz w:val="24"/>
          <w:szCs w:val="24"/>
        </w:rPr>
        <w:lastRenderedPageBreak/>
        <w:t>particular c</w:t>
      </w:r>
      <w:r w:rsidR="00FF6C37">
        <w:rPr>
          <w:sz w:val="24"/>
          <w:szCs w:val="24"/>
        </w:rPr>
        <w:t xml:space="preserve">hange in sign </w:t>
      </w:r>
      <w:r w:rsidR="00FE3E18">
        <w:rPr>
          <w:sz w:val="24"/>
          <w:szCs w:val="24"/>
        </w:rPr>
        <w:t xml:space="preserve">between </w:t>
      </w:r>
      <w:r w:rsidR="0044453A">
        <w:rPr>
          <w:sz w:val="24"/>
          <w:szCs w:val="24"/>
        </w:rPr>
        <w:t xml:space="preserve">model 4 and </w:t>
      </w:r>
      <w:r w:rsidR="004F7FAD">
        <w:rPr>
          <w:sz w:val="24"/>
          <w:szCs w:val="24"/>
        </w:rPr>
        <w:t>model</w:t>
      </w:r>
      <w:r w:rsidR="00FE3E18">
        <w:rPr>
          <w:sz w:val="24"/>
          <w:szCs w:val="24"/>
        </w:rPr>
        <w:t>s</w:t>
      </w:r>
      <w:r w:rsidR="004F7FAD">
        <w:rPr>
          <w:sz w:val="24"/>
          <w:szCs w:val="24"/>
        </w:rPr>
        <w:t xml:space="preserve"> 1, 2, and 3</w:t>
      </w:r>
      <w:r w:rsidR="00773CD9">
        <w:rPr>
          <w:sz w:val="24"/>
          <w:szCs w:val="24"/>
        </w:rPr>
        <w:t xml:space="preserve">. </w:t>
      </w:r>
      <w:r w:rsidR="00FE3E18">
        <w:rPr>
          <w:sz w:val="24"/>
          <w:szCs w:val="24"/>
        </w:rPr>
        <w:t>As model 4 is the preferred specification, this makes it difficult to conclude a directional relationship. Semi-e</w:t>
      </w:r>
      <w:r w:rsidR="009907C1">
        <w:rPr>
          <w:sz w:val="24"/>
          <w:szCs w:val="24"/>
        </w:rPr>
        <w:t xml:space="preserve">lasticities for </w:t>
      </w:r>
      <w:r w:rsidR="00FE3E18">
        <w:rPr>
          <w:sz w:val="24"/>
          <w:szCs w:val="24"/>
        </w:rPr>
        <w:t>unemployment</w:t>
      </w:r>
      <w:r w:rsidR="009907C1">
        <w:rPr>
          <w:sz w:val="24"/>
          <w:szCs w:val="24"/>
        </w:rPr>
        <w:t xml:space="preserve"> and employment to population ratio are more stable across specifications</w:t>
      </w:r>
      <w:r w:rsidR="00D402D6">
        <w:rPr>
          <w:sz w:val="24"/>
          <w:szCs w:val="24"/>
        </w:rPr>
        <w:t>, which</w:t>
      </w:r>
      <w:r w:rsidR="00E3104E">
        <w:rPr>
          <w:sz w:val="24"/>
          <w:szCs w:val="24"/>
        </w:rPr>
        <w:t xml:space="preserve"> suggests </w:t>
      </w:r>
      <w:r w:rsidR="00A677FC">
        <w:rPr>
          <w:sz w:val="24"/>
          <w:szCs w:val="24"/>
        </w:rPr>
        <w:t xml:space="preserve">that the true treatment effect for these variables is </w:t>
      </w:r>
      <w:r w:rsidR="004D1A5E">
        <w:rPr>
          <w:sz w:val="24"/>
          <w:szCs w:val="24"/>
        </w:rPr>
        <w:t xml:space="preserve">most </w:t>
      </w:r>
      <w:r w:rsidR="00372403">
        <w:rPr>
          <w:sz w:val="24"/>
          <w:szCs w:val="24"/>
        </w:rPr>
        <w:t xml:space="preserve">likely </w:t>
      </w:r>
      <w:r w:rsidR="00F82A6D">
        <w:rPr>
          <w:sz w:val="24"/>
          <w:szCs w:val="24"/>
        </w:rPr>
        <w:t xml:space="preserve">either statistically </w:t>
      </w:r>
      <w:r w:rsidR="004F65B9">
        <w:rPr>
          <w:sz w:val="24"/>
          <w:szCs w:val="24"/>
        </w:rPr>
        <w:t xml:space="preserve">indistinguishable from </w:t>
      </w:r>
      <w:r w:rsidR="00F82A6D">
        <w:rPr>
          <w:sz w:val="24"/>
          <w:szCs w:val="24"/>
        </w:rPr>
        <w:t>zero</w:t>
      </w:r>
      <w:r w:rsidR="008D6EA6">
        <w:rPr>
          <w:sz w:val="24"/>
          <w:szCs w:val="24"/>
        </w:rPr>
        <w:t>,</w:t>
      </w:r>
      <w:r w:rsidR="00F82A6D">
        <w:rPr>
          <w:sz w:val="24"/>
          <w:szCs w:val="24"/>
        </w:rPr>
        <w:t xml:space="preserve"> or slightly </w:t>
      </w:r>
      <w:r w:rsidR="00A406DC">
        <w:rPr>
          <w:sz w:val="24"/>
          <w:szCs w:val="24"/>
        </w:rPr>
        <w:t>negative and positive, respectively</w:t>
      </w:r>
      <w:r w:rsidR="00F82A6D">
        <w:rPr>
          <w:sz w:val="24"/>
          <w:szCs w:val="24"/>
        </w:rPr>
        <w:t>.</w:t>
      </w:r>
      <w:r w:rsidR="00614ACD">
        <w:rPr>
          <w:sz w:val="24"/>
          <w:szCs w:val="24"/>
        </w:rPr>
        <w:t xml:space="preserve"> </w:t>
      </w:r>
      <w:r w:rsidR="00887DAF">
        <w:rPr>
          <w:sz w:val="24"/>
          <w:szCs w:val="24"/>
        </w:rPr>
        <w:t xml:space="preserve">Overall, these results appear to be consistent with the new minimum wage research that primarily finds </w:t>
      </w:r>
      <w:r w:rsidR="00D30EA6">
        <w:rPr>
          <w:sz w:val="24"/>
          <w:szCs w:val="24"/>
        </w:rPr>
        <w:t xml:space="preserve">no detectable effects of minimum wages on </w:t>
      </w:r>
      <w:r w:rsidR="00281634">
        <w:rPr>
          <w:sz w:val="24"/>
          <w:szCs w:val="24"/>
        </w:rPr>
        <w:t>employment but</w:t>
      </w:r>
      <w:r w:rsidR="00874368">
        <w:rPr>
          <w:sz w:val="24"/>
          <w:szCs w:val="24"/>
        </w:rPr>
        <w:t xml:space="preserve"> </w:t>
      </w:r>
      <w:r w:rsidR="00B53D91">
        <w:rPr>
          <w:sz w:val="24"/>
          <w:szCs w:val="24"/>
        </w:rPr>
        <w:t xml:space="preserve">cannot be said to </w:t>
      </w:r>
      <w:r w:rsidR="00EE34B7">
        <w:rPr>
          <w:sz w:val="24"/>
          <w:szCs w:val="24"/>
        </w:rPr>
        <w:t>provide</w:t>
      </w:r>
      <w:r w:rsidR="00B53D91">
        <w:rPr>
          <w:sz w:val="24"/>
          <w:szCs w:val="24"/>
        </w:rPr>
        <w:t xml:space="preserve"> conclusive support for </w:t>
      </w:r>
      <w:r w:rsidR="00D91927">
        <w:rPr>
          <w:sz w:val="24"/>
          <w:szCs w:val="24"/>
        </w:rPr>
        <w:t>that premise.</w:t>
      </w:r>
    </w:p>
    <w:p w14:paraId="60C80622" w14:textId="30468630" w:rsidR="00FB7FF3" w:rsidRDefault="00E91797" w:rsidP="00291374">
      <w:pPr>
        <w:spacing w:line="480" w:lineRule="auto"/>
        <w:ind w:firstLine="580"/>
        <w:rPr>
          <w:sz w:val="24"/>
          <w:szCs w:val="24"/>
        </w:rPr>
      </w:pPr>
      <w:r>
        <w:rPr>
          <w:sz w:val="24"/>
          <w:szCs w:val="24"/>
        </w:rPr>
        <w:t>Finally, t</w:t>
      </w:r>
      <w:r w:rsidR="00381797">
        <w:rPr>
          <w:sz w:val="24"/>
          <w:szCs w:val="24"/>
        </w:rPr>
        <w:t>h</w:t>
      </w:r>
      <w:r w:rsidR="00C55BD2">
        <w:rPr>
          <w:sz w:val="24"/>
          <w:szCs w:val="24"/>
        </w:rPr>
        <w:t xml:space="preserve">is method of analyzing aggregate </w:t>
      </w:r>
      <w:r w:rsidR="00531CD8">
        <w:rPr>
          <w:sz w:val="24"/>
          <w:szCs w:val="24"/>
        </w:rPr>
        <w:t>price and employment movements induced by minimum wages</w:t>
      </w:r>
      <w:r w:rsidR="00933A39">
        <w:rPr>
          <w:sz w:val="24"/>
          <w:szCs w:val="24"/>
        </w:rPr>
        <w:t xml:space="preserve"> </w:t>
      </w:r>
      <w:r w:rsidR="002977FB">
        <w:rPr>
          <w:sz w:val="24"/>
          <w:szCs w:val="24"/>
        </w:rPr>
        <w:t xml:space="preserve">does indeed </w:t>
      </w:r>
      <w:r w:rsidR="00933A39">
        <w:rPr>
          <w:sz w:val="24"/>
          <w:szCs w:val="24"/>
        </w:rPr>
        <w:t xml:space="preserve">seem </w:t>
      </w:r>
      <w:r>
        <w:rPr>
          <w:sz w:val="24"/>
          <w:szCs w:val="24"/>
        </w:rPr>
        <w:t xml:space="preserve">to be </w:t>
      </w:r>
      <w:r w:rsidR="00933A39">
        <w:rPr>
          <w:sz w:val="24"/>
          <w:szCs w:val="24"/>
        </w:rPr>
        <w:t>predispos</w:t>
      </w:r>
      <w:r w:rsidR="00281634">
        <w:rPr>
          <w:sz w:val="24"/>
          <w:szCs w:val="24"/>
        </w:rPr>
        <w:t>ed</w:t>
      </w:r>
      <w:r w:rsidR="00933A39">
        <w:rPr>
          <w:sz w:val="24"/>
          <w:szCs w:val="24"/>
        </w:rPr>
        <w:t xml:space="preserve"> to</w:t>
      </w:r>
      <w:r w:rsidR="00236316">
        <w:rPr>
          <w:sz w:val="24"/>
          <w:szCs w:val="24"/>
        </w:rPr>
        <w:t>wards</w:t>
      </w:r>
      <w:r w:rsidR="00531CD8">
        <w:rPr>
          <w:sz w:val="24"/>
          <w:szCs w:val="24"/>
        </w:rPr>
        <w:t xml:space="preserve"> </w:t>
      </w:r>
      <w:r w:rsidR="00CA4AD6">
        <w:rPr>
          <w:sz w:val="24"/>
          <w:szCs w:val="24"/>
        </w:rPr>
        <w:t>produc</w:t>
      </w:r>
      <w:r w:rsidR="00FE47CB">
        <w:rPr>
          <w:sz w:val="24"/>
          <w:szCs w:val="24"/>
        </w:rPr>
        <w:t>ing</w:t>
      </w:r>
      <w:r>
        <w:rPr>
          <w:sz w:val="24"/>
          <w:szCs w:val="24"/>
        </w:rPr>
        <w:t xml:space="preserve"> statistically insignificant and </w:t>
      </w:r>
      <w:r w:rsidR="009E2C6B">
        <w:rPr>
          <w:sz w:val="24"/>
          <w:szCs w:val="24"/>
        </w:rPr>
        <w:t xml:space="preserve">imprecise </w:t>
      </w:r>
      <w:r w:rsidR="00FC0219">
        <w:rPr>
          <w:sz w:val="24"/>
          <w:szCs w:val="24"/>
        </w:rPr>
        <w:t>results</w:t>
      </w:r>
      <w:r w:rsidR="009E2C6B">
        <w:rPr>
          <w:sz w:val="24"/>
          <w:szCs w:val="24"/>
        </w:rPr>
        <w:t xml:space="preserve">. </w:t>
      </w:r>
      <w:r w:rsidR="00B15908">
        <w:rPr>
          <w:sz w:val="24"/>
          <w:szCs w:val="24"/>
        </w:rPr>
        <w:t>As noted,</w:t>
      </w:r>
      <w:r w:rsidR="00211CFD">
        <w:rPr>
          <w:sz w:val="24"/>
          <w:szCs w:val="24"/>
        </w:rPr>
        <w:t xml:space="preserve"> minimum wage earners </w:t>
      </w:r>
      <w:r w:rsidR="008B2254">
        <w:rPr>
          <w:sz w:val="24"/>
          <w:szCs w:val="24"/>
        </w:rPr>
        <w:t xml:space="preserve">comprise less than 3% of the work </w:t>
      </w:r>
      <w:r w:rsidR="003D2DD9">
        <w:rPr>
          <w:sz w:val="24"/>
          <w:szCs w:val="24"/>
        </w:rPr>
        <w:t>force and</w:t>
      </w:r>
      <w:r w:rsidR="008B2254">
        <w:rPr>
          <w:sz w:val="24"/>
          <w:szCs w:val="24"/>
        </w:rPr>
        <w:t xml:space="preserve"> are constrained to </w:t>
      </w:r>
      <w:r w:rsidR="007E16FF">
        <w:rPr>
          <w:sz w:val="24"/>
          <w:szCs w:val="24"/>
        </w:rPr>
        <w:t xml:space="preserve">industries that trade in final </w:t>
      </w:r>
      <w:r w:rsidR="007A60BA">
        <w:rPr>
          <w:sz w:val="24"/>
          <w:szCs w:val="24"/>
        </w:rPr>
        <w:t xml:space="preserve">consumer </w:t>
      </w:r>
      <w:r w:rsidR="007E16FF">
        <w:rPr>
          <w:sz w:val="24"/>
          <w:szCs w:val="24"/>
        </w:rPr>
        <w:t xml:space="preserve">goods. </w:t>
      </w:r>
      <w:r w:rsidR="00915175">
        <w:rPr>
          <w:sz w:val="24"/>
          <w:szCs w:val="24"/>
        </w:rPr>
        <w:t xml:space="preserve">Therefore, neither large direct impacts nor indirect impacts </w:t>
      </w:r>
      <w:r w:rsidR="003D2DD9">
        <w:rPr>
          <w:sz w:val="24"/>
          <w:szCs w:val="24"/>
        </w:rPr>
        <w:t xml:space="preserve">through increased input costs for other industries </w:t>
      </w:r>
      <w:r w:rsidR="007A60BA">
        <w:rPr>
          <w:sz w:val="24"/>
          <w:szCs w:val="24"/>
        </w:rPr>
        <w:t>can be expected to occur.</w:t>
      </w:r>
      <w:r w:rsidR="000273E0">
        <w:rPr>
          <w:sz w:val="24"/>
          <w:szCs w:val="24"/>
        </w:rPr>
        <w:t xml:space="preserve"> </w:t>
      </w:r>
      <w:r w:rsidR="005D605C">
        <w:rPr>
          <w:sz w:val="24"/>
          <w:szCs w:val="24"/>
        </w:rPr>
        <w:t>F</w:t>
      </w:r>
      <w:r w:rsidR="00345C48">
        <w:rPr>
          <w:sz w:val="24"/>
          <w:szCs w:val="24"/>
        </w:rPr>
        <w:t xml:space="preserve">inding no economic differences between states </w:t>
      </w:r>
      <w:r w:rsidR="00CE56F6">
        <w:rPr>
          <w:sz w:val="24"/>
          <w:szCs w:val="24"/>
        </w:rPr>
        <w:t xml:space="preserve">of differing wage floors </w:t>
      </w:r>
      <w:r w:rsidR="00FE47CB">
        <w:rPr>
          <w:sz w:val="24"/>
          <w:szCs w:val="24"/>
        </w:rPr>
        <w:t>is not</w:t>
      </w:r>
      <w:r w:rsidR="00CE56F6">
        <w:rPr>
          <w:sz w:val="24"/>
          <w:szCs w:val="24"/>
        </w:rPr>
        <w:t xml:space="preserve"> without value, but </w:t>
      </w:r>
      <w:r w:rsidR="00EC3905">
        <w:rPr>
          <w:sz w:val="24"/>
          <w:szCs w:val="24"/>
        </w:rPr>
        <w:t xml:space="preserve">models with </w:t>
      </w:r>
      <w:r w:rsidR="00937458">
        <w:rPr>
          <w:sz w:val="24"/>
          <w:szCs w:val="24"/>
        </w:rPr>
        <w:t xml:space="preserve">stronger point estimation </w:t>
      </w:r>
      <w:r w:rsidR="00382DEB">
        <w:rPr>
          <w:sz w:val="24"/>
          <w:szCs w:val="24"/>
        </w:rPr>
        <w:t xml:space="preserve">capabilities are more appropriate for </w:t>
      </w:r>
      <w:r w:rsidR="00D22D93">
        <w:rPr>
          <w:sz w:val="24"/>
          <w:szCs w:val="24"/>
        </w:rPr>
        <w:t>informing future policy decisions that depend on</w:t>
      </w:r>
      <w:r w:rsidR="00914F88">
        <w:rPr>
          <w:sz w:val="24"/>
          <w:szCs w:val="24"/>
        </w:rPr>
        <w:t xml:space="preserve"> the</w:t>
      </w:r>
      <w:r w:rsidR="00D22D93">
        <w:rPr>
          <w:sz w:val="24"/>
          <w:szCs w:val="24"/>
        </w:rPr>
        <w:t xml:space="preserve"> accurate </w:t>
      </w:r>
      <w:r w:rsidR="00F86818">
        <w:rPr>
          <w:sz w:val="24"/>
          <w:szCs w:val="24"/>
        </w:rPr>
        <w:t xml:space="preserve">appraisal of </w:t>
      </w:r>
      <w:r w:rsidR="00552085">
        <w:rPr>
          <w:sz w:val="24"/>
          <w:szCs w:val="24"/>
        </w:rPr>
        <w:t xml:space="preserve">the </w:t>
      </w:r>
      <w:r w:rsidR="00F86818">
        <w:rPr>
          <w:sz w:val="24"/>
          <w:szCs w:val="24"/>
        </w:rPr>
        <w:t>effects incurred by those that the policy is intended to target.</w:t>
      </w:r>
      <w:r w:rsidR="00655058">
        <w:rPr>
          <w:sz w:val="24"/>
          <w:szCs w:val="24"/>
        </w:rPr>
        <w:t xml:space="preserve"> Further </w:t>
      </w:r>
      <w:r w:rsidR="00E75C6D">
        <w:rPr>
          <w:sz w:val="24"/>
          <w:szCs w:val="24"/>
        </w:rPr>
        <w:t>research</w:t>
      </w:r>
      <w:r w:rsidR="00655058">
        <w:rPr>
          <w:sz w:val="24"/>
          <w:szCs w:val="24"/>
        </w:rPr>
        <w:t xml:space="preserve"> that </w:t>
      </w:r>
      <w:r w:rsidR="00AB7EA5">
        <w:rPr>
          <w:sz w:val="24"/>
          <w:szCs w:val="24"/>
        </w:rPr>
        <w:t xml:space="preserve">disaggregates into individual minimum-wage-intensive industries or </w:t>
      </w:r>
      <w:r w:rsidR="00CF4045">
        <w:rPr>
          <w:sz w:val="24"/>
          <w:szCs w:val="24"/>
        </w:rPr>
        <w:t>low-income</w:t>
      </w:r>
      <w:r w:rsidR="00CA3F1B">
        <w:rPr>
          <w:sz w:val="24"/>
          <w:szCs w:val="24"/>
        </w:rPr>
        <w:t xml:space="preserve"> subpopulations such as teens is needed to </w:t>
      </w:r>
      <w:r w:rsidR="0066476D">
        <w:rPr>
          <w:sz w:val="24"/>
          <w:szCs w:val="24"/>
        </w:rPr>
        <w:t>retest th</w:t>
      </w:r>
      <w:r w:rsidR="00E75C6D">
        <w:rPr>
          <w:sz w:val="24"/>
          <w:szCs w:val="24"/>
        </w:rPr>
        <w:t>is paper’s findings</w:t>
      </w:r>
      <w:r w:rsidR="008E072E">
        <w:rPr>
          <w:sz w:val="24"/>
          <w:szCs w:val="24"/>
        </w:rPr>
        <w:t xml:space="preserve">. Takeaways from this study are </w:t>
      </w:r>
      <w:r w:rsidR="00AE54AD">
        <w:rPr>
          <w:sz w:val="24"/>
          <w:szCs w:val="24"/>
        </w:rPr>
        <w:t xml:space="preserve">that </w:t>
      </w:r>
      <w:r w:rsidR="008E072E">
        <w:rPr>
          <w:sz w:val="24"/>
          <w:szCs w:val="24"/>
        </w:rPr>
        <w:t xml:space="preserve">future </w:t>
      </w:r>
      <w:r w:rsidR="00AE54AD">
        <w:rPr>
          <w:sz w:val="24"/>
          <w:szCs w:val="24"/>
        </w:rPr>
        <w:t>minimum wage</w:t>
      </w:r>
      <w:r w:rsidR="008E072E">
        <w:rPr>
          <w:sz w:val="24"/>
          <w:szCs w:val="24"/>
        </w:rPr>
        <w:t xml:space="preserve"> debates</w:t>
      </w:r>
      <w:r w:rsidR="00D77C29">
        <w:rPr>
          <w:sz w:val="24"/>
          <w:szCs w:val="24"/>
        </w:rPr>
        <w:t xml:space="preserve"> should be centered on affected sub</w:t>
      </w:r>
      <w:r w:rsidR="0082188E">
        <w:rPr>
          <w:sz w:val="24"/>
          <w:szCs w:val="24"/>
        </w:rPr>
        <w:t>sections</w:t>
      </w:r>
      <w:r w:rsidR="00D77C29">
        <w:rPr>
          <w:sz w:val="24"/>
          <w:szCs w:val="24"/>
        </w:rPr>
        <w:t xml:space="preserve"> rather than the economy as a whole, as evidently </w:t>
      </w:r>
      <w:r w:rsidR="00515AF6">
        <w:rPr>
          <w:sz w:val="24"/>
          <w:szCs w:val="24"/>
        </w:rPr>
        <w:t>minimum wages</w:t>
      </w:r>
      <w:r w:rsidR="00AE54AD">
        <w:rPr>
          <w:sz w:val="24"/>
          <w:szCs w:val="24"/>
        </w:rPr>
        <w:t xml:space="preserve"> are not a</w:t>
      </w:r>
      <w:r w:rsidR="008E072E">
        <w:rPr>
          <w:sz w:val="24"/>
          <w:szCs w:val="24"/>
        </w:rPr>
        <w:t>n</w:t>
      </w:r>
      <w:r w:rsidR="00AE54AD">
        <w:rPr>
          <w:sz w:val="24"/>
          <w:szCs w:val="24"/>
        </w:rPr>
        <w:t xml:space="preserve"> aggregate economic concern.</w:t>
      </w:r>
    </w:p>
    <w:p w14:paraId="64A3FD09" w14:textId="77777777" w:rsidR="00053D35" w:rsidRPr="00A468CE" w:rsidRDefault="00053D35" w:rsidP="00053D35">
      <w:pPr>
        <w:pStyle w:val="Heading1"/>
        <w:numPr>
          <w:ilvl w:val="0"/>
          <w:numId w:val="18"/>
        </w:numPr>
        <w:spacing w:line="480" w:lineRule="auto"/>
      </w:pPr>
      <w:bookmarkStart w:id="35" w:name="_Toc71466059"/>
      <w:r w:rsidRPr="00A468CE">
        <w:lastRenderedPageBreak/>
        <w:t>References</w:t>
      </w:r>
      <w:bookmarkEnd w:id="35"/>
      <w:r>
        <w:t xml:space="preserve">   </w:t>
      </w:r>
    </w:p>
    <w:p w14:paraId="022F28C7" w14:textId="77777777" w:rsidR="00053D35" w:rsidRPr="0060259D" w:rsidRDefault="00053D35" w:rsidP="00053D35">
      <w:pPr>
        <w:rPr>
          <w:sz w:val="24"/>
          <w:szCs w:val="24"/>
        </w:rPr>
      </w:pPr>
      <w:r w:rsidRPr="0060259D">
        <w:rPr>
          <w:sz w:val="24"/>
          <w:szCs w:val="24"/>
        </w:rPr>
        <w:t xml:space="preserve">Aaronson, D., French, E., &amp; MacDonald, J. (2008). “The minimum wage, restaurant prices, and labor market structure.” </w:t>
      </w:r>
      <w:r w:rsidRPr="0060259D">
        <w:rPr>
          <w:i/>
          <w:iCs/>
          <w:sz w:val="24"/>
          <w:szCs w:val="24"/>
        </w:rPr>
        <w:t>Journal of Human Resources</w:t>
      </w:r>
      <w:r w:rsidRPr="0060259D">
        <w:rPr>
          <w:sz w:val="24"/>
          <w:szCs w:val="24"/>
        </w:rPr>
        <w:t xml:space="preserve">, </w:t>
      </w:r>
      <w:r w:rsidRPr="0060259D">
        <w:rPr>
          <w:i/>
          <w:iCs/>
          <w:sz w:val="24"/>
          <w:szCs w:val="24"/>
        </w:rPr>
        <w:t>43</w:t>
      </w:r>
      <w:r w:rsidRPr="0060259D">
        <w:rPr>
          <w:sz w:val="24"/>
          <w:szCs w:val="24"/>
        </w:rPr>
        <w:t xml:space="preserve">(3), 688–720. https://doi.org/10.1353/jhr.2008.0007 </w:t>
      </w:r>
    </w:p>
    <w:p w14:paraId="663BF9FC" w14:textId="77777777" w:rsidR="00053D35" w:rsidRPr="0060259D" w:rsidRDefault="00053D35" w:rsidP="00053D35">
      <w:pPr>
        <w:rPr>
          <w:sz w:val="24"/>
          <w:szCs w:val="24"/>
        </w:rPr>
      </w:pPr>
      <w:r w:rsidRPr="0060259D">
        <w:rPr>
          <w:sz w:val="24"/>
          <w:szCs w:val="24"/>
        </w:rPr>
        <w:t xml:space="preserve">Aaronson, D. (2001). “Price Pass-Through and the Minimum Wage.” </w:t>
      </w:r>
      <w:r w:rsidRPr="0060259D">
        <w:rPr>
          <w:i/>
          <w:iCs/>
          <w:sz w:val="24"/>
          <w:szCs w:val="24"/>
        </w:rPr>
        <w:t>Review of Economics and Statistics</w:t>
      </w:r>
      <w:r w:rsidRPr="0060259D">
        <w:rPr>
          <w:sz w:val="24"/>
          <w:szCs w:val="24"/>
        </w:rPr>
        <w:t xml:space="preserve">, </w:t>
      </w:r>
      <w:r w:rsidRPr="0060259D">
        <w:rPr>
          <w:i/>
          <w:iCs/>
          <w:sz w:val="24"/>
          <w:szCs w:val="24"/>
        </w:rPr>
        <w:t>83</w:t>
      </w:r>
      <w:r w:rsidRPr="0060259D">
        <w:rPr>
          <w:sz w:val="24"/>
          <w:szCs w:val="24"/>
        </w:rPr>
        <w:t xml:space="preserve">(1), 158–169. https://doi.org/10.1162/003465301750160126 </w:t>
      </w:r>
    </w:p>
    <w:p w14:paraId="25F23262" w14:textId="77777777" w:rsidR="00053D35" w:rsidRPr="0060259D" w:rsidRDefault="00053D35" w:rsidP="00053D35">
      <w:pPr>
        <w:rPr>
          <w:sz w:val="24"/>
          <w:szCs w:val="24"/>
        </w:rPr>
      </w:pPr>
      <w:r w:rsidRPr="0060259D">
        <w:rPr>
          <w:sz w:val="24"/>
          <w:szCs w:val="24"/>
        </w:rPr>
        <w:t xml:space="preserve">Allegretto, S. A., Dube, A., &amp; Reich, M. (2011). “Do Minimum Wages Really Reduce Teen Employment? Accounting for Heterogeneity and Selectivity in State Panel Data.” </w:t>
      </w:r>
      <w:r w:rsidRPr="0060259D">
        <w:rPr>
          <w:i/>
          <w:iCs/>
          <w:sz w:val="24"/>
          <w:szCs w:val="24"/>
        </w:rPr>
        <w:t>Industrial Relations: A Journal of Economy and Society</w:t>
      </w:r>
      <w:r w:rsidRPr="0060259D">
        <w:rPr>
          <w:sz w:val="24"/>
          <w:szCs w:val="24"/>
        </w:rPr>
        <w:t xml:space="preserve">, </w:t>
      </w:r>
      <w:r w:rsidRPr="0060259D">
        <w:rPr>
          <w:i/>
          <w:iCs/>
          <w:sz w:val="24"/>
          <w:szCs w:val="24"/>
        </w:rPr>
        <w:t>50</w:t>
      </w:r>
      <w:r w:rsidRPr="0060259D">
        <w:rPr>
          <w:sz w:val="24"/>
          <w:szCs w:val="24"/>
        </w:rPr>
        <w:t xml:space="preserve">(2), 205–240. https://doi.org/10.1111/j.1468-232x.2011.00634.x </w:t>
      </w:r>
    </w:p>
    <w:p w14:paraId="5783B16B" w14:textId="77777777" w:rsidR="00053D35" w:rsidRPr="0060259D" w:rsidRDefault="00053D35" w:rsidP="00053D35">
      <w:pPr>
        <w:rPr>
          <w:sz w:val="24"/>
          <w:szCs w:val="24"/>
        </w:rPr>
      </w:pPr>
      <w:r w:rsidRPr="0060259D">
        <w:rPr>
          <w:sz w:val="24"/>
          <w:szCs w:val="24"/>
        </w:rPr>
        <w:t xml:space="preserve">Allegretto, S., &amp; Reich, M. (2017). “Are Local Minimum Wages Absorbed by Price Increases? Estimates from Internet-Based Restaurant Menus.” </w:t>
      </w:r>
      <w:r w:rsidRPr="0060259D">
        <w:rPr>
          <w:i/>
          <w:iCs/>
          <w:sz w:val="24"/>
          <w:szCs w:val="24"/>
        </w:rPr>
        <w:t>ILR Review</w:t>
      </w:r>
      <w:r w:rsidRPr="0060259D">
        <w:rPr>
          <w:sz w:val="24"/>
          <w:szCs w:val="24"/>
        </w:rPr>
        <w:t xml:space="preserve">, </w:t>
      </w:r>
      <w:r w:rsidRPr="0060259D">
        <w:rPr>
          <w:i/>
          <w:iCs/>
          <w:sz w:val="24"/>
          <w:szCs w:val="24"/>
        </w:rPr>
        <w:t>71</w:t>
      </w:r>
      <w:r w:rsidRPr="0060259D">
        <w:rPr>
          <w:sz w:val="24"/>
          <w:szCs w:val="24"/>
        </w:rPr>
        <w:t xml:space="preserve">(1), 35–63. https://doi.org/10.1177/0019793917713735 </w:t>
      </w:r>
    </w:p>
    <w:p w14:paraId="723A2B36" w14:textId="77777777" w:rsidR="00053D35" w:rsidRPr="0060259D" w:rsidRDefault="00053D35" w:rsidP="00053D35">
      <w:pPr>
        <w:rPr>
          <w:sz w:val="24"/>
          <w:szCs w:val="24"/>
        </w:rPr>
      </w:pPr>
      <w:r w:rsidRPr="0060259D">
        <w:rPr>
          <w:sz w:val="24"/>
          <w:szCs w:val="24"/>
        </w:rPr>
        <w:t xml:space="preserve">Ashenfelter, O. C., Farber, H., &amp; Ransom, M. R. (2010). “Labor Market Monopsony.” </w:t>
      </w:r>
      <w:r w:rsidRPr="0060259D">
        <w:rPr>
          <w:i/>
          <w:iCs/>
          <w:sz w:val="24"/>
          <w:szCs w:val="24"/>
        </w:rPr>
        <w:t>Journal of Labor Economics</w:t>
      </w:r>
      <w:r w:rsidRPr="0060259D">
        <w:rPr>
          <w:sz w:val="24"/>
          <w:szCs w:val="24"/>
        </w:rPr>
        <w:t xml:space="preserve">, </w:t>
      </w:r>
      <w:r w:rsidRPr="0060259D">
        <w:rPr>
          <w:i/>
          <w:iCs/>
          <w:sz w:val="24"/>
          <w:szCs w:val="24"/>
        </w:rPr>
        <w:t>28</w:t>
      </w:r>
      <w:r w:rsidRPr="0060259D">
        <w:rPr>
          <w:sz w:val="24"/>
          <w:szCs w:val="24"/>
        </w:rPr>
        <w:t xml:space="preserve">(2), 203–210. https://doi.org/10.1086/653654 </w:t>
      </w:r>
    </w:p>
    <w:p w14:paraId="3C98B28D" w14:textId="77777777" w:rsidR="00053D35" w:rsidRPr="0060259D" w:rsidRDefault="00053D35" w:rsidP="00053D35">
      <w:pPr>
        <w:rPr>
          <w:sz w:val="24"/>
          <w:szCs w:val="24"/>
        </w:rPr>
      </w:pPr>
      <w:r w:rsidRPr="0060259D">
        <w:rPr>
          <w:sz w:val="24"/>
          <w:szCs w:val="24"/>
        </w:rPr>
        <w:t xml:space="preserve">Basker, E., &amp; Khan, M. T. (2016). “Does the Minimum Wage Bite into Fast-Food Prices?” </w:t>
      </w:r>
      <w:r w:rsidRPr="0060259D">
        <w:rPr>
          <w:i/>
          <w:iCs/>
          <w:sz w:val="24"/>
          <w:szCs w:val="24"/>
        </w:rPr>
        <w:t>Journal of Labor Research</w:t>
      </w:r>
      <w:r w:rsidRPr="0060259D">
        <w:rPr>
          <w:sz w:val="24"/>
          <w:szCs w:val="24"/>
        </w:rPr>
        <w:t xml:space="preserve">, </w:t>
      </w:r>
      <w:r w:rsidRPr="0060259D">
        <w:rPr>
          <w:i/>
          <w:iCs/>
          <w:sz w:val="24"/>
          <w:szCs w:val="24"/>
        </w:rPr>
        <w:t>37</w:t>
      </w:r>
      <w:r w:rsidRPr="0060259D">
        <w:rPr>
          <w:sz w:val="24"/>
          <w:szCs w:val="24"/>
        </w:rPr>
        <w:t xml:space="preserve">(2), 129–148. https://doi.org/10.1007/s12122-016-9224-5 </w:t>
      </w:r>
    </w:p>
    <w:p w14:paraId="49068F7B" w14:textId="77777777" w:rsidR="00053D35" w:rsidRPr="0060259D" w:rsidRDefault="00053D35" w:rsidP="00053D35">
      <w:pPr>
        <w:rPr>
          <w:sz w:val="24"/>
          <w:szCs w:val="24"/>
        </w:rPr>
      </w:pPr>
      <w:r w:rsidRPr="0060259D">
        <w:rPr>
          <w:sz w:val="24"/>
          <w:szCs w:val="24"/>
        </w:rPr>
        <w:t xml:space="preserve">Card, D., &amp; Krueger, A. (1994). “Minimum Wages and Employment: A Case Study of the </w:t>
      </w:r>
      <w:proofErr w:type="gramStart"/>
      <w:r w:rsidRPr="0060259D">
        <w:rPr>
          <w:sz w:val="24"/>
          <w:szCs w:val="24"/>
        </w:rPr>
        <w:t>Fast Food</w:t>
      </w:r>
      <w:proofErr w:type="gramEnd"/>
      <w:r w:rsidRPr="0060259D">
        <w:rPr>
          <w:sz w:val="24"/>
          <w:szCs w:val="24"/>
        </w:rPr>
        <w:t xml:space="preserve"> Industry in New Jersey and Pennsylvania.” </w:t>
      </w:r>
      <w:r w:rsidRPr="0060259D">
        <w:rPr>
          <w:i/>
          <w:iCs/>
          <w:sz w:val="24"/>
          <w:szCs w:val="24"/>
        </w:rPr>
        <w:t>American Economic Review</w:t>
      </w:r>
      <w:r w:rsidRPr="0060259D">
        <w:rPr>
          <w:sz w:val="24"/>
          <w:szCs w:val="24"/>
        </w:rPr>
        <w:t xml:space="preserve">, </w:t>
      </w:r>
      <w:r w:rsidRPr="0060259D">
        <w:rPr>
          <w:i/>
          <w:iCs/>
          <w:sz w:val="24"/>
          <w:szCs w:val="24"/>
        </w:rPr>
        <w:t>vol. 84</w:t>
      </w:r>
      <w:r w:rsidRPr="0060259D">
        <w:rPr>
          <w:sz w:val="24"/>
          <w:szCs w:val="24"/>
        </w:rPr>
        <w:t xml:space="preserve">, issue 4, 772-93. https://doi.org/10.3386/w4509 </w:t>
      </w:r>
    </w:p>
    <w:p w14:paraId="1BBB4DBC" w14:textId="77777777" w:rsidR="00053D35" w:rsidRPr="0060259D" w:rsidRDefault="00053D35" w:rsidP="00053D35">
      <w:pPr>
        <w:rPr>
          <w:sz w:val="24"/>
          <w:szCs w:val="24"/>
        </w:rPr>
      </w:pPr>
      <w:r w:rsidRPr="0060259D">
        <w:rPr>
          <w:sz w:val="24"/>
          <w:szCs w:val="24"/>
        </w:rPr>
        <w:t>Card, D., &amp; Krueger, A. (1995). “</w:t>
      </w:r>
      <w:r w:rsidRPr="0060259D">
        <w:rPr>
          <w:rFonts w:ascii="Times New Roman" w:eastAsia="Times New Roman" w:hAnsi="Times New Roman" w:cs="Times New Roman"/>
          <w:sz w:val="24"/>
          <w:szCs w:val="24"/>
        </w:rPr>
        <w:t>Myth and Measurement: The New Economics of the Minimum Wage - Twentieth-Anniversary Edition</w:t>
      </w:r>
      <w:r w:rsidRPr="0060259D">
        <w:rPr>
          <w:sz w:val="24"/>
          <w:szCs w:val="24"/>
        </w:rPr>
        <w:t>.” Princeton, NJ: Princeton University Press</w:t>
      </w:r>
    </w:p>
    <w:p w14:paraId="7BA1D5EC" w14:textId="77777777" w:rsidR="00053D35" w:rsidRPr="0060259D" w:rsidRDefault="00053D35" w:rsidP="00053D35">
      <w:pPr>
        <w:rPr>
          <w:sz w:val="24"/>
          <w:szCs w:val="24"/>
        </w:rPr>
      </w:pPr>
      <w:r w:rsidRPr="0060259D">
        <w:rPr>
          <w:sz w:val="24"/>
          <w:szCs w:val="24"/>
        </w:rPr>
        <w:t xml:space="preserve">Card, D., &amp; Krueger, A. B. (2000). “Minimum Wages and Employment: A Case Study of the Fast-Food Industry in New Jersey and Pennsylvania: Reply.” </w:t>
      </w:r>
      <w:r w:rsidRPr="0060259D">
        <w:rPr>
          <w:i/>
          <w:iCs/>
          <w:sz w:val="24"/>
          <w:szCs w:val="24"/>
        </w:rPr>
        <w:t>American Economic Review</w:t>
      </w:r>
      <w:r w:rsidRPr="0060259D">
        <w:rPr>
          <w:sz w:val="24"/>
          <w:szCs w:val="24"/>
        </w:rPr>
        <w:t xml:space="preserve">, </w:t>
      </w:r>
      <w:r w:rsidRPr="0060259D">
        <w:rPr>
          <w:i/>
          <w:iCs/>
          <w:sz w:val="24"/>
          <w:szCs w:val="24"/>
        </w:rPr>
        <w:t>90</w:t>
      </w:r>
      <w:r w:rsidRPr="0060259D">
        <w:rPr>
          <w:sz w:val="24"/>
          <w:szCs w:val="24"/>
        </w:rPr>
        <w:t xml:space="preserve">(5), 1397–1420. https://doi.org/10.1257/aer.90.5.1397 </w:t>
      </w:r>
    </w:p>
    <w:p w14:paraId="0A98BA85" w14:textId="77777777" w:rsidR="00053D35" w:rsidRPr="0060259D" w:rsidRDefault="00053D35" w:rsidP="00053D35">
      <w:pPr>
        <w:rPr>
          <w:sz w:val="24"/>
          <w:szCs w:val="24"/>
        </w:rPr>
      </w:pPr>
      <w:r w:rsidRPr="009167F9">
        <w:rPr>
          <w:sz w:val="24"/>
          <w:szCs w:val="24"/>
        </w:rPr>
        <w:t xml:space="preserve">Cooper, D., Gould, E., &amp; Zipperer, B. (2019). Low-wage workers are suffering from a decline in the real value of the federal minimum wage. </w:t>
      </w:r>
      <w:r w:rsidRPr="009167F9">
        <w:rPr>
          <w:i/>
          <w:iCs/>
          <w:sz w:val="24"/>
          <w:szCs w:val="24"/>
        </w:rPr>
        <w:t>Economic Policy Institute.</w:t>
      </w:r>
      <w:r w:rsidRPr="009167F9">
        <w:rPr>
          <w:sz w:val="24"/>
          <w:szCs w:val="24"/>
        </w:rPr>
        <w:t xml:space="preserve"> </w:t>
      </w:r>
      <w:hyperlink r:id="rId14" w:history="1">
        <w:r w:rsidRPr="0060259D">
          <w:rPr>
            <w:rStyle w:val="Hyperlink"/>
            <w:sz w:val="24"/>
            <w:szCs w:val="24"/>
          </w:rPr>
          <w:t>ht</w:t>
        </w:r>
        <w:r w:rsidRPr="009167F9">
          <w:rPr>
            <w:rStyle w:val="Hyperlink"/>
            <w:sz w:val="24"/>
            <w:szCs w:val="24"/>
          </w:rPr>
          <w:t>tps://www.epi.org/publication/labor-day-2019-minimum-wag</w:t>
        </w:r>
        <w:r w:rsidRPr="0060259D">
          <w:rPr>
            <w:rStyle w:val="Hyperlink"/>
            <w:sz w:val="24"/>
            <w:szCs w:val="24"/>
          </w:rPr>
          <w:t>e</w:t>
        </w:r>
        <w:r w:rsidRPr="009167F9">
          <w:rPr>
            <w:rStyle w:val="Hyperlink"/>
            <w:sz w:val="24"/>
            <w:szCs w:val="24"/>
          </w:rPr>
          <w:t>/</w:t>
        </w:r>
      </w:hyperlink>
      <w:r w:rsidRPr="0060259D">
        <w:rPr>
          <w:sz w:val="24"/>
          <w:szCs w:val="24"/>
        </w:rPr>
        <w:t xml:space="preserve"> </w:t>
      </w:r>
    </w:p>
    <w:p w14:paraId="2038367E" w14:textId="77777777" w:rsidR="00053D35" w:rsidRPr="0060259D" w:rsidRDefault="00053D35" w:rsidP="00053D35">
      <w:pPr>
        <w:rPr>
          <w:sz w:val="24"/>
          <w:szCs w:val="24"/>
        </w:rPr>
      </w:pPr>
      <w:r w:rsidRPr="00B42D0F">
        <w:rPr>
          <w:sz w:val="24"/>
          <w:szCs w:val="24"/>
        </w:rPr>
        <w:t xml:space="preserve">DeSilver, D. (2020). </w:t>
      </w:r>
      <w:r w:rsidRPr="0060259D">
        <w:rPr>
          <w:sz w:val="24"/>
          <w:szCs w:val="24"/>
        </w:rPr>
        <w:t>“</w:t>
      </w:r>
      <w:r w:rsidRPr="00B42D0F">
        <w:rPr>
          <w:sz w:val="24"/>
          <w:szCs w:val="24"/>
        </w:rPr>
        <w:t>For most Americans, real wages have barely budged for decades.</w:t>
      </w:r>
      <w:r w:rsidRPr="0060259D">
        <w:rPr>
          <w:sz w:val="24"/>
          <w:szCs w:val="24"/>
        </w:rPr>
        <w:t>”</w:t>
      </w:r>
      <w:r w:rsidRPr="00B42D0F">
        <w:rPr>
          <w:sz w:val="24"/>
          <w:szCs w:val="24"/>
        </w:rPr>
        <w:t xml:space="preserve"> </w:t>
      </w:r>
      <w:r w:rsidRPr="00B42D0F">
        <w:rPr>
          <w:i/>
          <w:iCs/>
          <w:sz w:val="24"/>
          <w:szCs w:val="24"/>
        </w:rPr>
        <w:t>Pew Research Center.</w:t>
      </w:r>
      <w:r w:rsidRPr="00B42D0F">
        <w:rPr>
          <w:sz w:val="24"/>
          <w:szCs w:val="24"/>
        </w:rPr>
        <w:t xml:space="preserve"> https://www.pewresearch.org/fact-tank/2018/08/07/for-most-us-workers-real-wages-have-barely-budged-for-decades/. </w:t>
      </w:r>
    </w:p>
    <w:p w14:paraId="278F3FC4" w14:textId="77777777" w:rsidR="00053D35" w:rsidRPr="0060259D" w:rsidRDefault="00053D35" w:rsidP="00053D35">
      <w:pPr>
        <w:rPr>
          <w:sz w:val="24"/>
          <w:szCs w:val="24"/>
        </w:rPr>
      </w:pPr>
      <w:r w:rsidRPr="0060259D">
        <w:rPr>
          <w:sz w:val="24"/>
          <w:szCs w:val="24"/>
        </w:rPr>
        <w:t xml:space="preserve">Dube, A., Lester, T. W., &amp; Reich, M. (2010). “Minimum Wage Effects Across State Borders: Estimates Using Contiguous Counties.” </w:t>
      </w:r>
      <w:r w:rsidRPr="0060259D">
        <w:rPr>
          <w:i/>
          <w:iCs/>
          <w:sz w:val="24"/>
          <w:szCs w:val="24"/>
        </w:rPr>
        <w:t>Review of Economics and Statistics</w:t>
      </w:r>
      <w:r w:rsidRPr="0060259D">
        <w:rPr>
          <w:sz w:val="24"/>
          <w:szCs w:val="24"/>
        </w:rPr>
        <w:t xml:space="preserve">, </w:t>
      </w:r>
      <w:r w:rsidRPr="0060259D">
        <w:rPr>
          <w:i/>
          <w:iCs/>
          <w:sz w:val="24"/>
          <w:szCs w:val="24"/>
        </w:rPr>
        <w:t>92</w:t>
      </w:r>
      <w:r w:rsidRPr="0060259D">
        <w:rPr>
          <w:sz w:val="24"/>
          <w:szCs w:val="24"/>
        </w:rPr>
        <w:t xml:space="preserve">(4), 945–964. https://doi.org/10.1162/rest_a_00039 </w:t>
      </w:r>
    </w:p>
    <w:p w14:paraId="3D8DFA53" w14:textId="77777777" w:rsidR="00053D35" w:rsidRPr="0060259D" w:rsidRDefault="00053D35" w:rsidP="00053D35">
      <w:pPr>
        <w:rPr>
          <w:sz w:val="24"/>
          <w:szCs w:val="24"/>
        </w:rPr>
      </w:pPr>
      <w:r w:rsidRPr="00810D87">
        <w:rPr>
          <w:sz w:val="24"/>
          <w:szCs w:val="24"/>
        </w:rPr>
        <w:lastRenderedPageBreak/>
        <w:t xml:space="preserve">Hazell, J., Herreño, J., Nakamura, E., &amp; Steinsson, J. (2020). </w:t>
      </w:r>
      <w:r w:rsidRPr="0060259D">
        <w:rPr>
          <w:sz w:val="24"/>
          <w:szCs w:val="24"/>
        </w:rPr>
        <w:t>“</w:t>
      </w:r>
      <w:r w:rsidRPr="00810D87">
        <w:rPr>
          <w:sz w:val="24"/>
          <w:szCs w:val="24"/>
        </w:rPr>
        <w:t>The Slope of the Phillips Curve: Evidence from U.S. States. NBER Working Paper No. 28005.</w:t>
      </w:r>
      <w:r w:rsidRPr="0060259D">
        <w:rPr>
          <w:sz w:val="24"/>
          <w:szCs w:val="24"/>
        </w:rPr>
        <w:t>” National Bureau of Economic Research</w:t>
      </w:r>
      <w:r w:rsidRPr="00810D87">
        <w:rPr>
          <w:sz w:val="24"/>
          <w:szCs w:val="24"/>
        </w:rPr>
        <w:t xml:space="preserve"> https://doi.org/10.3386/w28005 </w:t>
      </w:r>
    </w:p>
    <w:p w14:paraId="0AC91DDE" w14:textId="77777777" w:rsidR="00053D35" w:rsidRPr="0060259D" w:rsidRDefault="00053D35" w:rsidP="00053D35">
      <w:pPr>
        <w:rPr>
          <w:sz w:val="24"/>
          <w:szCs w:val="24"/>
        </w:rPr>
      </w:pPr>
      <w:r w:rsidRPr="0060259D">
        <w:rPr>
          <w:sz w:val="24"/>
          <w:szCs w:val="24"/>
        </w:rPr>
        <w:t xml:space="preserve">Herr, H. (2002). "Wages, employment and prices: An analysis of the relationship between wage level, wage structure, minimum wages and employment and prices.” Working Paper No. 15. Institute of Management Berlin at the Berlin School of Economics and Law (HWR Berlin). http://hdl.handle.net/10419/74358 </w:t>
      </w:r>
    </w:p>
    <w:p w14:paraId="608B8DB6" w14:textId="77777777" w:rsidR="00053D35" w:rsidRPr="0060259D" w:rsidRDefault="00053D35" w:rsidP="00053D35">
      <w:pPr>
        <w:rPr>
          <w:sz w:val="24"/>
          <w:szCs w:val="24"/>
        </w:rPr>
      </w:pPr>
      <w:r w:rsidRPr="0060259D">
        <w:rPr>
          <w:sz w:val="24"/>
          <w:szCs w:val="24"/>
        </w:rPr>
        <w:t xml:space="preserve">Herr, H., Kazandziska, M., &amp; Mahnkopf-Praprotnik, S. (2009). “The theoretical debate about minimum wages.” Working Paper No. 6. Global Labour University. https://doi.org/http://hdl.handle.net/10419/96384 </w:t>
      </w:r>
    </w:p>
    <w:p w14:paraId="64C86491" w14:textId="77777777" w:rsidR="00053D35" w:rsidRPr="0060259D" w:rsidRDefault="00053D35" w:rsidP="00053D35">
      <w:pPr>
        <w:rPr>
          <w:sz w:val="24"/>
          <w:szCs w:val="24"/>
        </w:rPr>
      </w:pPr>
      <w:r w:rsidRPr="0060259D">
        <w:rPr>
          <w:sz w:val="24"/>
          <w:szCs w:val="24"/>
        </w:rPr>
        <w:t xml:space="preserve">Katz, L., &amp; Krueger, A. (1992). “The Effect of the Minimum Wage on the </w:t>
      </w:r>
      <w:proofErr w:type="gramStart"/>
      <w:r w:rsidRPr="0060259D">
        <w:rPr>
          <w:sz w:val="24"/>
          <w:szCs w:val="24"/>
        </w:rPr>
        <w:t>Fast Food</w:t>
      </w:r>
      <w:proofErr w:type="gramEnd"/>
      <w:r w:rsidRPr="0060259D">
        <w:rPr>
          <w:sz w:val="24"/>
          <w:szCs w:val="24"/>
        </w:rPr>
        <w:t xml:space="preserve"> Industry.” </w:t>
      </w:r>
      <w:r w:rsidRPr="0060259D">
        <w:rPr>
          <w:i/>
          <w:iCs/>
          <w:sz w:val="24"/>
          <w:szCs w:val="24"/>
        </w:rPr>
        <w:t>ILR Review</w:t>
      </w:r>
      <w:r w:rsidRPr="0060259D">
        <w:rPr>
          <w:sz w:val="24"/>
          <w:szCs w:val="24"/>
        </w:rPr>
        <w:t xml:space="preserve">, </w:t>
      </w:r>
      <w:r w:rsidRPr="0060259D">
        <w:rPr>
          <w:i/>
          <w:iCs/>
          <w:sz w:val="24"/>
          <w:szCs w:val="24"/>
        </w:rPr>
        <w:t>46</w:t>
      </w:r>
      <w:r w:rsidRPr="0060259D">
        <w:rPr>
          <w:sz w:val="24"/>
          <w:szCs w:val="24"/>
        </w:rPr>
        <w:t xml:space="preserve">, 6–21. https://doi.org/10.3386/w3997 </w:t>
      </w:r>
    </w:p>
    <w:p w14:paraId="76C70CA1" w14:textId="77777777" w:rsidR="00053D35" w:rsidRPr="0060259D" w:rsidRDefault="00053D35" w:rsidP="00053D35">
      <w:pPr>
        <w:rPr>
          <w:sz w:val="24"/>
          <w:szCs w:val="24"/>
        </w:rPr>
      </w:pPr>
      <w:bookmarkStart w:id="36" w:name="_Hlk71403387"/>
      <w:r w:rsidRPr="00F92084">
        <w:rPr>
          <w:sz w:val="24"/>
          <w:szCs w:val="24"/>
        </w:rPr>
        <w:t xml:space="preserve">“Labor Force Statistics from the Current Population Survey – Concepts and Definitions.” </w:t>
      </w:r>
      <w:r w:rsidRPr="00F92084">
        <w:rPr>
          <w:i/>
          <w:iCs/>
          <w:sz w:val="24"/>
          <w:szCs w:val="24"/>
        </w:rPr>
        <w:t xml:space="preserve">Bureau of Labor Statistics. </w:t>
      </w:r>
      <w:r w:rsidRPr="00F92084">
        <w:rPr>
          <w:sz w:val="24"/>
          <w:szCs w:val="24"/>
        </w:rPr>
        <w:t xml:space="preserve">(2021). </w:t>
      </w:r>
      <w:hyperlink r:id="rId15" w:history="1">
        <w:r w:rsidRPr="00F92084">
          <w:rPr>
            <w:rStyle w:val="Hyperlink"/>
            <w:sz w:val="24"/>
            <w:szCs w:val="24"/>
          </w:rPr>
          <w:t>https://www.bls.gov/cps/definitions.htm</w:t>
        </w:r>
      </w:hyperlink>
      <w:r w:rsidRPr="00F92084">
        <w:rPr>
          <w:sz w:val="24"/>
          <w:szCs w:val="24"/>
        </w:rPr>
        <w:t xml:space="preserve">. </w:t>
      </w:r>
    </w:p>
    <w:bookmarkEnd w:id="36"/>
    <w:p w14:paraId="4D3C634A" w14:textId="77777777" w:rsidR="00053D35" w:rsidRPr="0060259D" w:rsidRDefault="00053D35" w:rsidP="00053D35">
      <w:pPr>
        <w:rPr>
          <w:sz w:val="24"/>
          <w:szCs w:val="24"/>
        </w:rPr>
      </w:pPr>
      <w:r w:rsidRPr="0060259D">
        <w:rPr>
          <w:sz w:val="24"/>
          <w:szCs w:val="24"/>
        </w:rPr>
        <w:t xml:space="preserve">Lemos, S. (2008). “A Survey of the Effects of the Minimum Wage on Prices.” </w:t>
      </w:r>
      <w:r w:rsidRPr="0060259D">
        <w:rPr>
          <w:i/>
          <w:iCs/>
          <w:sz w:val="24"/>
          <w:szCs w:val="24"/>
        </w:rPr>
        <w:t>Journal of Economic Surveys</w:t>
      </w:r>
      <w:r w:rsidRPr="0060259D">
        <w:rPr>
          <w:sz w:val="24"/>
          <w:szCs w:val="24"/>
        </w:rPr>
        <w:t xml:space="preserve">, </w:t>
      </w:r>
      <w:r w:rsidRPr="0060259D">
        <w:rPr>
          <w:i/>
          <w:iCs/>
          <w:sz w:val="24"/>
          <w:szCs w:val="24"/>
        </w:rPr>
        <w:t>22</w:t>
      </w:r>
      <w:r w:rsidRPr="0060259D">
        <w:rPr>
          <w:sz w:val="24"/>
          <w:szCs w:val="24"/>
        </w:rPr>
        <w:t xml:space="preserve">(1), 187–212. https://doi.org/10.1111/j.1467-6419.2007.00532.x </w:t>
      </w:r>
    </w:p>
    <w:p w14:paraId="20B9EFD1" w14:textId="77777777" w:rsidR="00053D35" w:rsidRPr="0060259D" w:rsidRDefault="00053D35" w:rsidP="00053D35">
      <w:pPr>
        <w:rPr>
          <w:sz w:val="24"/>
          <w:szCs w:val="24"/>
        </w:rPr>
      </w:pPr>
      <w:r w:rsidRPr="0060259D">
        <w:rPr>
          <w:sz w:val="24"/>
          <w:szCs w:val="24"/>
        </w:rPr>
        <w:t xml:space="preserve">MacDonald, D., &amp; Nilsson, E. (2016). “The effects of increasing the minimum wage on prices: Analyzing the incidence of policy design and context.” Upjohn Institute Working Paper 16-260. W.E. Upjohn Institute for Employment Research. https://research.upjohn.org/up_workingpapers/260/. </w:t>
      </w:r>
    </w:p>
    <w:p w14:paraId="1831E7EA" w14:textId="77777777" w:rsidR="00053D35" w:rsidRPr="0060259D" w:rsidRDefault="00053D35" w:rsidP="00053D35">
      <w:pPr>
        <w:rPr>
          <w:sz w:val="24"/>
          <w:szCs w:val="24"/>
        </w:rPr>
      </w:pPr>
      <w:r w:rsidRPr="000707B9">
        <w:rPr>
          <w:sz w:val="24"/>
          <w:szCs w:val="24"/>
        </w:rPr>
        <w:t xml:space="preserve">Mishel, L., Gould, E., &amp; Bivens, J. (2015). </w:t>
      </w:r>
      <w:r w:rsidRPr="0060259D">
        <w:rPr>
          <w:sz w:val="24"/>
          <w:szCs w:val="24"/>
        </w:rPr>
        <w:t>“</w:t>
      </w:r>
      <w:r w:rsidRPr="000707B9">
        <w:rPr>
          <w:sz w:val="24"/>
          <w:szCs w:val="24"/>
        </w:rPr>
        <w:t>Wage Stagnation in Nine Charts.</w:t>
      </w:r>
      <w:r w:rsidRPr="0060259D">
        <w:rPr>
          <w:sz w:val="24"/>
          <w:szCs w:val="24"/>
        </w:rPr>
        <w:t>”</w:t>
      </w:r>
      <w:r w:rsidRPr="000707B9">
        <w:rPr>
          <w:sz w:val="24"/>
          <w:szCs w:val="24"/>
        </w:rPr>
        <w:t xml:space="preserve"> </w:t>
      </w:r>
      <w:r w:rsidRPr="000707B9">
        <w:rPr>
          <w:i/>
          <w:iCs/>
          <w:sz w:val="24"/>
          <w:szCs w:val="24"/>
        </w:rPr>
        <w:t>Economic Policy Institute</w:t>
      </w:r>
      <w:r w:rsidRPr="000707B9">
        <w:rPr>
          <w:sz w:val="24"/>
          <w:szCs w:val="24"/>
        </w:rPr>
        <w:t xml:space="preserve">. https://www.epi.org/publication/charting-wage-stagnation/. </w:t>
      </w:r>
    </w:p>
    <w:p w14:paraId="4D9ABE52" w14:textId="77777777" w:rsidR="00053D35" w:rsidRPr="0060259D" w:rsidRDefault="00053D35" w:rsidP="00053D35">
      <w:pPr>
        <w:rPr>
          <w:sz w:val="24"/>
          <w:szCs w:val="24"/>
        </w:rPr>
      </w:pPr>
      <w:r w:rsidRPr="0060259D">
        <w:rPr>
          <w:sz w:val="24"/>
          <w:szCs w:val="24"/>
        </w:rPr>
        <w:t xml:space="preserve">Neumark, D., &amp; Wascher, W. (2000). “Minimum Wages and Employment: A Case Study of the Fast-Food Industry in New Jersey and Pennsylvania: Comment.” </w:t>
      </w:r>
      <w:r w:rsidRPr="0060259D">
        <w:rPr>
          <w:i/>
          <w:iCs/>
          <w:sz w:val="24"/>
          <w:szCs w:val="24"/>
        </w:rPr>
        <w:t>American Economic Review</w:t>
      </w:r>
      <w:r w:rsidRPr="0060259D">
        <w:rPr>
          <w:sz w:val="24"/>
          <w:szCs w:val="24"/>
        </w:rPr>
        <w:t xml:space="preserve">, </w:t>
      </w:r>
      <w:r w:rsidRPr="0060259D">
        <w:rPr>
          <w:i/>
          <w:iCs/>
          <w:sz w:val="24"/>
          <w:szCs w:val="24"/>
        </w:rPr>
        <w:t>90</w:t>
      </w:r>
      <w:r w:rsidRPr="0060259D">
        <w:rPr>
          <w:sz w:val="24"/>
          <w:szCs w:val="24"/>
        </w:rPr>
        <w:t xml:space="preserve">(5), 1362–1396. https://doi.org/10.1257/aer.90.5.1362 </w:t>
      </w:r>
    </w:p>
    <w:p w14:paraId="4484201D" w14:textId="77777777" w:rsidR="00053D35" w:rsidRPr="0060259D" w:rsidRDefault="00053D35" w:rsidP="00053D35">
      <w:pPr>
        <w:rPr>
          <w:sz w:val="24"/>
          <w:szCs w:val="24"/>
        </w:rPr>
      </w:pPr>
      <w:r w:rsidRPr="0060259D">
        <w:rPr>
          <w:sz w:val="24"/>
          <w:szCs w:val="24"/>
        </w:rPr>
        <w:t xml:space="preserve">Neumark, D., &amp; Wascher, W. (2006). “Minimum Wages and Employment: A Review of Evidence from the New Minimum Wage Research.” NBER Working Paper No. 12663. National Bureau of Economic Research. https://doi.org/10.3386/w12663 </w:t>
      </w:r>
    </w:p>
    <w:p w14:paraId="1BD0C796" w14:textId="77777777" w:rsidR="00053D35" w:rsidRPr="0060259D" w:rsidRDefault="00053D35" w:rsidP="00053D35">
      <w:pPr>
        <w:rPr>
          <w:sz w:val="24"/>
          <w:szCs w:val="24"/>
        </w:rPr>
      </w:pPr>
      <w:r w:rsidRPr="003015E7">
        <w:rPr>
          <w:sz w:val="24"/>
          <w:szCs w:val="24"/>
        </w:rPr>
        <w:t xml:space="preserve">Nunn, R., &amp; Shambaugh, J. (2020). “Whose wages are rising and why?” </w:t>
      </w:r>
      <w:r w:rsidRPr="003015E7">
        <w:rPr>
          <w:i/>
          <w:iCs/>
          <w:sz w:val="24"/>
          <w:szCs w:val="24"/>
        </w:rPr>
        <w:t>Brookings Institute</w:t>
      </w:r>
      <w:r w:rsidRPr="003015E7">
        <w:rPr>
          <w:sz w:val="24"/>
          <w:szCs w:val="24"/>
        </w:rPr>
        <w:t xml:space="preserve">. </w:t>
      </w:r>
      <w:hyperlink r:id="rId16" w:history="1">
        <w:r w:rsidRPr="003015E7">
          <w:rPr>
            <w:rStyle w:val="Hyperlink"/>
            <w:sz w:val="24"/>
            <w:szCs w:val="24"/>
          </w:rPr>
          <w:t>https://www.brookings.edu/policy2020/votervital/whose-wages-are-rising-and-why/</w:t>
        </w:r>
      </w:hyperlink>
    </w:p>
    <w:p w14:paraId="3385912C" w14:textId="77777777" w:rsidR="00053D35" w:rsidRPr="0060259D" w:rsidRDefault="00053D35" w:rsidP="00053D35">
      <w:pPr>
        <w:rPr>
          <w:sz w:val="24"/>
          <w:szCs w:val="24"/>
        </w:rPr>
      </w:pPr>
      <w:r w:rsidRPr="0060259D">
        <w:rPr>
          <w:sz w:val="24"/>
          <w:szCs w:val="24"/>
        </w:rPr>
        <w:t xml:space="preserve">Renkin, T., Montialoux, C., &amp; Siegenthaler, M. (2020). “The Pass-Through of Minimum Wages into US Retail Prices: Evidence from Supermarket Scanner Data.” </w:t>
      </w:r>
      <w:r w:rsidRPr="0060259D">
        <w:rPr>
          <w:i/>
          <w:iCs/>
          <w:sz w:val="24"/>
          <w:szCs w:val="24"/>
        </w:rPr>
        <w:t>The Review of Economics and Statistics</w:t>
      </w:r>
      <w:r w:rsidRPr="0060259D">
        <w:rPr>
          <w:sz w:val="24"/>
          <w:szCs w:val="24"/>
        </w:rPr>
        <w:t xml:space="preserve">, 1–99. https://doi.org/10.1162/rest_a_00981 </w:t>
      </w:r>
    </w:p>
    <w:p w14:paraId="261F09FF" w14:textId="77777777" w:rsidR="00053D35" w:rsidRPr="0060259D" w:rsidRDefault="00053D35" w:rsidP="00053D35">
      <w:pPr>
        <w:rPr>
          <w:sz w:val="24"/>
          <w:szCs w:val="24"/>
          <w:u w:val="single"/>
        </w:rPr>
      </w:pPr>
      <w:r w:rsidRPr="00874C9A">
        <w:rPr>
          <w:sz w:val="24"/>
          <w:szCs w:val="24"/>
        </w:rPr>
        <w:lastRenderedPageBreak/>
        <w:t xml:space="preserve">Siegel, R., &amp; Van Dam, A. (2020). “Minimum wage increases fueling faster wage growth for those at the bottom.” </w:t>
      </w:r>
      <w:r w:rsidRPr="00874C9A">
        <w:rPr>
          <w:i/>
          <w:iCs/>
          <w:sz w:val="24"/>
          <w:szCs w:val="24"/>
        </w:rPr>
        <w:t xml:space="preserve">Washington Post. </w:t>
      </w:r>
      <w:hyperlink r:id="rId17" w:history="1">
        <w:r w:rsidRPr="00874C9A">
          <w:rPr>
            <w:rStyle w:val="Hyperlink"/>
            <w:sz w:val="24"/>
            <w:szCs w:val="24"/>
          </w:rPr>
          <w:t>https://www.washingtonpost.com/business/2020/01/02/minimum-wage-increases-fueling-faster-wage-growth-those-bottom/</w:t>
        </w:r>
      </w:hyperlink>
    </w:p>
    <w:p w14:paraId="0FCF3A48" w14:textId="77777777" w:rsidR="00053D35" w:rsidRPr="0060259D" w:rsidRDefault="00053D35" w:rsidP="00053D35">
      <w:pPr>
        <w:rPr>
          <w:sz w:val="24"/>
          <w:szCs w:val="24"/>
        </w:rPr>
      </w:pPr>
      <w:r w:rsidRPr="0060259D">
        <w:rPr>
          <w:sz w:val="24"/>
          <w:szCs w:val="24"/>
        </w:rPr>
        <w:t xml:space="preserve">Stigler, G. J. (1946). “The Economics of Minimum Wage Legislation.” </w:t>
      </w:r>
      <w:r w:rsidRPr="0060259D">
        <w:rPr>
          <w:i/>
          <w:iCs/>
          <w:sz w:val="24"/>
          <w:szCs w:val="24"/>
        </w:rPr>
        <w:t>The American Economic Review</w:t>
      </w:r>
      <w:r w:rsidRPr="0060259D">
        <w:rPr>
          <w:sz w:val="24"/>
          <w:szCs w:val="24"/>
        </w:rPr>
        <w:t xml:space="preserve">, </w:t>
      </w:r>
      <w:r w:rsidRPr="0060259D">
        <w:rPr>
          <w:i/>
          <w:iCs/>
          <w:sz w:val="24"/>
          <w:szCs w:val="24"/>
        </w:rPr>
        <w:t>36</w:t>
      </w:r>
      <w:r w:rsidRPr="0060259D">
        <w:rPr>
          <w:sz w:val="24"/>
          <w:szCs w:val="24"/>
        </w:rPr>
        <w:t xml:space="preserve">(3), 358–365. https://www.jstor.org/stable/1801842 </w:t>
      </w:r>
    </w:p>
    <w:p w14:paraId="1BFB89F1" w14:textId="77777777" w:rsidR="00053D35" w:rsidRPr="0060259D" w:rsidRDefault="00053D35" w:rsidP="00053D35">
      <w:pPr>
        <w:rPr>
          <w:sz w:val="24"/>
          <w:szCs w:val="24"/>
        </w:rPr>
      </w:pPr>
      <w:r w:rsidRPr="0060259D">
        <w:rPr>
          <w:sz w:val="24"/>
          <w:szCs w:val="24"/>
        </w:rPr>
        <w:t>Vaghul, K., &amp; Zipperer, B. (2016). “Historical state and sub-state minimum wage data.” Washington Center for Equitable Growth. https://equitablegrowth.org/working-papers/historical-state-and-sub-state-minimum-wage-data/</w:t>
      </w:r>
    </w:p>
    <w:p w14:paraId="1BE7955B" w14:textId="77777777" w:rsidR="00053D35" w:rsidRDefault="00053D35" w:rsidP="00053D35">
      <w:r w:rsidRPr="0060259D">
        <w:rPr>
          <w:sz w:val="24"/>
          <w:szCs w:val="24"/>
        </w:rPr>
        <w:t>“</w:t>
      </w:r>
      <w:r w:rsidRPr="003E315F">
        <w:rPr>
          <w:sz w:val="24"/>
          <w:szCs w:val="24"/>
        </w:rPr>
        <w:t>Wage Growth Tracker.</w:t>
      </w:r>
      <w:r w:rsidRPr="0060259D">
        <w:rPr>
          <w:sz w:val="24"/>
          <w:szCs w:val="24"/>
        </w:rPr>
        <w:t>”</w:t>
      </w:r>
      <w:r w:rsidRPr="003E315F">
        <w:rPr>
          <w:sz w:val="24"/>
          <w:szCs w:val="24"/>
        </w:rPr>
        <w:t xml:space="preserve"> </w:t>
      </w:r>
      <w:r w:rsidRPr="003E315F">
        <w:rPr>
          <w:i/>
          <w:iCs/>
          <w:sz w:val="24"/>
          <w:szCs w:val="24"/>
        </w:rPr>
        <w:t>Federal Reserve Bank of Atlanta</w:t>
      </w:r>
      <w:r w:rsidRPr="003E315F">
        <w:rPr>
          <w:sz w:val="24"/>
          <w:szCs w:val="24"/>
        </w:rPr>
        <w:t>. (2019). https://www.atlantafed.org/chcs/wage-growth-tracker?panel=1</w:t>
      </w:r>
      <w:r w:rsidRPr="003E315F">
        <w:t xml:space="preserve">. </w:t>
      </w:r>
      <w:r>
        <w:t xml:space="preserve"> </w:t>
      </w:r>
    </w:p>
    <w:p w14:paraId="1E597D62" w14:textId="77777777" w:rsidR="00053D35" w:rsidRDefault="00053D35" w:rsidP="00053D35"/>
    <w:p w14:paraId="6A2BCA5A" w14:textId="77777777" w:rsidR="00053D35" w:rsidRDefault="00053D35" w:rsidP="00053D35"/>
    <w:p w14:paraId="2CFECFEA" w14:textId="77777777" w:rsidR="00053D35" w:rsidRDefault="00053D35" w:rsidP="00053D35"/>
    <w:p w14:paraId="467B0917" w14:textId="77777777" w:rsidR="00053D35" w:rsidRDefault="00053D35" w:rsidP="00053D35"/>
    <w:p w14:paraId="7918A353" w14:textId="77777777" w:rsidR="00053D35" w:rsidRDefault="00053D35" w:rsidP="00053D35"/>
    <w:p w14:paraId="413E9D8A" w14:textId="77777777" w:rsidR="00053D35" w:rsidRDefault="00053D35" w:rsidP="00053D35"/>
    <w:p w14:paraId="1A2E90AD" w14:textId="77777777" w:rsidR="00053D35" w:rsidRDefault="00053D35" w:rsidP="00053D35"/>
    <w:p w14:paraId="0770F2A6" w14:textId="77777777" w:rsidR="00053D35" w:rsidRDefault="00053D35" w:rsidP="00053D35"/>
    <w:p w14:paraId="13198DD1" w14:textId="77777777" w:rsidR="00053D35" w:rsidRDefault="00053D35" w:rsidP="00053D35"/>
    <w:p w14:paraId="566257A7" w14:textId="77777777" w:rsidR="00053D35" w:rsidRDefault="00053D35" w:rsidP="00053D35"/>
    <w:p w14:paraId="15C97B83" w14:textId="77777777" w:rsidR="00053D35" w:rsidRDefault="00053D35" w:rsidP="00053D35"/>
    <w:p w14:paraId="6D93FBE5" w14:textId="77777777" w:rsidR="00053D35" w:rsidRDefault="00053D35" w:rsidP="00053D35"/>
    <w:p w14:paraId="61337FF1" w14:textId="77777777" w:rsidR="00053D35" w:rsidRDefault="00053D35" w:rsidP="00053D35"/>
    <w:p w14:paraId="0FC03538" w14:textId="77777777" w:rsidR="00053D35" w:rsidRDefault="00053D35" w:rsidP="00053D35"/>
    <w:p w14:paraId="5BC651B3" w14:textId="77777777" w:rsidR="00053D35" w:rsidRDefault="00053D35" w:rsidP="00053D35"/>
    <w:p w14:paraId="62392E3F" w14:textId="77777777" w:rsidR="00053D35" w:rsidRDefault="00053D35" w:rsidP="00053D35"/>
    <w:p w14:paraId="46B00825" w14:textId="77777777" w:rsidR="00053D35" w:rsidRDefault="00053D35" w:rsidP="00053D35"/>
    <w:p w14:paraId="6A354470" w14:textId="77777777" w:rsidR="00053D35" w:rsidRDefault="00053D35" w:rsidP="00053D35"/>
    <w:p w14:paraId="188F6417" w14:textId="77777777" w:rsidR="00053D35" w:rsidRDefault="00053D35" w:rsidP="00053D35"/>
    <w:p w14:paraId="1AC30615" w14:textId="77777777" w:rsidR="00053D35" w:rsidRDefault="00053D35" w:rsidP="00053D35"/>
    <w:p w14:paraId="44DCE4CE" w14:textId="6F6B150E" w:rsidR="00463F3D" w:rsidRDefault="00463F3D" w:rsidP="00463F3D">
      <w:pPr>
        <w:pStyle w:val="Heading1"/>
        <w:numPr>
          <w:ilvl w:val="0"/>
          <w:numId w:val="18"/>
        </w:numPr>
        <w:spacing w:line="480" w:lineRule="auto"/>
      </w:pPr>
      <w:bookmarkStart w:id="37" w:name="_Toc71466060"/>
      <w:r>
        <w:lastRenderedPageBreak/>
        <w:t>Appendix</w:t>
      </w:r>
      <w:bookmarkEnd w:id="37"/>
      <w:r>
        <w:t xml:space="preserve"> </w:t>
      </w:r>
    </w:p>
    <w:p w14:paraId="5F13788E" w14:textId="7712DC43" w:rsidR="00DB2C60" w:rsidRPr="00C64B2C" w:rsidRDefault="00DB2C60" w:rsidP="00DB2C60">
      <w:pPr>
        <w:widowControl w:val="0"/>
        <w:autoSpaceDE w:val="0"/>
        <w:autoSpaceDN w:val="0"/>
        <w:adjustRightInd w:val="0"/>
        <w:spacing w:after="0" w:line="240" w:lineRule="auto"/>
        <w:rPr>
          <w:rFonts w:eastAsia="Times New Roman" w:cstheme="minorHAnsi"/>
          <w:sz w:val="28"/>
          <w:szCs w:val="28"/>
        </w:rPr>
      </w:pPr>
      <w:r w:rsidRPr="00C64B2C">
        <w:rPr>
          <w:rFonts w:eastAsia="Times New Roman" w:cstheme="minorHAnsi"/>
          <w:b/>
          <w:bCs/>
          <w:sz w:val="28"/>
          <w:szCs w:val="28"/>
        </w:rPr>
        <w:t xml:space="preserve">Table </w:t>
      </w:r>
      <w:r w:rsidR="00974B3C">
        <w:rPr>
          <w:rFonts w:eastAsia="Times New Roman" w:cstheme="minorHAnsi"/>
          <w:b/>
          <w:bCs/>
          <w:sz w:val="28"/>
          <w:szCs w:val="28"/>
        </w:rPr>
        <w:t>A</w:t>
      </w:r>
      <w:r w:rsidR="00A403D6">
        <w:rPr>
          <w:rFonts w:eastAsia="Times New Roman" w:cstheme="minorHAnsi"/>
          <w:b/>
          <w:bCs/>
          <w:sz w:val="28"/>
          <w:szCs w:val="28"/>
        </w:rPr>
        <w:t>1</w:t>
      </w:r>
      <w:r w:rsidRPr="00C64B2C">
        <w:rPr>
          <w:rFonts w:eastAsia="Times New Roman" w:cstheme="minorHAnsi"/>
          <w:b/>
          <w:bCs/>
          <w:sz w:val="28"/>
          <w:szCs w:val="28"/>
        </w:rPr>
        <w:t xml:space="preserve">: </w:t>
      </w:r>
      <w:r w:rsidR="00804BEC">
        <w:rPr>
          <w:rFonts w:eastAsia="Times New Roman" w:cstheme="minorHAnsi"/>
          <w:b/>
          <w:bCs/>
          <w:sz w:val="28"/>
          <w:szCs w:val="28"/>
        </w:rPr>
        <w:t>State Minimum Wages</w:t>
      </w:r>
      <w:r w:rsidRPr="00C64B2C">
        <w:rPr>
          <w:rFonts w:eastAsia="Times New Roman" w:cstheme="minorHAnsi"/>
          <w:b/>
          <w:bCs/>
          <w:sz w:val="28"/>
          <w:szCs w:val="28"/>
        </w:rPr>
        <w:t xml:space="preserve"> </w:t>
      </w:r>
    </w:p>
    <w:tbl>
      <w:tblPr>
        <w:tblW w:w="5007" w:type="pct"/>
        <w:tblLayout w:type="fixed"/>
        <w:tblLook w:val="0000" w:firstRow="0" w:lastRow="0" w:firstColumn="0" w:lastColumn="0" w:noHBand="0" w:noVBand="0"/>
      </w:tblPr>
      <w:tblGrid>
        <w:gridCol w:w="2520"/>
        <w:gridCol w:w="1889"/>
        <w:gridCol w:w="2250"/>
        <w:gridCol w:w="1878"/>
        <w:gridCol w:w="236"/>
        <w:gridCol w:w="227"/>
        <w:gridCol w:w="13"/>
      </w:tblGrid>
      <w:tr w:rsidR="00AB635C" w:rsidRPr="00C64B2C" w14:paraId="60A5A1C3" w14:textId="77777777" w:rsidTr="00B52FDF">
        <w:trPr>
          <w:trHeight w:val="764"/>
        </w:trPr>
        <w:tc>
          <w:tcPr>
            <w:tcW w:w="1398" w:type="pct"/>
            <w:tcBorders>
              <w:top w:val="single" w:sz="4" w:space="0" w:color="auto"/>
              <w:left w:val="nil"/>
              <w:bottom w:val="single" w:sz="10" w:space="0" w:color="auto"/>
              <w:right w:val="nil"/>
            </w:tcBorders>
          </w:tcPr>
          <w:p w14:paraId="0904CFAF" w14:textId="5F70B39A" w:rsidR="00DB2C60" w:rsidRPr="00FF3CDD" w:rsidRDefault="00DB2C60" w:rsidP="002320EF">
            <w:pPr>
              <w:widowControl w:val="0"/>
              <w:autoSpaceDE w:val="0"/>
              <w:autoSpaceDN w:val="0"/>
              <w:adjustRightInd w:val="0"/>
              <w:spacing w:after="0" w:line="240" w:lineRule="auto"/>
              <w:rPr>
                <w:rFonts w:eastAsia="Times New Roman" w:cstheme="minorHAnsi"/>
                <w:sz w:val="28"/>
                <w:szCs w:val="28"/>
              </w:rPr>
            </w:pPr>
            <w:r w:rsidRPr="00FF3CDD">
              <w:rPr>
                <w:rFonts w:eastAsia="Times New Roman" w:cstheme="minorHAnsi"/>
                <w:sz w:val="40"/>
                <w:szCs w:val="40"/>
              </w:rPr>
              <w:t xml:space="preserve"> </w:t>
            </w:r>
            <w:r w:rsidR="00E04622" w:rsidRPr="00FF3CDD">
              <w:rPr>
                <w:rFonts w:eastAsia="Times New Roman" w:cstheme="minorHAnsi"/>
                <w:sz w:val="28"/>
                <w:szCs w:val="28"/>
              </w:rPr>
              <w:t>State</w:t>
            </w:r>
          </w:p>
        </w:tc>
        <w:tc>
          <w:tcPr>
            <w:tcW w:w="1048" w:type="pct"/>
            <w:tcBorders>
              <w:top w:val="single" w:sz="4" w:space="0" w:color="auto"/>
              <w:left w:val="nil"/>
              <w:bottom w:val="single" w:sz="10" w:space="0" w:color="auto"/>
              <w:right w:val="nil"/>
            </w:tcBorders>
          </w:tcPr>
          <w:p w14:paraId="18A015DD" w14:textId="67CAB12B" w:rsidR="00DB2C60" w:rsidRPr="00C64B2C" w:rsidRDefault="00804BEC" w:rsidP="00E623D8">
            <w:pPr>
              <w:widowControl w:val="0"/>
              <w:autoSpaceDE w:val="0"/>
              <w:autoSpaceDN w:val="0"/>
              <w:adjustRightInd w:val="0"/>
              <w:spacing w:after="0" w:line="240" w:lineRule="auto"/>
              <w:rPr>
                <w:rFonts w:eastAsia="Times New Roman" w:cstheme="minorHAnsi"/>
                <w:sz w:val="24"/>
                <w:szCs w:val="24"/>
              </w:rPr>
            </w:pPr>
            <w:r>
              <w:rPr>
                <w:rFonts w:eastAsia="Times New Roman" w:cstheme="minorHAnsi"/>
                <w:sz w:val="24"/>
                <w:szCs w:val="24"/>
              </w:rPr>
              <w:t>Number</w:t>
            </w:r>
            <w:r w:rsidR="00E838F7" w:rsidRPr="00C64B2C">
              <w:rPr>
                <w:rFonts w:eastAsia="Times New Roman" w:cstheme="minorHAnsi"/>
                <w:sz w:val="24"/>
                <w:szCs w:val="24"/>
              </w:rPr>
              <w:t xml:space="preserve"> of minimum wage</w:t>
            </w:r>
            <w:r>
              <w:rPr>
                <w:rFonts w:eastAsia="Times New Roman" w:cstheme="minorHAnsi"/>
                <w:sz w:val="24"/>
                <w:szCs w:val="24"/>
              </w:rPr>
              <w:t>s</w:t>
            </w:r>
            <w:r w:rsidR="00E838F7" w:rsidRPr="00C64B2C">
              <w:rPr>
                <w:rFonts w:eastAsia="Times New Roman" w:cstheme="minorHAnsi"/>
                <w:sz w:val="24"/>
                <w:szCs w:val="24"/>
              </w:rPr>
              <w:t xml:space="preserve"> </w:t>
            </w:r>
          </w:p>
        </w:tc>
        <w:tc>
          <w:tcPr>
            <w:tcW w:w="1248" w:type="pct"/>
            <w:tcBorders>
              <w:top w:val="single" w:sz="4" w:space="0" w:color="auto"/>
              <w:left w:val="nil"/>
              <w:bottom w:val="single" w:sz="10" w:space="0" w:color="auto"/>
              <w:right w:val="nil"/>
            </w:tcBorders>
          </w:tcPr>
          <w:p w14:paraId="507375FB" w14:textId="4762D263" w:rsidR="00DB2C60" w:rsidRPr="00FF3CDD" w:rsidRDefault="00E04622" w:rsidP="007A2003">
            <w:pPr>
              <w:widowControl w:val="0"/>
              <w:autoSpaceDE w:val="0"/>
              <w:autoSpaceDN w:val="0"/>
              <w:adjustRightInd w:val="0"/>
              <w:spacing w:after="0" w:line="240" w:lineRule="auto"/>
              <w:rPr>
                <w:rFonts w:eastAsia="Times New Roman" w:cstheme="minorHAnsi"/>
                <w:sz w:val="28"/>
                <w:szCs w:val="28"/>
              </w:rPr>
            </w:pPr>
            <w:r w:rsidRPr="00FF3CDD">
              <w:rPr>
                <w:rFonts w:eastAsia="Times New Roman" w:cstheme="minorHAnsi"/>
                <w:sz w:val="28"/>
                <w:szCs w:val="28"/>
              </w:rPr>
              <w:t>State</w:t>
            </w:r>
          </w:p>
        </w:tc>
        <w:tc>
          <w:tcPr>
            <w:tcW w:w="1042" w:type="pct"/>
            <w:tcBorders>
              <w:top w:val="single" w:sz="4" w:space="0" w:color="auto"/>
              <w:left w:val="nil"/>
              <w:bottom w:val="single" w:sz="10" w:space="0" w:color="auto"/>
              <w:right w:val="nil"/>
            </w:tcBorders>
          </w:tcPr>
          <w:p w14:paraId="78820EF3" w14:textId="2B12ED0F" w:rsidR="00E838F7" w:rsidRPr="00C64B2C" w:rsidRDefault="00FF3CDD" w:rsidP="00FF3CDD">
            <w:pPr>
              <w:widowControl w:val="0"/>
              <w:autoSpaceDE w:val="0"/>
              <w:autoSpaceDN w:val="0"/>
              <w:adjustRightInd w:val="0"/>
              <w:spacing w:after="0" w:line="240" w:lineRule="auto"/>
              <w:rPr>
                <w:rFonts w:eastAsia="Times New Roman" w:cstheme="minorHAnsi"/>
                <w:sz w:val="24"/>
                <w:szCs w:val="24"/>
              </w:rPr>
            </w:pPr>
            <w:r>
              <w:rPr>
                <w:rFonts w:eastAsia="Times New Roman" w:cstheme="minorHAnsi"/>
                <w:sz w:val="24"/>
                <w:szCs w:val="24"/>
              </w:rPr>
              <w:t xml:space="preserve">Number </w:t>
            </w:r>
            <w:r w:rsidRPr="00C64B2C">
              <w:rPr>
                <w:rFonts w:eastAsia="Times New Roman" w:cstheme="minorHAnsi"/>
                <w:sz w:val="24"/>
                <w:szCs w:val="24"/>
              </w:rPr>
              <w:t>of</w:t>
            </w:r>
            <w:r w:rsidR="00E838F7" w:rsidRPr="00C64B2C">
              <w:rPr>
                <w:rFonts w:eastAsia="Times New Roman" w:cstheme="minorHAnsi"/>
                <w:sz w:val="24"/>
                <w:szCs w:val="24"/>
              </w:rPr>
              <w:t xml:space="preserve"> minimum wage</w:t>
            </w:r>
            <w:r w:rsidR="00804BEC">
              <w:rPr>
                <w:rFonts w:eastAsia="Times New Roman" w:cstheme="minorHAnsi"/>
                <w:sz w:val="24"/>
                <w:szCs w:val="24"/>
              </w:rPr>
              <w:t>s</w:t>
            </w:r>
          </w:p>
        </w:tc>
        <w:tc>
          <w:tcPr>
            <w:tcW w:w="131" w:type="pct"/>
            <w:tcBorders>
              <w:top w:val="single" w:sz="4" w:space="0" w:color="auto"/>
              <w:left w:val="nil"/>
              <w:bottom w:val="single" w:sz="10" w:space="0" w:color="auto"/>
              <w:right w:val="nil"/>
            </w:tcBorders>
          </w:tcPr>
          <w:p w14:paraId="30846847" w14:textId="60AFC863" w:rsidR="00DB2C60" w:rsidRPr="00C64B2C" w:rsidRDefault="00DB2C60"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single" w:sz="4" w:space="0" w:color="auto"/>
              <w:left w:val="nil"/>
              <w:bottom w:val="single" w:sz="10" w:space="0" w:color="auto"/>
              <w:right w:val="nil"/>
            </w:tcBorders>
          </w:tcPr>
          <w:p w14:paraId="62A14A20" w14:textId="2180AE69" w:rsidR="00DB2C60" w:rsidRPr="00C64B2C" w:rsidRDefault="00DB2C60"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11501B2E" w14:textId="77777777" w:rsidTr="00B52FDF">
        <w:trPr>
          <w:trHeight w:val="375"/>
        </w:trPr>
        <w:tc>
          <w:tcPr>
            <w:tcW w:w="1398" w:type="pct"/>
            <w:tcBorders>
              <w:top w:val="nil"/>
              <w:left w:val="nil"/>
              <w:bottom w:val="nil"/>
              <w:right w:val="nil"/>
            </w:tcBorders>
          </w:tcPr>
          <w:p w14:paraId="4D3BA482" w14:textId="1DAD0501" w:rsidR="0048697E" w:rsidRPr="00C64B2C" w:rsidRDefault="0048697E" w:rsidP="00D5782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Alabama</w:t>
            </w:r>
          </w:p>
        </w:tc>
        <w:tc>
          <w:tcPr>
            <w:tcW w:w="1048" w:type="pct"/>
            <w:tcBorders>
              <w:top w:val="nil"/>
              <w:left w:val="nil"/>
              <w:bottom w:val="nil"/>
              <w:right w:val="nil"/>
            </w:tcBorders>
          </w:tcPr>
          <w:p w14:paraId="0422F3EF" w14:textId="23DD30C2" w:rsidR="0048697E" w:rsidRPr="00C64B2C" w:rsidRDefault="002C6493" w:rsidP="0048697E">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4BF4D018" w14:textId="18BC968D" w:rsidR="0048697E" w:rsidRPr="00C64B2C" w:rsidRDefault="007A2003" w:rsidP="006F6A5B">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Alaska</w:t>
            </w:r>
          </w:p>
        </w:tc>
        <w:tc>
          <w:tcPr>
            <w:tcW w:w="1042" w:type="pct"/>
            <w:tcBorders>
              <w:top w:val="nil"/>
              <w:left w:val="nil"/>
              <w:bottom w:val="nil"/>
              <w:right w:val="nil"/>
            </w:tcBorders>
          </w:tcPr>
          <w:p w14:paraId="09E0125F" w14:textId="5874A0DF" w:rsidR="0048697E" w:rsidRPr="00C64B2C" w:rsidRDefault="00C067EE"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13</w:t>
            </w:r>
          </w:p>
        </w:tc>
        <w:tc>
          <w:tcPr>
            <w:tcW w:w="131" w:type="pct"/>
            <w:tcBorders>
              <w:top w:val="nil"/>
              <w:left w:val="nil"/>
              <w:bottom w:val="nil"/>
              <w:right w:val="nil"/>
            </w:tcBorders>
          </w:tcPr>
          <w:p w14:paraId="742D7E55" w14:textId="7944E6FA"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10546916" w14:textId="52A75A6D"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192C70DD" w14:textId="77777777" w:rsidTr="00B52FDF">
        <w:trPr>
          <w:trHeight w:val="375"/>
        </w:trPr>
        <w:tc>
          <w:tcPr>
            <w:tcW w:w="1398" w:type="pct"/>
            <w:tcBorders>
              <w:top w:val="nil"/>
              <w:left w:val="nil"/>
              <w:bottom w:val="nil"/>
              <w:right w:val="nil"/>
            </w:tcBorders>
          </w:tcPr>
          <w:p w14:paraId="492F714D" w14:textId="090FD6EF" w:rsidR="0048697E" w:rsidRPr="00C64B2C" w:rsidRDefault="007A2003"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Arizona</w:t>
            </w:r>
          </w:p>
        </w:tc>
        <w:tc>
          <w:tcPr>
            <w:tcW w:w="1048" w:type="pct"/>
            <w:tcBorders>
              <w:top w:val="nil"/>
              <w:left w:val="nil"/>
              <w:bottom w:val="nil"/>
              <w:right w:val="nil"/>
            </w:tcBorders>
          </w:tcPr>
          <w:p w14:paraId="3C1A7CA7" w14:textId="474FCAA9" w:rsidR="0048697E" w:rsidRPr="00C64B2C" w:rsidRDefault="00C067EE" w:rsidP="0048697E">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16</w:t>
            </w:r>
          </w:p>
        </w:tc>
        <w:tc>
          <w:tcPr>
            <w:tcW w:w="1248" w:type="pct"/>
            <w:tcBorders>
              <w:top w:val="nil"/>
              <w:left w:val="nil"/>
              <w:bottom w:val="nil"/>
              <w:right w:val="nil"/>
            </w:tcBorders>
          </w:tcPr>
          <w:p w14:paraId="5F2CD8CD" w14:textId="4174803A" w:rsidR="0048697E" w:rsidRPr="00C64B2C" w:rsidRDefault="00925E63" w:rsidP="005A4E1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Arkansas</w:t>
            </w:r>
            <w:r w:rsidR="002C194D" w:rsidRPr="00C64B2C">
              <w:rPr>
                <w:rFonts w:eastAsia="Times New Roman" w:cstheme="minorHAnsi"/>
                <w:sz w:val="24"/>
                <w:szCs w:val="24"/>
              </w:rPr>
              <w:t xml:space="preserve"> </w:t>
            </w:r>
            <w:r w:rsidR="005A4E19" w:rsidRPr="00C64B2C">
              <w:rPr>
                <w:rFonts w:eastAsia="Times New Roman" w:cstheme="minorHAnsi"/>
                <w:sz w:val="24"/>
                <w:szCs w:val="24"/>
              </w:rPr>
              <w:t xml:space="preserve">  </w:t>
            </w:r>
          </w:p>
        </w:tc>
        <w:tc>
          <w:tcPr>
            <w:tcW w:w="1042" w:type="pct"/>
            <w:tcBorders>
              <w:top w:val="nil"/>
              <w:left w:val="nil"/>
              <w:bottom w:val="nil"/>
              <w:right w:val="nil"/>
            </w:tcBorders>
          </w:tcPr>
          <w:p w14:paraId="56860AE9" w14:textId="3D728D97" w:rsidR="0048697E" w:rsidRPr="00C64B2C" w:rsidRDefault="00C067EE"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12</w:t>
            </w:r>
          </w:p>
        </w:tc>
        <w:tc>
          <w:tcPr>
            <w:tcW w:w="131" w:type="pct"/>
            <w:tcBorders>
              <w:top w:val="nil"/>
              <w:left w:val="nil"/>
              <w:bottom w:val="nil"/>
              <w:right w:val="nil"/>
            </w:tcBorders>
          </w:tcPr>
          <w:p w14:paraId="6F5D6FB2" w14:textId="2A43D9B9"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E9304CF" w14:textId="635E0DCA"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563964DE" w14:textId="77777777" w:rsidTr="00B52FDF">
        <w:trPr>
          <w:trHeight w:val="375"/>
        </w:trPr>
        <w:tc>
          <w:tcPr>
            <w:tcW w:w="1398" w:type="pct"/>
            <w:tcBorders>
              <w:top w:val="nil"/>
              <w:left w:val="nil"/>
              <w:bottom w:val="nil"/>
              <w:right w:val="nil"/>
            </w:tcBorders>
          </w:tcPr>
          <w:p w14:paraId="58F284E8" w14:textId="74EEB82C" w:rsidR="0048697E" w:rsidRPr="00C64B2C" w:rsidRDefault="00925E63"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California</w:t>
            </w:r>
          </w:p>
        </w:tc>
        <w:tc>
          <w:tcPr>
            <w:tcW w:w="1048" w:type="pct"/>
            <w:tcBorders>
              <w:top w:val="nil"/>
              <w:left w:val="nil"/>
              <w:bottom w:val="nil"/>
              <w:right w:val="nil"/>
            </w:tcBorders>
          </w:tcPr>
          <w:p w14:paraId="6AE1A214" w14:textId="1E50415B" w:rsidR="0048697E" w:rsidRPr="00C64B2C" w:rsidRDefault="00D72F3B" w:rsidP="0048697E">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14</w:t>
            </w:r>
          </w:p>
        </w:tc>
        <w:tc>
          <w:tcPr>
            <w:tcW w:w="1248" w:type="pct"/>
            <w:tcBorders>
              <w:top w:val="nil"/>
              <w:left w:val="nil"/>
              <w:bottom w:val="nil"/>
              <w:right w:val="nil"/>
            </w:tcBorders>
          </w:tcPr>
          <w:p w14:paraId="6D13C562" w14:textId="3EA8D0EF" w:rsidR="0048697E" w:rsidRPr="00C64B2C" w:rsidRDefault="00925E63" w:rsidP="005A4E1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Colorado</w:t>
            </w:r>
          </w:p>
        </w:tc>
        <w:tc>
          <w:tcPr>
            <w:tcW w:w="1042" w:type="pct"/>
            <w:tcBorders>
              <w:top w:val="nil"/>
              <w:left w:val="nil"/>
              <w:bottom w:val="nil"/>
              <w:right w:val="nil"/>
            </w:tcBorders>
          </w:tcPr>
          <w:p w14:paraId="2A884500" w14:textId="685701DD" w:rsidR="0048697E" w:rsidRPr="00C64B2C" w:rsidRDefault="00D72F3B"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18</w:t>
            </w:r>
          </w:p>
        </w:tc>
        <w:tc>
          <w:tcPr>
            <w:tcW w:w="131" w:type="pct"/>
            <w:tcBorders>
              <w:top w:val="nil"/>
              <w:left w:val="nil"/>
              <w:bottom w:val="nil"/>
              <w:right w:val="nil"/>
            </w:tcBorders>
          </w:tcPr>
          <w:p w14:paraId="48CBE957" w14:textId="28C2AC71"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51C38E5D" w14:textId="080451CC"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1E118585" w14:textId="77777777" w:rsidTr="00B52FDF">
        <w:trPr>
          <w:trHeight w:val="375"/>
        </w:trPr>
        <w:tc>
          <w:tcPr>
            <w:tcW w:w="1398" w:type="pct"/>
            <w:tcBorders>
              <w:top w:val="nil"/>
              <w:left w:val="nil"/>
              <w:bottom w:val="nil"/>
              <w:right w:val="nil"/>
            </w:tcBorders>
          </w:tcPr>
          <w:p w14:paraId="72DF85BE" w14:textId="47E28619" w:rsidR="0048697E" w:rsidRPr="00C64B2C" w:rsidRDefault="00925E63"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Connecticut</w:t>
            </w:r>
          </w:p>
        </w:tc>
        <w:tc>
          <w:tcPr>
            <w:tcW w:w="1048" w:type="pct"/>
            <w:tcBorders>
              <w:top w:val="nil"/>
              <w:left w:val="nil"/>
              <w:bottom w:val="nil"/>
              <w:right w:val="nil"/>
            </w:tcBorders>
          </w:tcPr>
          <w:p w14:paraId="041AB5D9" w14:textId="359B930C" w:rsidR="0048697E" w:rsidRPr="00C64B2C" w:rsidRDefault="00D72F3B" w:rsidP="0048697E">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19</w:t>
            </w:r>
          </w:p>
        </w:tc>
        <w:tc>
          <w:tcPr>
            <w:tcW w:w="1248" w:type="pct"/>
            <w:tcBorders>
              <w:top w:val="nil"/>
              <w:left w:val="nil"/>
              <w:bottom w:val="nil"/>
              <w:right w:val="nil"/>
            </w:tcBorders>
          </w:tcPr>
          <w:p w14:paraId="0FBF07FF" w14:textId="542C160D" w:rsidR="0048697E" w:rsidRPr="00C64B2C" w:rsidRDefault="00925E63" w:rsidP="005A4E1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Delaware</w:t>
            </w:r>
          </w:p>
        </w:tc>
        <w:tc>
          <w:tcPr>
            <w:tcW w:w="1042" w:type="pct"/>
            <w:tcBorders>
              <w:top w:val="nil"/>
              <w:left w:val="nil"/>
              <w:bottom w:val="nil"/>
              <w:right w:val="nil"/>
            </w:tcBorders>
          </w:tcPr>
          <w:p w14:paraId="2EA28406" w14:textId="7E02667F" w:rsidR="0048697E" w:rsidRPr="00C64B2C" w:rsidRDefault="00DC0867"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16</w:t>
            </w:r>
          </w:p>
        </w:tc>
        <w:tc>
          <w:tcPr>
            <w:tcW w:w="131" w:type="pct"/>
            <w:tcBorders>
              <w:top w:val="nil"/>
              <w:left w:val="nil"/>
              <w:bottom w:val="nil"/>
              <w:right w:val="nil"/>
            </w:tcBorders>
          </w:tcPr>
          <w:p w14:paraId="2BAFB179" w14:textId="6DE7979C"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0E3839E4" w14:textId="4F5E40C5"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6F920B07" w14:textId="77777777" w:rsidTr="00B52FDF">
        <w:trPr>
          <w:trHeight w:val="375"/>
        </w:trPr>
        <w:tc>
          <w:tcPr>
            <w:tcW w:w="1398" w:type="pct"/>
            <w:tcBorders>
              <w:top w:val="nil"/>
              <w:left w:val="nil"/>
              <w:bottom w:val="nil"/>
              <w:right w:val="nil"/>
            </w:tcBorders>
          </w:tcPr>
          <w:p w14:paraId="213C00CE" w14:textId="496D7559" w:rsidR="0048697E" w:rsidRPr="00C64B2C" w:rsidRDefault="004E15CA" w:rsidP="00044DAE">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District of Columbia</w:t>
            </w:r>
          </w:p>
        </w:tc>
        <w:tc>
          <w:tcPr>
            <w:tcW w:w="1048" w:type="pct"/>
            <w:tcBorders>
              <w:top w:val="nil"/>
              <w:left w:val="nil"/>
              <w:bottom w:val="nil"/>
              <w:right w:val="nil"/>
            </w:tcBorders>
          </w:tcPr>
          <w:p w14:paraId="15F7AF3D" w14:textId="071FBBD3" w:rsidR="0048697E" w:rsidRPr="00C64B2C" w:rsidRDefault="00D72F3B" w:rsidP="0048697E">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w:t>
            </w:r>
            <w:r w:rsidR="00EB29C7" w:rsidRPr="00C64B2C">
              <w:rPr>
                <w:rFonts w:eastAsia="Times New Roman" w:cstheme="minorHAnsi"/>
                <w:sz w:val="24"/>
                <w:szCs w:val="24"/>
              </w:rPr>
              <w:t>4</w:t>
            </w:r>
          </w:p>
        </w:tc>
        <w:tc>
          <w:tcPr>
            <w:tcW w:w="1248" w:type="pct"/>
            <w:tcBorders>
              <w:top w:val="nil"/>
              <w:left w:val="nil"/>
              <w:bottom w:val="nil"/>
              <w:right w:val="nil"/>
            </w:tcBorders>
          </w:tcPr>
          <w:p w14:paraId="5A0A66D0" w14:textId="32A459A6" w:rsidR="0048697E" w:rsidRPr="00C64B2C" w:rsidRDefault="004E15CA" w:rsidP="005A4E1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Florida</w:t>
            </w:r>
          </w:p>
        </w:tc>
        <w:tc>
          <w:tcPr>
            <w:tcW w:w="1042" w:type="pct"/>
            <w:tcBorders>
              <w:top w:val="nil"/>
              <w:left w:val="nil"/>
              <w:bottom w:val="nil"/>
              <w:right w:val="nil"/>
            </w:tcBorders>
          </w:tcPr>
          <w:p w14:paraId="5C17277B" w14:textId="4CFE93C8" w:rsidR="0048697E" w:rsidRPr="00C64B2C" w:rsidRDefault="00EB29C7"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19</w:t>
            </w:r>
          </w:p>
        </w:tc>
        <w:tc>
          <w:tcPr>
            <w:tcW w:w="131" w:type="pct"/>
            <w:tcBorders>
              <w:top w:val="nil"/>
              <w:left w:val="nil"/>
              <w:bottom w:val="nil"/>
              <w:right w:val="nil"/>
            </w:tcBorders>
          </w:tcPr>
          <w:p w14:paraId="7F52856D" w14:textId="4B5D790D"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1BD5AE72" w14:textId="68B037E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24405AA3" w14:textId="77777777" w:rsidTr="00B52FDF">
        <w:trPr>
          <w:trHeight w:val="375"/>
        </w:trPr>
        <w:tc>
          <w:tcPr>
            <w:tcW w:w="1398" w:type="pct"/>
            <w:tcBorders>
              <w:top w:val="nil"/>
              <w:left w:val="nil"/>
              <w:bottom w:val="nil"/>
              <w:right w:val="nil"/>
            </w:tcBorders>
          </w:tcPr>
          <w:p w14:paraId="5DA0380E" w14:textId="6EB24A4E" w:rsidR="0048697E" w:rsidRPr="00C64B2C" w:rsidRDefault="00BD344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Georgia</w:t>
            </w:r>
          </w:p>
        </w:tc>
        <w:tc>
          <w:tcPr>
            <w:tcW w:w="1048" w:type="pct"/>
            <w:tcBorders>
              <w:top w:val="nil"/>
              <w:left w:val="nil"/>
              <w:bottom w:val="nil"/>
              <w:right w:val="nil"/>
            </w:tcBorders>
          </w:tcPr>
          <w:p w14:paraId="66936393" w14:textId="4C9AC28B" w:rsidR="0048697E" w:rsidRPr="00C64B2C" w:rsidRDefault="00EB29C7" w:rsidP="00D72F3B">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3F5FED39" w14:textId="113117BA" w:rsidR="0048697E" w:rsidRPr="00C64B2C" w:rsidRDefault="00BD3447" w:rsidP="005A4E1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Hawaii</w:t>
            </w:r>
          </w:p>
        </w:tc>
        <w:tc>
          <w:tcPr>
            <w:tcW w:w="1042" w:type="pct"/>
            <w:tcBorders>
              <w:top w:val="nil"/>
              <w:left w:val="nil"/>
              <w:bottom w:val="nil"/>
              <w:right w:val="nil"/>
            </w:tcBorders>
          </w:tcPr>
          <w:p w14:paraId="5E1C6FFC" w14:textId="3254936A" w:rsidR="0048697E" w:rsidRPr="00C64B2C" w:rsidRDefault="00B966B7"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12</w:t>
            </w:r>
          </w:p>
        </w:tc>
        <w:tc>
          <w:tcPr>
            <w:tcW w:w="131" w:type="pct"/>
            <w:tcBorders>
              <w:top w:val="nil"/>
              <w:left w:val="nil"/>
              <w:bottom w:val="nil"/>
              <w:right w:val="nil"/>
            </w:tcBorders>
          </w:tcPr>
          <w:p w14:paraId="0400ECF1"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328E9D96"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07613DAF" w14:textId="77777777" w:rsidTr="00B52FDF">
        <w:trPr>
          <w:trHeight w:val="375"/>
        </w:trPr>
        <w:tc>
          <w:tcPr>
            <w:tcW w:w="1398" w:type="pct"/>
            <w:tcBorders>
              <w:top w:val="nil"/>
              <w:left w:val="nil"/>
              <w:bottom w:val="nil"/>
              <w:right w:val="nil"/>
            </w:tcBorders>
          </w:tcPr>
          <w:p w14:paraId="25AD715E" w14:textId="456E7100" w:rsidR="0048697E" w:rsidRPr="00C64B2C" w:rsidRDefault="00BD344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Idaho</w:t>
            </w:r>
          </w:p>
        </w:tc>
        <w:tc>
          <w:tcPr>
            <w:tcW w:w="1048" w:type="pct"/>
            <w:tcBorders>
              <w:top w:val="nil"/>
              <w:left w:val="nil"/>
              <w:bottom w:val="nil"/>
              <w:right w:val="nil"/>
            </w:tcBorders>
          </w:tcPr>
          <w:p w14:paraId="09E2EB02" w14:textId="71A82418" w:rsidR="0048697E" w:rsidRPr="00C64B2C" w:rsidRDefault="00B966B7" w:rsidP="00B966B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615E669E" w14:textId="1D0D79E1" w:rsidR="0048697E" w:rsidRPr="00C64B2C" w:rsidRDefault="00BD3447" w:rsidP="005A4E1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Illinois</w:t>
            </w:r>
          </w:p>
        </w:tc>
        <w:tc>
          <w:tcPr>
            <w:tcW w:w="1042" w:type="pct"/>
            <w:tcBorders>
              <w:top w:val="nil"/>
              <w:left w:val="nil"/>
              <w:bottom w:val="nil"/>
              <w:right w:val="nil"/>
            </w:tcBorders>
          </w:tcPr>
          <w:p w14:paraId="7D93B2C1" w14:textId="201825A9" w:rsidR="0048697E" w:rsidRPr="00C64B2C" w:rsidRDefault="00B966B7"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11</w:t>
            </w:r>
          </w:p>
        </w:tc>
        <w:tc>
          <w:tcPr>
            <w:tcW w:w="131" w:type="pct"/>
            <w:tcBorders>
              <w:top w:val="nil"/>
              <w:left w:val="nil"/>
              <w:bottom w:val="nil"/>
              <w:right w:val="nil"/>
            </w:tcBorders>
          </w:tcPr>
          <w:p w14:paraId="263DA3E1"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25C4BBB1"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17A0B620" w14:textId="77777777" w:rsidTr="00B52FDF">
        <w:trPr>
          <w:trHeight w:val="375"/>
        </w:trPr>
        <w:tc>
          <w:tcPr>
            <w:tcW w:w="1398" w:type="pct"/>
            <w:tcBorders>
              <w:top w:val="nil"/>
              <w:left w:val="nil"/>
              <w:bottom w:val="nil"/>
              <w:right w:val="nil"/>
            </w:tcBorders>
          </w:tcPr>
          <w:p w14:paraId="4190542F" w14:textId="2C736C24" w:rsidR="0048697E" w:rsidRPr="00C64B2C" w:rsidRDefault="00BD344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Indiana</w:t>
            </w:r>
          </w:p>
        </w:tc>
        <w:tc>
          <w:tcPr>
            <w:tcW w:w="1048" w:type="pct"/>
            <w:tcBorders>
              <w:top w:val="nil"/>
              <w:left w:val="nil"/>
              <w:bottom w:val="nil"/>
              <w:right w:val="nil"/>
            </w:tcBorders>
          </w:tcPr>
          <w:p w14:paraId="58FA6FBB" w14:textId="57E6A60F" w:rsidR="0048697E" w:rsidRPr="00C64B2C" w:rsidRDefault="00181EB5" w:rsidP="00B966B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1A9D3EEA" w14:textId="5A0B5C37" w:rsidR="0048697E" w:rsidRPr="00C64B2C" w:rsidRDefault="00BD3447" w:rsidP="00A402D1">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Iowa</w:t>
            </w:r>
          </w:p>
        </w:tc>
        <w:tc>
          <w:tcPr>
            <w:tcW w:w="1042" w:type="pct"/>
            <w:tcBorders>
              <w:top w:val="nil"/>
              <w:left w:val="nil"/>
              <w:bottom w:val="nil"/>
              <w:right w:val="nil"/>
            </w:tcBorders>
          </w:tcPr>
          <w:p w14:paraId="1D8352A7" w14:textId="467D6C15" w:rsidR="0048697E" w:rsidRPr="00C64B2C" w:rsidRDefault="00181EB5"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31" w:type="pct"/>
            <w:tcBorders>
              <w:top w:val="nil"/>
              <w:left w:val="nil"/>
              <w:bottom w:val="nil"/>
              <w:right w:val="nil"/>
            </w:tcBorders>
          </w:tcPr>
          <w:p w14:paraId="52069A9F"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266AA50"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73ABC60" w14:textId="77777777" w:rsidTr="00B52FDF">
        <w:trPr>
          <w:trHeight w:val="375"/>
        </w:trPr>
        <w:tc>
          <w:tcPr>
            <w:tcW w:w="1398" w:type="pct"/>
            <w:tcBorders>
              <w:top w:val="nil"/>
              <w:left w:val="nil"/>
              <w:bottom w:val="nil"/>
              <w:right w:val="nil"/>
            </w:tcBorders>
          </w:tcPr>
          <w:p w14:paraId="42E9A2FE" w14:textId="569A899B" w:rsidR="0048697E" w:rsidRPr="00C64B2C" w:rsidRDefault="006E5C36"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Kansas</w:t>
            </w:r>
          </w:p>
        </w:tc>
        <w:tc>
          <w:tcPr>
            <w:tcW w:w="1048" w:type="pct"/>
            <w:tcBorders>
              <w:top w:val="nil"/>
              <w:left w:val="nil"/>
              <w:bottom w:val="nil"/>
              <w:right w:val="nil"/>
            </w:tcBorders>
          </w:tcPr>
          <w:p w14:paraId="181EC850" w14:textId="54A84B47" w:rsidR="0048697E" w:rsidRPr="00C64B2C" w:rsidRDefault="00181EB5" w:rsidP="00181EB5">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6FF756F6" w14:textId="008FAD3C" w:rsidR="0048697E" w:rsidRPr="00C64B2C" w:rsidRDefault="006E5C36" w:rsidP="00A402D1">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Kentucky</w:t>
            </w:r>
          </w:p>
        </w:tc>
        <w:tc>
          <w:tcPr>
            <w:tcW w:w="1042" w:type="pct"/>
            <w:tcBorders>
              <w:top w:val="nil"/>
              <w:left w:val="nil"/>
              <w:bottom w:val="nil"/>
              <w:right w:val="nil"/>
            </w:tcBorders>
          </w:tcPr>
          <w:p w14:paraId="7ED01A84" w14:textId="575CC0FA" w:rsidR="0048697E" w:rsidRPr="00C64B2C" w:rsidRDefault="00181EB5"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31" w:type="pct"/>
            <w:tcBorders>
              <w:top w:val="nil"/>
              <w:left w:val="nil"/>
              <w:bottom w:val="nil"/>
              <w:right w:val="nil"/>
            </w:tcBorders>
          </w:tcPr>
          <w:p w14:paraId="1096439A"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FAC11FB"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18CB428C" w14:textId="77777777" w:rsidTr="00B52FDF">
        <w:trPr>
          <w:trHeight w:val="375"/>
        </w:trPr>
        <w:tc>
          <w:tcPr>
            <w:tcW w:w="1398" w:type="pct"/>
            <w:tcBorders>
              <w:top w:val="nil"/>
              <w:left w:val="nil"/>
              <w:bottom w:val="nil"/>
              <w:right w:val="nil"/>
            </w:tcBorders>
          </w:tcPr>
          <w:p w14:paraId="3FFED572" w14:textId="6DDEAF47" w:rsidR="0048697E" w:rsidRPr="00C64B2C" w:rsidRDefault="006E5C36"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Louisiana</w:t>
            </w:r>
          </w:p>
        </w:tc>
        <w:tc>
          <w:tcPr>
            <w:tcW w:w="1048" w:type="pct"/>
            <w:tcBorders>
              <w:top w:val="nil"/>
              <w:left w:val="nil"/>
              <w:bottom w:val="nil"/>
              <w:right w:val="nil"/>
            </w:tcBorders>
          </w:tcPr>
          <w:p w14:paraId="2E4F5F3D" w14:textId="1C641D06" w:rsidR="0048697E" w:rsidRPr="00C64B2C" w:rsidRDefault="00181EB5" w:rsidP="00181EB5">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3605856C" w14:textId="14065148" w:rsidR="0048697E" w:rsidRPr="00C64B2C" w:rsidRDefault="006E5C36" w:rsidP="00A402D1">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Maine</w:t>
            </w:r>
          </w:p>
        </w:tc>
        <w:tc>
          <w:tcPr>
            <w:tcW w:w="1042" w:type="pct"/>
            <w:tcBorders>
              <w:top w:val="nil"/>
              <w:left w:val="nil"/>
              <w:bottom w:val="nil"/>
              <w:right w:val="nil"/>
            </w:tcBorders>
          </w:tcPr>
          <w:p w14:paraId="0CDC470C" w14:textId="4F2BA686" w:rsidR="0048697E" w:rsidRPr="00C64B2C" w:rsidRDefault="00181EB5"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16</w:t>
            </w:r>
          </w:p>
        </w:tc>
        <w:tc>
          <w:tcPr>
            <w:tcW w:w="131" w:type="pct"/>
            <w:tcBorders>
              <w:top w:val="nil"/>
              <w:left w:val="nil"/>
              <w:bottom w:val="nil"/>
              <w:right w:val="nil"/>
            </w:tcBorders>
          </w:tcPr>
          <w:p w14:paraId="799E3D6B"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46A73C90"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E4E0CCE" w14:textId="77777777" w:rsidTr="00B52FDF">
        <w:trPr>
          <w:trHeight w:val="375"/>
        </w:trPr>
        <w:tc>
          <w:tcPr>
            <w:tcW w:w="1398" w:type="pct"/>
            <w:tcBorders>
              <w:top w:val="nil"/>
              <w:left w:val="nil"/>
              <w:bottom w:val="nil"/>
              <w:right w:val="nil"/>
            </w:tcBorders>
          </w:tcPr>
          <w:p w14:paraId="78400E2E" w14:textId="377F5D8F" w:rsidR="0048697E" w:rsidRPr="00C64B2C" w:rsidRDefault="004B19C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Maryland</w:t>
            </w:r>
          </w:p>
        </w:tc>
        <w:tc>
          <w:tcPr>
            <w:tcW w:w="1048" w:type="pct"/>
            <w:tcBorders>
              <w:top w:val="nil"/>
              <w:left w:val="nil"/>
              <w:bottom w:val="nil"/>
              <w:right w:val="nil"/>
            </w:tcBorders>
          </w:tcPr>
          <w:p w14:paraId="4C6CEB2E" w14:textId="7586320E" w:rsidR="0048697E" w:rsidRPr="00C64B2C" w:rsidRDefault="005527BC" w:rsidP="00181EB5">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13</w:t>
            </w:r>
          </w:p>
        </w:tc>
        <w:tc>
          <w:tcPr>
            <w:tcW w:w="1248" w:type="pct"/>
            <w:tcBorders>
              <w:top w:val="nil"/>
              <w:left w:val="nil"/>
              <w:bottom w:val="nil"/>
              <w:right w:val="nil"/>
            </w:tcBorders>
          </w:tcPr>
          <w:p w14:paraId="09870FEB" w14:textId="1B9DB704" w:rsidR="0048697E" w:rsidRPr="00C64B2C" w:rsidRDefault="004B19C7" w:rsidP="00A402D1">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Massachusetts</w:t>
            </w:r>
          </w:p>
        </w:tc>
        <w:tc>
          <w:tcPr>
            <w:tcW w:w="1042" w:type="pct"/>
            <w:tcBorders>
              <w:top w:val="nil"/>
              <w:left w:val="nil"/>
              <w:bottom w:val="nil"/>
              <w:right w:val="nil"/>
            </w:tcBorders>
          </w:tcPr>
          <w:p w14:paraId="1D7A536F" w14:textId="534F4E1D" w:rsidR="0048697E" w:rsidRPr="00C64B2C" w:rsidRDefault="005527BC"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13</w:t>
            </w:r>
          </w:p>
        </w:tc>
        <w:tc>
          <w:tcPr>
            <w:tcW w:w="131" w:type="pct"/>
            <w:tcBorders>
              <w:top w:val="nil"/>
              <w:left w:val="nil"/>
              <w:bottom w:val="nil"/>
              <w:right w:val="nil"/>
            </w:tcBorders>
          </w:tcPr>
          <w:p w14:paraId="78DF917A"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33DCF274"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6FDCAE13" w14:textId="77777777" w:rsidTr="00B52FDF">
        <w:trPr>
          <w:trHeight w:val="375"/>
        </w:trPr>
        <w:tc>
          <w:tcPr>
            <w:tcW w:w="1398" w:type="pct"/>
            <w:tcBorders>
              <w:top w:val="nil"/>
              <w:left w:val="nil"/>
              <w:bottom w:val="nil"/>
              <w:right w:val="nil"/>
            </w:tcBorders>
          </w:tcPr>
          <w:p w14:paraId="6115E026" w14:textId="09E3402F" w:rsidR="0048697E" w:rsidRPr="00C64B2C" w:rsidRDefault="004B19C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Michigan</w:t>
            </w:r>
          </w:p>
        </w:tc>
        <w:tc>
          <w:tcPr>
            <w:tcW w:w="1048" w:type="pct"/>
            <w:tcBorders>
              <w:top w:val="nil"/>
              <w:left w:val="nil"/>
              <w:bottom w:val="nil"/>
              <w:right w:val="nil"/>
            </w:tcBorders>
          </w:tcPr>
          <w:p w14:paraId="1F44F9CF" w14:textId="19D46418" w:rsidR="0048697E" w:rsidRPr="00C64B2C" w:rsidRDefault="00284168" w:rsidP="005527BC">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13</w:t>
            </w:r>
          </w:p>
        </w:tc>
        <w:tc>
          <w:tcPr>
            <w:tcW w:w="1248" w:type="pct"/>
            <w:tcBorders>
              <w:top w:val="nil"/>
              <w:left w:val="nil"/>
              <w:bottom w:val="nil"/>
              <w:right w:val="nil"/>
            </w:tcBorders>
          </w:tcPr>
          <w:p w14:paraId="3430322C" w14:textId="23689FC3" w:rsidR="0048697E" w:rsidRPr="00C64B2C" w:rsidRDefault="002578C2" w:rsidP="004B19C7">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Minnesota</w:t>
            </w:r>
          </w:p>
        </w:tc>
        <w:tc>
          <w:tcPr>
            <w:tcW w:w="1042" w:type="pct"/>
            <w:tcBorders>
              <w:top w:val="nil"/>
              <w:left w:val="nil"/>
              <w:bottom w:val="nil"/>
              <w:right w:val="nil"/>
            </w:tcBorders>
          </w:tcPr>
          <w:p w14:paraId="38018FC3" w14:textId="0DDB6475" w:rsidR="0048697E" w:rsidRPr="00C64B2C" w:rsidRDefault="00284168"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13</w:t>
            </w:r>
          </w:p>
        </w:tc>
        <w:tc>
          <w:tcPr>
            <w:tcW w:w="131" w:type="pct"/>
            <w:tcBorders>
              <w:top w:val="nil"/>
              <w:left w:val="nil"/>
              <w:bottom w:val="nil"/>
              <w:right w:val="nil"/>
            </w:tcBorders>
          </w:tcPr>
          <w:p w14:paraId="2EF4F426"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06471426"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4FA3DD77" w14:textId="77777777" w:rsidTr="00B52FDF">
        <w:trPr>
          <w:trHeight w:val="375"/>
        </w:trPr>
        <w:tc>
          <w:tcPr>
            <w:tcW w:w="1398" w:type="pct"/>
            <w:tcBorders>
              <w:top w:val="nil"/>
              <w:left w:val="nil"/>
              <w:bottom w:val="nil"/>
              <w:right w:val="nil"/>
            </w:tcBorders>
          </w:tcPr>
          <w:p w14:paraId="701138E9" w14:textId="769A79B5" w:rsidR="0048697E" w:rsidRPr="00C64B2C" w:rsidRDefault="002578C2"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Mississippi</w:t>
            </w:r>
          </w:p>
        </w:tc>
        <w:tc>
          <w:tcPr>
            <w:tcW w:w="1048" w:type="pct"/>
            <w:tcBorders>
              <w:top w:val="nil"/>
              <w:left w:val="nil"/>
              <w:bottom w:val="nil"/>
              <w:right w:val="nil"/>
            </w:tcBorders>
          </w:tcPr>
          <w:p w14:paraId="5FC12DDE" w14:textId="2717014D" w:rsidR="0048697E" w:rsidRPr="00C64B2C" w:rsidRDefault="007915F9" w:rsidP="00284168">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110974CB" w14:textId="2A251222" w:rsidR="0048697E" w:rsidRPr="00C64B2C" w:rsidRDefault="00D52EC8" w:rsidP="002578C2">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Missouri</w:t>
            </w:r>
          </w:p>
        </w:tc>
        <w:tc>
          <w:tcPr>
            <w:tcW w:w="1042" w:type="pct"/>
            <w:tcBorders>
              <w:top w:val="nil"/>
              <w:left w:val="nil"/>
              <w:bottom w:val="nil"/>
              <w:right w:val="nil"/>
            </w:tcBorders>
          </w:tcPr>
          <w:p w14:paraId="32D24CBD" w14:textId="7BB7F20D"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15</w:t>
            </w:r>
          </w:p>
        </w:tc>
        <w:tc>
          <w:tcPr>
            <w:tcW w:w="131" w:type="pct"/>
            <w:tcBorders>
              <w:top w:val="nil"/>
              <w:left w:val="nil"/>
              <w:bottom w:val="nil"/>
              <w:right w:val="nil"/>
            </w:tcBorders>
          </w:tcPr>
          <w:p w14:paraId="48D6C2F4"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7201F1BD"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B25917D" w14:textId="77777777" w:rsidTr="00B52FDF">
        <w:trPr>
          <w:trHeight w:val="375"/>
        </w:trPr>
        <w:tc>
          <w:tcPr>
            <w:tcW w:w="1398" w:type="pct"/>
            <w:tcBorders>
              <w:top w:val="nil"/>
              <w:left w:val="nil"/>
              <w:bottom w:val="nil"/>
              <w:right w:val="nil"/>
            </w:tcBorders>
          </w:tcPr>
          <w:p w14:paraId="64C71635" w14:textId="1CD570CF" w:rsidR="0048697E" w:rsidRPr="00C64B2C" w:rsidRDefault="00D52EC8"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Montana</w:t>
            </w:r>
          </w:p>
        </w:tc>
        <w:tc>
          <w:tcPr>
            <w:tcW w:w="1048" w:type="pct"/>
            <w:tcBorders>
              <w:top w:val="nil"/>
              <w:left w:val="nil"/>
              <w:bottom w:val="nil"/>
              <w:right w:val="nil"/>
            </w:tcBorders>
          </w:tcPr>
          <w:p w14:paraId="44ABCE7D" w14:textId="28420F05"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18</w:t>
            </w:r>
          </w:p>
        </w:tc>
        <w:tc>
          <w:tcPr>
            <w:tcW w:w="1248" w:type="pct"/>
            <w:tcBorders>
              <w:top w:val="nil"/>
              <w:left w:val="nil"/>
              <w:bottom w:val="nil"/>
              <w:right w:val="nil"/>
            </w:tcBorders>
          </w:tcPr>
          <w:p w14:paraId="0E1D6615" w14:textId="55C98870" w:rsidR="0048697E" w:rsidRPr="00C64B2C" w:rsidRDefault="00D52EC8" w:rsidP="00D52EC8">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Nebraska</w:t>
            </w:r>
          </w:p>
        </w:tc>
        <w:tc>
          <w:tcPr>
            <w:tcW w:w="1042" w:type="pct"/>
            <w:tcBorders>
              <w:top w:val="nil"/>
              <w:left w:val="nil"/>
              <w:bottom w:val="nil"/>
              <w:right w:val="nil"/>
            </w:tcBorders>
          </w:tcPr>
          <w:p w14:paraId="18E1F0D9" w14:textId="025C21A2"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10</w:t>
            </w:r>
          </w:p>
        </w:tc>
        <w:tc>
          <w:tcPr>
            <w:tcW w:w="131" w:type="pct"/>
            <w:tcBorders>
              <w:top w:val="nil"/>
              <w:left w:val="nil"/>
              <w:bottom w:val="nil"/>
              <w:right w:val="nil"/>
            </w:tcBorders>
          </w:tcPr>
          <w:p w14:paraId="2EE177AB"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1AB8B5DD"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6E73459D" w14:textId="77777777" w:rsidTr="00B52FDF">
        <w:trPr>
          <w:trHeight w:val="375"/>
        </w:trPr>
        <w:tc>
          <w:tcPr>
            <w:tcW w:w="1398" w:type="pct"/>
            <w:tcBorders>
              <w:top w:val="nil"/>
              <w:left w:val="nil"/>
              <w:bottom w:val="nil"/>
              <w:right w:val="nil"/>
            </w:tcBorders>
          </w:tcPr>
          <w:p w14:paraId="375B387F" w14:textId="40DD834A" w:rsidR="0048697E" w:rsidRPr="00C64B2C" w:rsidRDefault="006D68C0"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Nevada</w:t>
            </w:r>
          </w:p>
        </w:tc>
        <w:tc>
          <w:tcPr>
            <w:tcW w:w="1048" w:type="pct"/>
            <w:tcBorders>
              <w:top w:val="nil"/>
              <w:left w:val="nil"/>
              <w:bottom w:val="nil"/>
              <w:right w:val="nil"/>
            </w:tcBorders>
          </w:tcPr>
          <w:p w14:paraId="41932D17" w14:textId="74316DD9"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10</w:t>
            </w:r>
          </w:p>
        </w:tc>
        <w:tc>
          <w:tcPr>
            <w:tcW w:w="1248" w:type="pct"/>
            <w:tcBorders>
              <w:top w:val="nil"/>
              <w:left w:val="nil"/>
              <w:bottom w:val="nil"/>
              <w:right w:val="nil"/>
            </w:tcBorders>
          </w:tcPr>
          <w:p w14:paraId="463593BC" w14:textId="74E8C602" w:rsidR="0048697E" w:rsidRPr="00C64B2C" w:rsidRDefault="006D68C0" w:rsidP="006D68C0">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New Hampshire</w:t>
            </w:r>
          </w:p>
        </w:tc>
        <w:tc>
          <w:tcPr>
            <w:tcW w:w="1042" w:type="pct"/>
            <w:tcBorders>
              <w:top w:val="nil"/>
              <w:left w:val="nil"/>
              <w:bottom w:val="nil"/>
              <w:right w:val="nil"/>
            </w:tcBorders>
          </w:tcPr>
          <w:p w14:paraId="10717EF9" w14:textId="275018CB"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9</w:t>
            </w:r>
          </w:p>
        </w:tc>
        <w:tc>
          <w:tcPr>
            <w:tcW w:w="131" w:type="pct"/>
            <w:tcBorders>
              <w:top w:val="nil"/>
              <w:left w:val="nil"/>
              <w:bottom w:val="nil"/>
              <w:right w:val="nil"/>
            </w:tcBorders>
          </w:tcPr>
          <w:p w14:paraId="6D20CA9B"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1E098656"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74097A2E" w14:textId="77777777" w:rsidTr="00B52FDF">
        <w:trPr>
          <w:trHeight w:val="375"/>
        </w:trPr>
        <w:tc>
          <w:tcPr>
            <w:tcW w:w="1398" w:type="pct"/>
            <w:tcBorders>
              <w:top w:val="nil"/>
              <w:left w:val="nil"/>
              <w:bottom w:val="nil"/>
              <w:right w:val="nil"/>
            </w:tcBorders>
          </w:tcPr>
          <w:p w14:paraId="1F7762B8" w14:textId="3159FC7D" w:rsidR="0048697E" w:rsidRPr="00C64B2C" w:rsidRDefault="006D68C0"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New Jersey</w:t>
            </w:r>
          </w:p>
        </w:tc>
        <w:tc>
          <w:tcPr>
            <w:tcW w:w="1048" w:type="pct"/>
            <w:tcBorders>
              <w:top w:val="nil"/>
              <w:left w:val="nil"/>
              <w:bottom w:val="nil"/>
              <w:right w:val="nil"/>
            </w:tcBorders>
          </w:tcPr>
          <w:p w14:paraId="4212FE5E" w14:textId="4861B277"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14</w:t>
            </w:r>
          </w:p>
        </w:tc>
        <w:tc>
          <w:tcPr>
            <w:tcW w:w="1248" w:type="pct"/>
            <w:tcBorders>
              <w:top w:val="nil"/>
              <w:left w:val="nil"/>
              <w:bottom w:val="nil"/>
              <w:right w:val="nil"/>
            </w:tcBorders>
          </w:tcPr>
          <w:p w14:paraId="6DB52799" w14:textId="7D476CB8" w:rsidR="0048697E" w:rsidRPr="00C64B2C" w:rsidRDefault="00404CB9" w:rsidP="00404CB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New Mexico</w:t>
            </w:r>
          </w:p>
        </w:tc>
        <w:tc>
          <w:tcPr>
            <w:tcW w:w="1042" w:type="pct"/>
            <w:tcBorders>
              <w:top w:val="nil"/>
              <w:left w:val="nil"/>
              <w:bottom w:val="nil"/>
              <w:right w:val="nil"/>
            </w:tcBorders>
          </w:tcPr>
          <w:p w14:paraId="59BD1569" w14:textId="67085579"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9</w:t>
            </w:r>
          </w:p>
        </w:tc>
        <w:tc>
          <w:tcPr>
            <w:tcW w:w="131" w:type="pct"/>
            <w:tcBorders>
              <w:top w:val="nil"/>
              <w:left w:val="nil"/>
              <w:bottom w:val="nil"/>
              <w:right w:val="nil"/>
            </w:tcBorders>
          </w:tcPr>
          <w:p w14:paraId="45EB4EA9"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F358A59"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60988E6D" w14:textId="77777777" w:rsidTr="00B52FDF">
        <w:trPr>
          <w:trHeight w:val="375"/>
        </w:trPr>
        <w:tc>
          <w:tcPr>
            <w:tcW w:w="1398" w:type="pct"/>
            <w:tcBorders>
              <w:top w:val="nil"/>
              <w:left w:val="nil"/>
              <w:bottom w:val="nil"/>
              <w:right w:val="nil"/>
            </w:tcBorders>
          </w:tcPr>
          <w:p w14:paraId="000B1599" w14:textId="6BC85102" w:rsidR="0048697E" w:rsidRPr="00C64B2C" w:rsidRDefault="00404CB9"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New York</w:t>
            </w:r>
          </w:p>
        </w:tc>
        <w:tc>
          <w:tcPr>
            <w:tcW w:w="1048" w:type="pct"/>
            <w:tcBorders>
              <w:top w:val="nil"/>
              <w:left w:val="nil"/>
              <w:bottom w:val="nil"/>
              <w:right w:val="nil"/>
            </w:tcBorders>
          </w:tcPr>
          <w:p w14:paraId="444844C1" w14:textId="065EEB42"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15</w:t>
            </w:r>
          </w:p>
        </w:tc>
        <w:tc>
          <w:tcPr>
            <w:tcW w:w="1248" w:type="pct"/>
            <w:tcBorders>
              <w:top w:val="nil"/>
              <w:left w:val="nil"/>
              <w:bottom w:val="nil"/>
              <w:right w:val="nil"/>
            </w:tcBorders>
          </w:tcPr>
          <w:p w14:paraId="23828678" w14:textId="1D28D18C" w:rsidR="0048697E" w:rsidRPr="00C64B2C" w:rsidRDefault="00404CB9" w:rsidP="00404CB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North Carolina</w:t>
            </w:r>
          </w:p>
        </w:tc>
        <w:tc>
          <w:tcPr>
            <w:tcW w:w="1042" w:type="pct"/>
            <w:tcBorders>
              <w:top w:val="nil"/>
              <w:left w:val="nil"/>
              <w:bottom w:val="nil"/>
              <w:right w:val="nil"/>
            </w:tcBorders>
          </w:tcPr>
          <w:p w14:paraId="616D6F5A" w14:textId="0273FF39"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31" w:type="pct"/>
            <w:tcBorders>
              <w:top w:val="nil"/>
              <w:left w:val="nil"/>
              <w:bottom w:val="nil"/>
              <w:right w:val="nil"/>
            </w:tcBorders>
          </w:tcPr>
          <w:p w14:paraId="3E55ADA8"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77F3D753"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57AAA708" w14:textId="77777777" w:rsidTr="00B52FDF">
        <w:trPr>
          <w:trHeight w:val="375"/>
        </w:trPr>
        <w:tc>
          <w:tcPr>
            <w:tcW w:w="1398" w:type="pct"/>
            <w:tcBorders>
              <w:top w:val="nil"/>
              <w:left w:val="nil"/>
              <w:bottom w:val="nil"/>
              <w:right w:val="nil"/>
            </w:tcBorders>
          </w:tcPr>
          <w:p w14:paraId="67A332E4" w14:textId="0049BC11" w:rsidR="0048697E" w:rsidRPr="00C64B2C" w:rsidRDefault="00767F2A"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North Dakota</w:t>
            </w:r>
          </w:p>
        </w:tc>
        <w:tc>
          <w:tcPr>
            <w:tcW w:w="1048" w:type="pct"/>
            <w:tcBorders>
              <w:top w:val="nil"/>
              <w:left w:val="nil"/>
              <w:bottom w:val="nil"/>
              <w:right w:val="nil"/>
            </w:tcBorders>
          </w:tcPr>
          <w:p w14:paraId="7AE44179" w14:textId="3712E2AF"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9</w:t>
            </w:r>
          </w:p>
        </w:tc>
        <w:tc>
          <w:tcPr>
            <w:tcW w:w="1248" w:type="pct"/>
            <w:tcBorders>
              <w:top w:val="nil"/>
              <w:left w:val="nil"/>
              <w:bottom w:val="nil"/>
              <w:right w:val="nil"/>
            </w:tcBorders>
          </w:tcPr>
          <w:p w14:paraId="21B0A756" w14:textId="5955FA18" w:rsidR="0048697E" w:rsidRPr="00C64B2C" w:rsidRDefault="00767F2A" w:rsidP="00767F2A">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Ohio</w:t>
            </w:r>
          </w:p>
        </w:tc>
        <w:tc>
          <w:tcPr>
            <w:tcW w:w="1042" w:type="pct"/>
            <w:tcBorders>
              <w:top w:val="nil"/>
              <w:left w:val="nil"/>
              <w:bottom w:val="nil"/>
              <w:right w:val="nil"/>
            </w:tcBorders>
          </w:tcPr>
          <w:p w14:paraId="111042C5" w14:textId="0E786A99"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16</w:t>
            </w:r>
          </w:p>
        </w:tc>
        <w:tc>
          <w:tcPr>
            <w:tcW w:w="131" w:type="pct"/>
            <w:tcBorders>
              <w:top w:val="nil"/>
              <w:left w:val="nil"/>
              <w:bottom w:val="nil"/>
              <w:right w:val="nil"/>
            </w:tcBorders>
          </w:tcPr>
          <w:p w14:paraId="37DE3FB5"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43EC8CF"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DA6E0F6" w14:textId="77777777" w:rsidTr="00B52FDF">
        <w:trPr>
          <w:trHeight w:val="375"/>
        </w:trPr>
        <w:tc>
          <w:tcPr>
            <w:tcW w:w="1398" w:type="pct"/>
            <w:tcBorders>
              <w:top w:val="nil"/>
              <w:left w:val="nil"/>
              <w:bottom w:val="nil"/>
              <w:right w:val="nil"/>
            </w:tcBorders>
          </w:tcPr>
          <w:p w14:paraId="5E979BC0" w14:textId="7AF8602D" w:rsidR="0048697E" w:rsidRPr="00C64B2C" w:rsidRDefault="00767F2A"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Oklahoma</w:t>
            </w:r>
          </w:p>
        </w:tc>
        <w:tc>
          <w:tcPr>
            <w:tcW w:w="1048" w:type="pct"/>
            <w:tcBorders>
              <w:top w:val="nil"/>
              <w:left w:val="nil"/>
              <w:bottom w:val="nil"/>
              <w:right w:val="nil"/>
            </w:tcBorders>
          </w:tcPr>
          <w:p w14:paraId="793F0092" w14:textId="3C9E15DF"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0105C97E" w14:textId="59A22671" w:rsidR="0048697E" w:rsidRPr="00C64B2C" w:rsidRDefault="00150DB7" w:rsidP="00150DB7">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Oregon</w:t>
            </w:r>
          </w:p>
        </w:tc>
        <w:tc>
          <w:tcPr>
            <w:tcW w:w="1042" w:type="pct"/>
            <w:tcBorders>
              <w:top w:val="nil"/>
              <w:left w:val="nil"/>
              <w:bottom w:val="nil"/>
              <w:right w:val="nil"/>
            </w:tcBorders>
          </w:tcPr>
          <w:p w14:paraId="560FA257" w14:textId="50A859E5"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23</w:t>
            </w:r>
          </w:p>
        </w:tc>
        <w:tc>
          <w:tcPr>
            <w:tcW w:w="131" w:type="pct"/>
            <w:tcBorders>
              <w:top w:val="nil"/>
              <w:left w:val="nil"/>
              <w:bottom w:val="nil"/>
              <w:right w:val="nil"/>
            </w:tcBorders>
          </w:tcPr>
          <w:p w14:paraId="30D3CCF5"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486AA0C7"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85681BB" w14:textId="77777777" w:rsidTr="00B52FDF">
        <w:trPr>
          <w:trHeight w:val="375"/>
        </w:trPr>
        <w:tc>
          <w:tcPr>
            <w:tcW w:w="1398" w:type="pct"/>
            <w:tcBorders>
              <w:top w:val="nil"/>
              <w:left w:val="nil"/>
              <w:bottom w:val="nil"/>
              <w:right w:val="nil"/>
            </w:tcBorders>
          </w:tcPr>
          <w:p w14:paraId="775CA1D1" w14:textId="1113B3B6" w:rsidR="0048697E" w:rsidRPr="00C64B2C" w:rsidRDefault="00150DB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Pennsylvania</w:t>
            </w:r>
          </w:p>
        </w:tc>
        <w:tc>
          <w:tcPr>
            <w:tcW w:w="1048" w:type="pct"/>
            <w:tcBorders>
              <w:top w:val="nil"/>
              <w:left w:val="nil"/>
              <w:bottom w:val="nil"/>
              <w:right w:val="nil"/>
            </w:tcBorders>
          </w:tcPr>
          <w:p w14:paraId="37B8C2C4" w14:textId="658D7F34"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4614AC26" w14:textId="507FB97F" w:rsidR="0048697E" w:rsidRPr="00C64B2C" w:rsidRDefault="00150DB7" w:rsidP="00150DB7">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Rhode Island</w:t>
            </w:r>
          </w:p>
        </w:tc>
        <w:tc>
          <w:tcPr>
            <w:tcW w:w="1042" w:type="pct"/>
            <w:tcBorders>
              <w:top w:val="nil"/>
              <w:left w:val="nil"/>
              <w:bottom w:val="nil"/>
              <w:right w:val="nil"/>
            </w:tcBorders>
          </w:tcPr>
          <w:p w14:paraId="221D0A91" w14:textId="7A656E5B" w:rsidR="0048697E" w:rsidRPr="00C64B2C" w:rsidRDefault="007915F9"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16</w:t>
            </w:r>
          </w:p>
        </w:tc>
        <w:tc>
          <w:tcPr>
            <w:tcW w:w="131" w:type="pct"/>
            <w:tcBorders>
              <w:top w:val="nil"/>
              <w:left w:val="nil"/>
              <w:bottom w:val="nil"/>
              <w:right w:val="nil"/>
            </w:tcBorders>
          </w:tcPr>
          <w:p w14:paraId="4F2B3192"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47198029"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2F79937" w14:textId="77777777" w:rsidTr="00B52FDF">
        <w:trPr>
          <w:trHeight w:val="375"/>
        </w:trPr>
        <w:tc>
          <w:tcPr>
            <w:tcW w:w="1398" w:type="pct"/>
            <w:tcBorders>
              <w:top w:val="nil"/>
              <w:left w:val="nil"/>
              <w:bottom w:val="nil"/>
              <w:right w:val="nil"/>
            </w:tcBorders>
          </w:tcPr>
          <w:p w14:paraId="3018E87F" w14:textId="6E97D691" w:rsidR="0048697E" w:rsidRPr="00C64B2C" w:rsidRDefault="00150DB7"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South Carolina</w:t>
            </w:r>
          </w:p>
        </w:tc>
        <w:tc>
          <w:tcPr>
            <w:tcW w:w="1048" w:type="pct"/>
            <w:tcBorders>
              <w:top w:val="nil"/>
              <w:left w:val="nil"/>
              <w:bottom w:val="nil"/>
              <w:right w:val="nil"/>
            </w:tcBorders>
          </w:tcPr>
          <w:p w14:paraId="469C287A" w14:textId="20478988" w:rsidR="0048697E" w:rsidRPr="00C64B2C" w:rsidRDefault="007915F9" w:rsidP="007915F9">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6FC9B013" w14:textId="69810B35" w:rsidR="0048697E" w:rsidRPr="00C64B2C" w:rsidRDefault="00793D99" w:rsidP="00793D9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South Dakota</w:t>
            </w:r>
          </w:p>
        </w:tc>
        <w:tc>
          <w:tcPr>
            <w:tcW w:w="1042" w:type="pct"/>
            <w:tcBorders>
              <w:top w:val="nil"/>
              <w:left w:val="nil"/>
              <w:bottom w:val="nil"/>
              <w:right w:val="nil"/>
            </w:tcBorders>
          </w:tcPr>
          <w:p w14:paraId="2774CE5A" w14:textId="0FDC51E3" w:rsidR="0048697E" w:rsidRPr="00C64B2C" w:rsidRDefault="00C97551"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13</w:t>
            </w:r>
          </w:p>
        </w:tc>
        <w:tc>
          <w:tcPr>
            <w:tcW w:w="131" w:type="pct"/>
            <w:tcBorders>
              <w:top w:val="nil"/>
              <w:left w:val="nil"/>
              <w:bottom w:val="nil"/>
              <w:right w:val="nil"/>
            </w:tcBorders>
          </w:tcPr>
          <w:p w14:paraId="471D1981"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4268364A"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3CD7D8CB" w14:textId="77777777" w:rsidTr="00B52FDF">
        <w:trPr>
          <w:trHeight w:val="375"/>
        </w:trPr>
        <w:tc>
          <w:tcPr>
            <w:tcW w:w="1398" w:type="pct"/>
            <w:tcBorders>
              <w:top w:val="nil"/>
              <w:left w:val="nil"/>
              <w:bottom w:val="nil"/>
              <w:right w:val="nil"/>
            </w:tcBorders>
          </w:tcPr>
          <w:p w14:paraId="356315D6" w14:textId="7E7A6948" w:rsidR="0048697E" w:rsidRPr="00C64B2C" w:rsidRDefault="00793D99"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Tennessee</w:t>
            </w:r>
          </w:p>
        </w:tc>
        <w:tc>
          <w:tcPr>
            <w:tcW w:w="1048" w:type="pct"/>
            <w:tcBorders>
              <w:top w:val="nil"/>
              <w:left w:val="nil"/>
              <w:bottom w:val="nil"/>
              <w:right w:val="nil"/>
            </w:tcBorders>
          </w:tcPr>
          <w:p w14:paraId="3549817E" w14:textId="123E385A" w:rsidR="0048697E" w:rsidRPr="00C64B2C" w:rsidRDefault="00C97551" w:rsidP="00C97551">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5FF994F0" w14:textId="759A6FEB" w:rsidR="0048697E" w:rsidRPr="00C64B2C" w:rsidRDefault="00FD0D99" w:rsidP="00793D9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Texas</w:t>
            </w:r>
          </w:p>
        </w:tc>
        <w:tc>
          <w:tcPr>
            <w:tcW w:w="1042" w:type="pct"/>
            <w:tcBorders>
              <w:top w:val="nil"/>
              <w:left w:val="nil"/>
              <w:bottom w:val="nil"/>
              <w:right w:val="nil"/>
            </w:tcBorders>
          </w:tcPr>
          <w:p w14:paraId="04D3B70C" w14:textId="780481B9" w:rsidR="0048697E" w:rsidRPr="00C64B2C" w:rsidRDefault="00C97551"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31" w:type="pct"/>
            <w:tcBorders>
              <w:top w:val="nil"/>
              <w:left w:val="nil"/>
              <w:bottom w:val="nil"/>
              <w:right w:val="nil"/>
            </w:tcBorders>
          </w:tcPr>
          <w:p w14:paraId="49220480"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391384BB"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4A37B33A" w14:textId="77777777" w:rsidTr="00B52FDF">
        <w:trPr>
          <w:trHeight w:val="375"/>
        </w:trPr>
        <w:tc>
          <w:tcPr>
            <w:tcW w:w="1398" w:type="pct"/>
            <w:tcBorders>
              <w:top w:val="nil"/>
              <w:left w:val="nil"/>
              <w:bottom w:val="nil"/>
              <w:right w:val="nil"/>
            </w:tcBorders>
          </w:tcPr>
          <w:p w14:paraId="5368A348" w14:textId="17768FAE" w:rsidR="0048697E" w:rsidRPr="00C64B2C" w:rsidRDefault="00FD0D99"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Utah</w:t>
            </w:r>
          </w:p>
        </w:tc>
        <w:tc>
          <w:tcPr>
            <w:tcW w:w="1048" w:type="pct"/>
            <w:tcBorders>
              <w:top w:val="nil"/>
              <w:left w:val="nil"/>
              <w:bottom w:val="nil"/>
              <w:right w:val="nil"/>
            </w:tcBorders>
          </w:tcPr>
          <w:p w14:paraId="704CD23A" w14:textId="5FF19CC7" w:rsidR="0048697E" w:rsidRPr="00C64B2C" w:rsidRDefault="00C97551" w:rsidP="00C97551">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4E29E970" w14:textId="5D6E837D" w:rsidR="0048697E" w:rsidRPr="00C64B2C" w:rsidRDefault="00FD0D99" w:rsidP="00FD0D9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Vermont</w:t>
            </w:r>
          </w:p>
        </w:tc>
        <w:tc>
          <w:tcPr>
            <w:tcW w:w="1042" w:type="pct"/>
            <w:tcBorders>
              <w:top w:val="nil"/>
              <w:left w:val="nil"/>
              <w:bottom w:val="nil"/>
              <w:right w:val="nil"/>
            </w:tcBorders>
          </w:tcPr>
          <w:p w14:paraId="38ED5CF5" w14:textId="69475305" w:rsidR="0048697E" w:rsidRPr="00C64B2C" w:rsidRDefault="00C97551"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26</w:t>
            </w:r>
          </w:p>
        </w:tc>
        <w:tc>
          <w:tcPr>
            <w:tcW w:w="131" w:type="pct"/>
            <w:tcBorders>
              <w:top w:val="nil"/>
              <w:left w:val="nil"/>
              <w:bottom w:val="nil"/>
              <w:right w:val="nil"/>
            </w:tcBorders>
          </w:tcPr>
          <w:p w14:paraId="0513F2BB"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953AD99"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2F1A87D9" w14:textId="77777777" w:rsidTr="00B52FDF">
        <w:trPr>
          <w:trHeight w:val="375"/>
        </w:trPr>
        <w:tc>
          <w:tcPr>
            <w:tcW w:w="1398" w:type="pct"/>
            <w:tcBorders>
              <w:top w:val="nil"/>
              <w:left w:val="nil"/>
              <w:bottom w:val="nil"/>
              <w:right w:val="nil"/>
            </w:tcBorders>
          </w:tcPr>
          <w:p w14:paraId="2D0FBE36" w14:textId="3E5207D7" w:rsidR="0048697E" w:rsidRPr="00C64B2C" w:rsidRDefault="00FD0D99"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Virginia</w:t>
            </w:r>
          </w:p>
        </w:tc>
        <w:tc>
          <w:tcPr>
            <w:tcW w:w="1048" w:type="pct"/>
            <w:tcBorders>
              <w:top w:val="nil"/>
              <w:left w:val="nil"/>
              <w:bottom w:val="nil"/>
              <w:right w:val="nil"/>
            </w:tcBorders>
          </w:tcPr>
          <w:p w14:paraId="5000DBCF" w14:textId="7048D4E2" w:rsidR="0048697E" w:rsidRPr="00C64B2C" w:rsidRDefault="00C97551" w:rsidP="00C97551">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4BFD64E6" w14:textId="41CDAF0B" w:rsidR="0048697E" w:rsidRPr="00C64B2C" w:rsidRDefault="00FD0D99" w:rsidP="00FD0D9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Washington</w:t>
            </w:r>
          </w:p>
        </w:tc>
        <w:tc>
          <w:tcPr>
            <w:tcW w:w="1042" w:type="pct"/>
            <w:tcBorders>
              <w:top w:val="nil"/>
              <w:left w:val="nil"/>
              <w:bottom w:val="nil"/>
              <w:right w:val="nil"/>
            </w:tcBorders>
          </w:tcPr>
          <w:p w14:paraId="53149715" w14:textId="08CB8743" w:rsidR="0048697E" w:rsidRPr="00C64B2C" w:rsidRDefault="00C97551"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23</w:t>
            </w:r>
          </w:p>
        </w:tc>
        <w:tc>
          <w:tcPr>
            <w:tcW w:w="131" w:type="pct"/>
            <w:tcBorders>
              <w:top w:val="nil"/>
              <w:left w:val="nil"/>
              <w:bottom w:val="nil"/>
              <w:right w:val="nil"/>
            </w:tcBorders>
          </w:tcPr>
          <w:p w14:paraId="57F4DE10"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67F7F90E"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0F81A9E1" w14:textId="77777777" w:rsidTr="00B52FDF">
        <w:trPr>
          <w:trHeight w:val="375"/>
        </w:trPr>
        <w:tc>
          <w:tcPr>
            <w:tcW w:w="1398" w:type="pct"/>
            <w:tcBorders>
              <w:top w:val="nil"/>
              <w:left w:val="nil"/>
              <w:bottom w:val="nil"/>
              <w:right w:val="nil"/>
            </w:tcBorders>
          </w:tcPr>
          <w:p w14:paraId="29F6BB82" w14:textId="47437776" w:rsidR="0048697E" w:rsidRPr="00C64B2C" w:rsidRDefault="00FD0D99"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West Virginia</w:t>
            </w:r>
          </w:p>
        </w:tc>
        <w:tc>
          <w:tcPr>
            <w:tcW w:w="1048" w:type="pct"/>
            <w:tcBorders>
              <w:top w:val="nil"/>
              <w:left w:val="nil"/>
              <w:bottom w:val="nil"/>
              <w:right w:val="nil"/>
            </w:tcBorders>
          </w:tcPr>
          <w:p w14:paraId="79842E55" w14:textId="260DB81A" w:rsidR="0048697E" w:rsidRPr="00C64B2C" w:rsidRDefault="00D1360A" w:rsidP="00C97551">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10</w:t>
            </w:r>
          </w:p>
        </w:tc>
        <w:tc>
          <w:tcPr>
            <w:tcW w:w="1248" w:type="pct"/>
            <w:tcBorders>
              <w:top w:val="nil"/>
              <w:left w:val="nil"/>
              <w:bottom w:val="nil"/>
              <w:right w:val="nil"/>
            </w:tcBorders>
          </w:tcPr>
          <w:p w14:paraId="5EF2775A" w14:textId="32D95C6F" w:rsidR="0048697E" w:rsidRPr="00C64B2C" w:rsidRDefault="00FD0D99" w:rsidP="00FD0D99">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Wisconsin</w:t>
            </w:r>
          </w:p>
        </w:tc>
        <w:tc>
          <w:tcPr>
            <w:tcW w:w="1042" w:type="pct"/>
            <w:tcBorders>
              <w:top w:val="nil"/>
              <w:left w:val="nil"/>
              <w:bottom w:val="nil"/>
              <w:right w:val="nil"/>
            </w:tcBorders>
          </w:tcPr>
          <w:p w14:paraId="16D996EF" w14:textId="32B504C4" w:rsidR="0048697E" w:rsidRPr="00C64B2C" w:rsidRDefault="00D1360A" w:rsidP="00647247">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10</w:t>
            </w:r>
          </w:p>
        </w:tc>
        <w:tc>
          <w:tcPr>
            <w:tcW w:w="131" w:type="pct"/>
            <w:tcBorders>
              <w:top w:val="nil"/>
              <w:left w:val="nil"/>
              <w:bottom w:val="nil"/>
              <w:right w:val="nil"/>
            </w:tcBorders>
          </w:tcPr>
          <w:p w14:paraId="347FFD22"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2D1EBE92"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AB635C" w:rsidRPr="00C64B2C" w14:paraId="5BF443EE" w14:textId="77777777" w:rsidTr="00B52FDF">
        <w:trPr>
          <w:trHeight w:val="375"/>
        </w:trPr>
        <w:tc>
          <w:tcPr>
            <w:tcW w:w="1398" w:type="pct"/>
            <w:tcBorders>
              <w:top w:val="nil"/>
              <w:left w:val="nil"/>
              <w:bottom w:val="nil"/>
              <w:right w:val="nil"/>
            </w:tcBorders>
          </w:tcPr>
          <w:p w14:paraId="53DCD8B6" w14:textId="4C47C6D8" w:rsidR="0048697E" w:rsidRPr="00C64B2C" w:rsidRDefault="00FD0D99" w:rsidP="002C194D">
            <w:pPr>
              <w:pStyle w:val="ListParagraph"/>
              <w:widowControl w:val="0"/>
              <w:numPr>
                <w:ilvl w:val="0"/>
                <w:numId w:val="31"/>
              </w:numPr>
              <w:autoSpaceDE w:val="0"/>
              <w:autoSpaceDN w:val="0"/>
              <w:adjustRightInd w:val="0"/>
              <w:spacing w:after="0" w:line="240" w:lineRule="auto"/>
              <w:rPr>
                <w:rFonts w:eastAsia="Times New Roman" w:cstheme="minorHAnsi"/>
                <w:sz w:val="24"/>
                <w:szCs w:val="24"/>
              </w:rPr>
            </w:pPr>
            <w:r w:rsidRPr="00C64B2C">
              <w:rPr>
                <w:rFonts w:eastAsia="Times New Roman" w:cstheme="minorHAnsi"/>
                <w:sz w:val="24"/>
                <w:szCs w:val="24"/>
              </w:rPr>
              <w:t>Wyoming</w:t>
            </w:r>
          </w:p>
        </w:tc>
        <w:tc>
          <w:tcPr>
            <w:tcW w:w="1048" w:type="pct"/>
            <w:tcBorders>
              <w:top w:val="nil"/>
              <w:left w:val="nil"/>
              <w:bottom w:val="nil"/>
              <w:right w:val="nil"/>
            </w:tcBorders>
          </w:tcPr>
          <w:p w14:paraId="5A72A3CB" w14:textId="6584A7A5" w:rsidR="0048697E" w:rsidRPr="00C64B2C" w:rsidRDefault="00D1360A" w:rsidP="00D1360A">
            <w:pPr>
              <w:widowControl w:val="0"/>
              <w:autoSpaceDE w:val="0"/>
              <w:autoSpaceDN w:val="0"/>
              <w:adjustRightInd w:val="0"/>
              <w:spacing w:after="0" w:line="240" w:lineRule="auto"/>
              <w:jc w:val="center"/>
              <w:rPr>
                <w:rFonts w:eastAsia="Times New Roman" w:cstheme="minorHAnsi"/>
                <w:sz w:val="24"/>
                <w:szCs w:val="24"/>
              </w:rPr>
            </w:pPr>
            <w:r w:rsidRPr="00C64B2C">
              <w:rPr>
                <w:rFonts w:eastAsia="Times New Roman" w:cstheme="minorHAnsi"/>
                <w:sz w:val="24"/>
                <w:szCs w:val="24"/>
              </w:rPr>
              <w:t>8</w:t>
            </w:r>
          </w:p>
        </w:tc>
        <w:tc>
          <w:tcPr>
            <w:tcW w:w="1248" w:type="pct"/>
            <w:tcBorders>
              <w:top w:val="nil"/>
              <w:left w:val="nil"/>
              <w:bottom w:val="nil"/>
              <w:right w:val="nil"/>
            </w:tcBorders>
          </w:tcPr>
          <w:p w14:paraId="7B028F3D" w14:textId="604A6EDC" w:rsidR="0048697E" w:rsidRPr="00C64B2C" w:rsidRDefault="00D1360A" w:rsidP="00D1360A">
            <w:pPr>
              <w:widowControl w:val="0"/>
              <w:autoSpaceDE w:val="0"/>
              <w:autoSpaceDN w:val="0"/>
              <w:adjustRightInd w:val="0"/>
              <w:spacing w:after="0" w:line="240" w:lineRule="auto"/>
              <w:rPr>
                <w:rFonts w:eastAsia="Times New Roman" w:cstheme="minorHAnsi"/>
                <w:b/>
                <w:bCs/>
                <w:sz w:val="24"/>
                <w:szCs w:val="24"/>
              </w:rPr>
            </w:pPr>
            <w:r w:rsidRPr="00C64B2C">
              <w:rPr>
                <w:rFonts w:eastAsia="Times New Roman" w:cstheme="minorHAnsi"/>
                <w:sz w:val="24"/>
                <w:szCs w:val="24"/>
              </w:rPr>
              <w:t xml:space="preserve">        </w:t>
            </w:r>
            <w:r w:rsidRPr="00C64B2C">
              <w:rPr>
                <w:rFonts w:eastAsia="Times New Roman" w:cstheme="minorHAnsi"/>
                <w:b/>
                <w:bCs/>
                <w:sz w:val="24"/>
                <w:szCs w:val="24"/>
              </w:rPr>
              <w:t>Total</w:t>
            </w:r>
          </w:p>
        </w:tc>
        <w:tc>
          <w:tcPr>
            <w:tcW w:w="1042" w:type="pct"/>
            <w:tcBorders>
              <w:top w:val="nil"/>
              <w:left w:val="nil"/>
              <w:bottom w:val="nil"/>
              <w:right w:val="nil"/>
            </w:tcBorders>
          </w:tcPr>
          <w:p w14:paraId="2C3E17F7" w14:textId="2DE4A38C" w:rsidR="0048697E" w:rsidRPr="00C64B2C" w:rsidRDefault="00044DAE" w:rsidP="00647247">
            <w:pPr>
              <w:widowControl w:val="0"/>
              <w:autoSpaceDE w:val="0"/>
              <w:autoSpaceDN w:val="0"/>
              <w:adjustRightInd w:val="0"/>
              <w:spacing w:after="0" w:line="240" w:lineRule="auto"/>
              <w:jc w:val="center"/>
              <w:rPr>
                <w:rFonts w:eastAsia="Times New Roman" w:cstheme="minorHAnsi"/>
                <w:b/>
                <w:bCs/>
                <w:sz w:val="24"/>
                <w:szCs w:val="24"/>
              </w:rPr>
            </w:pPr>
            <w:r w:rsidRPr="00C64B2C">
              <w:rPr>
                <w:rFonts w:eastAsia="Times New Roman" w:cstheme="minorHAnsi"/>
                <w:b/>
                <w:bCs/>
                <w:sz w:val="24"/>
                <w:szCs w:val="24"/>
              </w:rPr>
              <w:t>622</w:t>
            </w:r>
          </w:p>
        </w:tc>
        <w:tc>
          <w:tcPr>
            <w:tcW w:w="131" w:type="pct"/>
            <w:tcBorders>
              <w:top w:val="nil"/>
              <w:left w:val="nil"/>
              <w:bottom w:val="nil"/>
              <w:right w:val="nil"/>
            </w:tcBorders>
          </w:tcPr>
          <w:p w14:paraId="652A1B7F"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c>
          <w:tcPr>
            <w:tcW w:w="133" w:type="pct"/>
            <w:gridSpan w:val="2"/>
            <w:tcBorders>
              <w:top w:val="nil"/>
              <w:left w:val="nil"/>
              <w:bottom w:val="nil"/>
              <w:right w:val="nil"/>
            </w:tcBorders>
          </w:tcPr>
          <w:p w14:paraId="1B6DBCE4" w14:textId="77777777" w:rsidR="0048697E" w:rsidRPr="00C64B2C" w:rsidRDefault="0048697E" w:rsidP="002320EF">
            <w:pPr>
              <w:widowControl w:val="0"/>
              <w:autoSpaceDE w:val="0"/>
              <w:autoSpaceDN w:val="0"/>
              <w:adjustRightInd w:val="0"/>
              <w:spacing w:after="0" w:line="240" w:lineRule="auto"/>
              <w:jc w:val="right"/>
              <w:rPr>
                <w:rFonts w:eastAsia="Times New Roman" w:cstheme="minorHAnsi"/>
                <w:sz w:val="24"/>
                <w:szCs w:val="24"/>
              </w:rPr>
            </w:pPr>
          </w:p>
        </w:tc>
      </w:tr>
      <w:tr w:rsidR="001C2987" w:rsidRPr="00C64B2C" w14:paraId="214F042E" w14:textId="77777777" w:rsidTr="00D9496B">
        <w:trPr>
          <w:gridAfter w:val="1"/>
          <w:wAfter w:w="7" w:type="pct"/>
          <w:trHeight w:val="375"/>
        </w:trPr>
        <w:tc>
          <w:tcPr>
            <w:tcW w:w="4993" w:type="pct"/>
            <w:gridSpan w:val="6"/>
            <w:tcBorders>
              <w:top w:val="single" w:sz="6" w:space="0" w:color="auto"/>
              <w:left w:val="nil"/>
              <w:bottom w:val="nil"/>
              <w:right w:val="nil"/>
            </w:tcBorders>
          </w:tcPr>
          <w:p w14:paraId="50BDED8C" w14:textId="2391BB84" w:rsidR="0048697E" w:rsidRPr="00C64B2C" w:rsidRDefault="00647247" w:rsidP="002320EF">
            <w:pPr>
              <w:widowControl w:val="0"/>
              <w:autoSpaceDE w:val="0"/>
              <w:autoSpaceDN w:val="0"/>
              <w:adjustRightInd w:val="0"/>
              <w:spacing w:after="0" w:line="240" w:lineRule="auto"/>
              <w:rPr>
                <w:rFonts w:eastAsia="Times New Roman" w:cstheme="minorHAnsi"/>
                <w:sz w:val="20"/>
                <w:szCs w:val="20"/>
              </w:rPr>
            </w:pPr>
            <w:r w:rsidRPr="00C64B2C">
              <w:rPr>
                <w:rFonts w:eastAsia="Times New Roman" w:cstheme="minorHAnsi"/>
                <w:sz w:val="20"/>
                <w:szCs w:val="20"/>
              </w:rPr>
              <w:t>Note: The</w:t>
            </w:r>
            <w:r w:rsidR="00786636" w:rsidRPr="00C64B2C">
              <w:rPr>
                <w:rFonts w:eastAsia="Times New Roman" w:cstheme="minorHAnsi"/>
                <w:sz w:val="20"/>
                <w:szCs w:val="20"/>
              </w:rPr>
              <w:t>re were 8</w:t>
            </w:r>
            <w:r w:rsidRPr="00C64B2C">
              <w:rPr>
                <w:rFonts w:eastAsia="Times New Roman" w:cstheme="minorHAnsi"/>
                <w:sz w:val="20"/>
                <w:szCs w:val="20"/>
              </w:rPr>
              <w:t xml:space="preserve"> Federal minimum wage </w:t>
            </w:r>
            <w:r w:rsidR="00786636" w:rsidRPr="00C64B2C">
              <w:rPr>
                <w:rFonts w:eastAsia="Times New Roman" w:cstheme="minorHAnsi"/>
                <w:sz w:val="20"/>
                <w:szCs w:val="20"/>
              </w:rPr>
              <w:t xml:space="preserve">amounts </w:t>
            </w:r>
            <w:r w:rsidR="005756EF" w:rsidRPr="00C64B2C">
              <w:rPr>
                <w:rFonts w:eastAsia="Times New Roman" w:cstheme="minorHAnsi"/>
                <w:sz w:val="20"/>
                <w:szCs w:val="20"/>
              </w:rPr>
              <w:t xml:space="preserve">during this period, which is why “8” </w:t>
            </w:r>
            <w:r w:rsidR="00137D25" w:rsidRPr="00C64B2C">
              <w:rPr>
                <w:rFonts w:eastAsia="Times New Roman" w:cstheme="minorHAnsi"/>
                <w:sz w:val="20"/>
                <w:szCs w:val="20"/>
              </w:rPr>
              <w:t xml:space="preserve">appears so often in this table. A total of 571 changes to state minimum wages occurred, which is obtained by subtracting </w:t>
            </w:r>
            <w:r w:rsidR="00C64B2C" w:rsidRPr="00C64B2C">
              <w:rPr>
                <w:rFonts w:eastAsia="Times New Roman" w:cstheme="minorHAnsi"/>
                <w:sz w:val="20"/>
                <w:szCs w:val="20"/>
              </w:rPr>
              <w:t>51 from the total to remove the initial wage floor level</w:t>
            </w:r>
          </w:p>
        </w:tc>
      </w:tr>
    </w:tbl>
    <w:p w14:paraId="7A13A89A" w14:textId="77777777" w:rsidR="00DB2C60" w:rsidRPr="00DB2C60" w:rsidRDefault="00DB2C60" w:rsidP="00DB2C60"/>
    <w:p w14:paraId="4D3D0864" w14:textId="77777777" w:rsidR="00463F3D" w:rsidRPr="00463F3D" w:rsidRDefault="00463F3D" w:rsidP="00463F3D"/>
    <w:p w14:paraId="7C2D8C7B" w14:textId="77777777" w:rsidR="00463F3D" w:rsidRPr="00463F3D" w:rsidRDefault="00463F3D" w:rsidP="00463F3D"/>
    <w:p w14:paraId="35EF5D7B" w14:textId="3AE1FEB7" w:rsidR="00AE0468" w:rsidRDefault="00AE0468" w:rsidP="00AE0468"/>
    <w:p w14:paraId="0AF593D1" w14:textId="13156650" w:rsidR="00AE0468" w:rsidRPr="0060259D" w:rsidRDefault="00AE0468" w:rsidP="0060259D">
      <w:pPr>
        <w:rPr>
          <w:b/>
          <w:bCs/>
        </w:rPr>
      </w:pPr>
    </w:p>
    <w:sectPr w:rsidR="00AE0468" w:rsidRPr="0060259D" w:rsidSect="001C2987">
      <w:footerReference w:type="default" r:id="rId1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B8BA" w14:textId="77777777" w:rsidR="00C43764" w:rsidRDefault="00C43764" w:rsidP="002B37F7">
      <w:pPr>
        <w:spacing w:after="0" w:line="240" w:lineRule="auto"/>
      </w:pPr>
      <w:r>
        <w:separator/>
      </w:r>
    </w:p>
  </w:endnote>
  <w:endnote w:type="continuationSeparator" w:id="0">
    <w:p w14:paraId="61BC471E" w14:textId="77777777" w:rsidR="00C43764" w:rsidRDefault="00C43764" w:rsidP="002B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820272"/>
      <w:docPartObj>
        <w:docPartGallery w:val="Page Numbers (Bottom of Page)"/>
        <w:docPartUnique/>
      </w:docPartObj>
    </w:sdtPr>
    <w:sdtEndPr>
      <w:rPr>
        <w:noProof/>
      </w:rPr>
    </w:sdtEndPr>
    <w:sdtContent>
      <w:p w14:paraId="6F928A1A" w14:textId="2D7FF35F" w:rsidR="00DC695A" w:rsidRDefault="00DC69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59910A" w14:textId="77777777" w:rsidR="00DC695A" w:rsidRDefault="00DC6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629E" w14:textId="77777777" w:rsidR="00C43764" w:rsidRDefault="00C43764" w:rsidP="002B37F7">
      <w:pPr>
        <w:spacing w:after="0" w:line="240" w:lineRule="auto"/>
      </w:pPr>
      <w:r>
        <w:separator/>
      </w:r>
    </w:p>
  </w:footnote>
  <w:footnote w:type="continuationSeparator" w:id="0">
    <w:p w14:paraId="55FE5221" w14:textId="77777777" w:rsidR="00C43764" w:rsidRDefault="00C43764" w:rsidP="002B3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964"/>
    <w:multiLevelType w:val="hybridMultilevel"/>
    <w:tmpl w:val="509AAFD4"/>
    <w:lvl w:ilvl="0" w:tplc="4244933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3A20C7A"/>
    <w:multiLevelType w:val="multilevel"/>
    <w:tmpl w:val="E16A5AD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9F3A86"/>
    <w:multiLevelType w:val="hybridMultilevel"/>
    <w:tmpl w:val="56DE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51F63"/>
    <w:multiLevelType w:val="hybridMultilevel"/>
    <w:tmpl w:val="EA80D7B2"/>
    <w:lvl w:ilvl="0" w:tplc="BE1852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51159AC"/>
    <w:multiLevelType w:val="multilevel"/>
    <w:tmpl w:val="E16A5AD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5C0D0B"/>
    <w:multiLevelType w:val="hybridMultilevel"/>
    <w:tmpl w:val="0A2C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A68E4"/>
    <w:multiLevelType w:val="hybridMultilevel"/>
    <w:tmpl w:val="1B9CA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C021F"/>
    <w:multiLevelType w:val="hybridMultilevel"/>
    <w:tmpl w:val="3A22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74302"/>
    <w:multiLevelType w:val="hybridMultilevel"/>
    <w:tmpl w:val="D5E0A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C4396"/>
    <w:multiLevelType w:val="hybridMultilevel"/>
    <w:tmpl w:val="087A9B8C"/>
    <w:lvl w:ilvl="0" w:tplc="BE1852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B533A70"/>
    <w:multiLevelType w:val="hybridMultilevel"/>
    <w:tmpl w:val="A6488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B2C49"/>
    <w:multiLevelType w:val="hybridMultilevel"/>
    <w:tmpl w:val="48D81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84A07"/>
    <w:multiLevelType w:val="hybridMultilevel"/>
    <w:tmpl w:val="D4E85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00C78"/>
    <w:multiLevelType w:val="hybridMultilevel"/>
    <w:tmpl w:val="94B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723E"/>
    <w:multiLevelType w:val="multilevel"/>
    <w:tmpl w:val="E16A5AD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5D5C13"/>
    <w:multiLevelType w:val="hybridMultilevel"/>
    <w:tmpl w:val="2C5C2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5633B"/>
    <w:multiLevelType w:val="hybridMultilevel"/>
    <w:tmpl w:val="B8D2D2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DF4E97"/>
    <w:multiLevelType w:val="hybridMultilevel"/>
    <w:tmpl w:val="BB10E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33AA7"/>
    <w:multiLevelType w:val="hybridMultilevel"/>
    <w:tmpl w:val="72D02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73D55"/>
    <w:multiLevelType w:val="hybridMultilevel"/>
    <w:tmpl w:val="B9D46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B5F21"/>
    <w:multiLevelType w:val="multilevel"/>
    <w:tmpl w:val="E16A5AD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8C36AA9"/>
    <w:multiLevelType w:val="hybridMultilevel"/>
    <w:tmpl w:val="F0F45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402DB"/>
    <w:multiLevelType w:val="hybridMultilevel"/>
    <w:tmpl w:val="F620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B6580"/>
    <w:multiLevelType w:val="hybridMultilevel"/>
    <w:tmpl w:val="3F06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5901"/>
    <w:multiLevelType w:val="hybridMultilevel"/>
    <w:tmpl w:val="C82E0DA8"/>
    <w:lvl w:ilvl="0" w:tplc="67A8EFF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F56F70"/>
    <w:multiLevelType w:val="multilevel"/>
    <w:tmpl w:val="E16A5AD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314EEC"/>
    <w:multiLevelType w:val="hybridMultilevel"/>
    <w:tmpl w:val="D0260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82C49"/>
    <w:multiLevelType w:val="hybridMultilevel"/>
    <w:tmpl w:val="72DCE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137CE"/>
    <w:multiLevelType w:val="hybridMultilevel"/>
    <w:tmpl w:val="9BE67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9076D7"/>
    <w:multiLevelType w:val="hybridMultilevel"/>
    <w:tmpl w:val="D26C0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A2F67"/>
    <w:multiLevelType w:val="hybridMultilevel"/>
    <w:tmpl w:val="7278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D58F4"/>
    <w:multiLevelType w:val="hybridMultilevel"/>
    <w:tmpl w:val="8292BD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1986228">
    <w:abstractNumId w:val="5"/>
  </w:num>
  <w:num w:numId="2" w16cid:durableId="1896700278">
    <w:abstractNumId w:val="16"/>
  </w:num>
  <w:num w:numId="3" w16cid:durableId="579750021">
    <w:abstractNumId w:val="30"/>
  </w:num>
  <w:num w:numId="4" w16cid:durableId="949514044">
    <w:abstractNumId w:val="2"/>
  </w:num>
  <w:num w:numId="5" w16cid:durableId="1509757711">
    <w:abstractNumId w:val="25"/>
  </w:num>
  <w:num w:numId="6" w16cid:durableId="642731906">
    <w:abstractNumId w:val="8"/>
  </w:num>
  <w:num w:numId="7" w16cid:durableId="1739479496">
    <w:abstractNumId w:val="14"/>
  </w:num>
  <w:num w:numId="8" w16cid:durableId="27075525">
    <w:abstractNumId w:val="20"/>
  </w:num>
  <w:num w:numId="9" w16cid:durableId="80681966">
    <w:abstractNumId w:val="13"/>
  </w:num>
  <w:num w:numId="10" w16cid:durableId="1505820733">
    <w:abstractNumId w:val="1"/>
  </w:num>
  <w:num w:numId="11" w16cid:durableId="938025772">
    <w:abstractNumId w:val="27"/>
  </w:num>
  <w:num w:numId="12" w16cid:durableId="1424955871">
    <w:abstractNumId w:val="28"/>
  </w:num>
  <w:num w:numId="13" w16cid:durableId="1959683090">
    <w:abstractNumId w:val="31"/>
  </w:num>
  <w:num w:numId="14" w16cid:durableId="1534688452">
    <w:abstractNumId w:val="26"/>
  </w:num>
  <w:num w:numId="15" w16cid:durableId="510098095">
    <w:abstractNumId w:val="19"/>
  </w:num>
  <w:num w:numId="16" w16cid:durableId="820081704">
    <w:abstractNumId w:val="17"/>
  </w:num>
  <w:num w:numId="17" w16cid:durableId="873691399">
    <w:abstractNumId w:val="4"/>
  </w:num>
  <w:num w:numId="18" w16cid:durableId="730618495">
    <w:abstractNumId w:val="0"/>
  </w:num>
  <w:num w:numId="19" w16cid:durableId="1881164163">
    <w:abstractNumId w:val="18"/>
  </w:num>
  <w:num w:numId="20" w16cid:durableId="1286696300">
    <w:abstractNumId w:val="15"/>
  </w:num>
  <w:num w:numId="21" w16cid:durableId="1708069199">
    <w:abstractNumId w:val="11"/>
  </w:num>
  <w:num w:numId="22" w16cid:durableId="1981693461">
    <w:abstractNumId w:val="21"/>
  </w:num>
  <w:num w:numId="23" w16cid:durableId="886724340">
    <w:abstractNumId w:val="6"/>
  </w:num>
  <w:num w:numId="24" w16cid:durableId="197815691">
    <w:abstractNumId w:val="10"/>
  </w:num>
  <w:num w:numId="25" w16cid:durableId="1571891737">
    <w:abstractNumId w:val="29"/>
  </w:num>
  <w:num w:numId="26" w16cid:durableId="1357386706">
    <w:abstractNumId w:val="23"/>
  </w:num>
  <w:num w:numId="27" w16cid:durableId="2007980272">
    <w:abstractNumId w:val="12"/>
  </w:num>
  <w:num w:numId="28" w16cid:durableId="639461646">
    <w:abstractNumId w:val="24"/>
  </w:num>
  <w:num w:numId="29" w16cid:durableId="683021738">
    <w:abstractNumId w:val="22"/>
  </w:num>
  <w:num w:numId="30" w16cid:durableId="2079402824">
    <w:abstractNumId w:val="7"/>
  </w:num>
  <w:num w:numId="31" w16cid:durableId="109321153">
    <w:abstractNumId w:val="3"/>
  </w:num>
  <w:num w:numId="32" w16cid:durableId="2034763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82"/>
    <w:rsid w:val="00000280"/>
    <w:rsid w:val="00003198"/>
    <w:rsid w:val="000033F1"/>
    <w:rsid w:val="00003683"/>
    <w:rsid w:val="0000433C"/>
    <w:rsid w:val="00004651"/>
    <w:rsid w:val="000046C9"/>
    <w:rsid w:val="00004765"/>
    <w:rsid w:val="000048AA"/>
    <w:rsid w:val="00004908"/>
    <w:rsid w:val="00004AD5"/>
    <w:rsid w:val="00005CE8"/>
    <w:rsid w:val="00005FCF"/>
    <w:rsid w:val="000065E0"/>
    <w:rsid w:val="00007B40"/>
    <w:rsid w:val="0001061A"/>
    <w:rsid w:val="00010C51"/>
    <w:rsid w:val="00011D2F"/>
    <w:rsid w:val="00013D83"/>
    <w:rsid w:val="000140DA"/>
    <w:rsid w:val="0001432B"/>
    <w:rsid w:val="00014774"/>
    <w:rsid w:val="0001488F"/>
    <w:rsid w:val="00015331"/>
    <w:rsid w:val="00015507"/>
    <w:rsid w:val="00016E72"/>
    <w:rsid w:val="00017D64"/>
    <w:rsid w:val="0002007F"/>
    <w:rsid w:val="00020ABC"/>
    <w:rsid w:val="00020AEA"/>
    <w:rsid w:val="00020B7D"/>
    <w:rsid w:val="00021997"/>
    <w:rsid w:val="00022861"/>
    <w:rsid w:val="0002342C"/>
    <w:rsid w:val="00023686"/>
    <w:rsid w:val="00024508"/>
    <w:rsid w:val="00024797"/>
    <w:rsid w:val="00024CDD"/>
    <w:rsid w:val="00024F57"/>
    <w:rsid w:val="00025219"/>
    <w:rsid w:val="0002646E"/>
    <w:rsid w:val="0002654D"/>
    <w:rsid w:val="000267FC"/>
    <w:rsid w:val="00027126"/>
    <w:rsid w:val="000273E0"/>
    <w:rsid w:val="00027A4F"/>
    <w:rsid w:val="00027CB3"/>
    <w:rsid w:val="000303F6"/>
    <w:rsid w:val="000304B1"/>
    <w:rsid w:val="000317A5"/>
    <w:rsid w:val="00031801"/>
    <w:rsid w:val="00031C5B"/>
    <w:rsid w:val="000322A8"/>
    <w:rsid w:val="000326B3"/>
    <w:rsid w:val="00032EA3"/>
    <w:rsid w:val="000344F6"/>
    <w:rsid w:val="00034C6B"/>
    <w:rsid w:val="000365E5"/>
    <w:rsid w:val="00036F9E"/>
    <w:rsid w:val="0004086D"/>
    <w:rsid w:val="000410B4"/>
    <w:rsid w:val="000430AE"/>
    <w:rsid w:val="00043564"/>
    <w:rsid w:val="00043A96"/>
    <w:rsid w:val="00043E39"/>
    <w:rsid w:val="00044C28"/>
    <w:rsid w:val="00044DAE"/>
    <w:rsid w:val="0004560D"/>
    <w:rsid w:val="00045C80"/>
    <w:rsid w:val="00045D6E"/>
    <w:rsid w:val="00045E7D"/>
    <w:rsid w:val="00046872"/>
    <w:rsid w:val="00046933"/>
    <w:rsid w:val="0004748C"/>
    <w:rsid w:val="0004781C"/>
    <w:rsid w:val="00047902"/>
    <w:rsid w:val="00047B42"/>
    <w:rsid w:val="00047F5C"/>
    <w:rsid w:val="00050A40"/>
    <w:rsid w:val="00052F93"/>
    <w:rsid w:val="00053982"/>
    <w:rsid w:val="00053D35"/>
    <w:rsid w:val="00053E8C"/>
    <w:rsid w:val="00053EFD"/>
    <w:rsid w:val="000547DC"/>
    <w:rsid w:val="00054DEA"/>
    <w:rsid w:val="00054E65"/>
    <w:rsid w:val="00055005"/>
    <w:rsid w:val="000555B4"/>
    <w:rsid w:val="000556FE"/>
    <w:rsid w:val="000579BC"/>
    <w:rsid w:val="00061E7C"/>
    <w:rsid w:val="00062708"/>
    <w:rsid w:val="000645EE"/>
    <w:rsid w:val="000670D0"/>
    <w:rsid w:val="00067187"/>
    <w:rsid w:val="0006747D"/>
    <w:rsid w:val="00067B0F"/>
    <w:rsid w:val="000707B9"/>
    <w:rsid w:val="000708DC"/>
    <w:rsid w:val="00070A9C"/>
    <w:rsid w:val="00070EEB"/>
    <w:rsid w:val="000713A0"/>
    <w:rsid w:val="0007185A"/>
    <w:rsid w:val="00072509"/>
    <w:rsid w:val="000727B9"/>
    <w:rsid w:val="00072A06"/>
    <w:rsid w:val="00073639"/>
    <w:rsid w:val="000751F6"/>
    <w:rsid w:val="000763AD"/>
    <w:rsid w:val="0007687F"/>
    <w:rsid w:val="00076A3A"/>
    <w:rsid w:val="00076E20"/>
    <w:rsid w:val="00077334"/>
    <w:rsid w:val="00077404"/>
    <w:rsid w:val="000775C0"/>
    <w:rsid w:val="0007762C"/>
    <w:rsid w:val="000779E5"/>
    <w:rsid w:val="00077A98"/>
    <w:rsid w:val="00077DCF"/>
    <w:rsid w:val="000811F5"/>
    <w:rsid w:val="00081723"/>
    <w:rsid w:val="00082384"/>
    <w:rsid w:val="00082729"/>
    <w:rsid w:val="00082D92"/>
    <w:rsid w:val="00082E80"/>
    <w:rsid w:val="00083DD1"/>
    <w:rsid w:val="00083E97"/>
    <w:rsid w:val="00084A8B"/>
    <w:rsid w:val="00084C15"/>
    <w:rsid w:val="000858C8"/>
    <w:rsid w:val="00086137"/>
    <w:rsid w:val="00087849"/>
    <w:rsid w:val="00087F90"/>
    <w:rsid w:val="00090314"/>
    <w:rsid w:val="00090B3B"/>
    <w:rsid w:val="00090E91"/>
    <w:rsid w:val="00091B3F"/>
    <w:rsid w:val="00091EE3"/>
    <w:rsid w:val="00095700"/>
    <w:rsid w:val="00095B92"/>
    <w:rsid w:val="00096043"/>
    <w:rsid w:val="00096911"/>
    <w:rsid w:val="00096ED2"/>
    <w:rsid w:val="000970E1"/>
    <w:rsid w:val="00097888"/>
    <w:rsid w:val="00097CDF"/>
    <w:rsid w:val="00097F2A"/>
    <w:rsid w:val="000A01FC"/>
    <w:rsid w:val="000A096F"/>
    <w:rsid w:val="000A1677"/>
    <w:rsid w:val="000A27E7"/>
    <w:rsid w:val="000A29C9"/>
    <w:rsid w:val="000A3338"/>
    <w:rsid w:val="000A5437"/>
    <w:rsid w:val="000A5D89"/>
    <w:rsid w:val="000A5DD5"/>
    <w:rsid w:val="000A6ED0"/>
    <w:rsid w:val="000B01D1"/>
    <w:rsid w:val="000B0CA8"/>
    <w:rsid w:val="000B2B70"/>
    <w:rsid w:val="000B49A0"/>
    <w:rsid w:val="000B4C69"/>
    <w:rsid w:val="000B5220"/>
    <w:rsid w:val="000B539B"/>
    <w:rsid w:val="000B58F7"/>
    <w:rsid w:val="000B64E8"/>
    <w:rsid w:val="000B66B5"/>
    <w:rsid w:val="000B6F11"/>
    <w:rsid w:val="000B7059"/>
    <w:rsid w:val="000B72BA"/>
    <w:rsid w:val="000B7651"/>
    <w:rsid w:val="000C0505"/>
    <w:rsid w:val="000C194D"/>
    <w:rsid w:val="000C1EE9"/>
    <w:rsid w:val="000C257B"/>
    <w:rsid w:val="000C52C6"/>
    <w:rsid w:val="000C5C21"/>
    <w:rsid w:val="000C622F"/>
    <w:rsid w:val="000C6BF7"/>
    <w:rsid w:val="000C73BB"/>
    <w:rsid w:val="000C7F55"/>
    <w:rsid w:val="000D06AD"/>
    <w:rsid w:val="000D06AE"/>
    <w:rsid w:val="000D0FF3"/>
    <w:rsid w:val="000D1901"/>
    <w:rsid w:val="000D1C76"/>
    <w:rsid w:val="000D1F67"/>
    <w:rsid w:val="000D2783"/>
    <w:rsid w:val="000D27F8"/>
    <w:rsid w:val="000D361C"/>
    <w:rsid w:val="000D4498"/>
    <w:rsid w:val="000D4EB7"/>
    <w:rsid w:val="000D50F8"/>
    <w:rsid w:val="000D5167"/>
    <w:rsid w:val="000D6495"/>
    <w:rsid w:val="000D64CD"/>
    <w:rsid w:val="000D6B3D"/>
    <w:rsid w:val="000E058F"/>
    <w:rsid w:val="000E1477"/>
    <w:rsid w:val="000E1A35"/>
    <w:rsid w:val="000E1D84"/>
    <w:rsid w:val="000E22E4"/>
    <w:rsid w:val="000E24A4"/>
    <w:rsid w:val="000E3901"/>
    <w:rsid w:val="000E409D"/>
    <w:rsid w:val="000E4D5E"/>
    <w:rsid w:val="000E4D63"/>
    <w:rsid w:val="000E4DFD"/>
    <w:rsid w:val="000E557B"/>
    <w:rsid w:val="000E57A8"/>
    <w:rsid w:val="000E5B94"/>
    <w:rsid w:val="000E6484"/>
    <w:rsid w:val="000E72F4"/>
    <w:rsid w:val="000E7A9D"/>
    <w:rsid w:val="000F00B9"/>
    <w:rsid w:val="000F0AA1"/>
    <w:rsid w:val="000F0F13"/>
    <w:rsid w:val="000F15D4"/>
    <w:rsid w:val="000F162F"/>
    <w:rsid w:val="000F2E81"/>
    <w:rsid w:val="000F3264"/>
    <w:rsid w:val="000F4752"/>
    <w:rsid w:val="000F5327"/>
    <w:rsid w:val="000F6E1E"/>
    <w:rsid w:val="000F7529"/>
    <w:rsid w:val="00100369"/>
    <w:rsid w:val="00100442"/>
    <w:rsid w:val="00101BBA"/>
    <w:rsid w:val="00101D89"/>
    <w:rsid w:val="00102296"/>
    <w:rsid w:val="00102E1C"/>
    <w:rsid w:val="001034E9"/>
    <w:rsid w:val="00104810"/>
    <w:rsid w:val="0010747E"/>
    <w:rsid w:val="0010760F"/>
    <w:rsid w:val="00107B6B"/>
    <w:rsid w:val="0011022C"/>
    <w:rsid w:val="001106F5"/>
    <w:rsid w:val="00110B0E"/>
    <w:rsid w:val="00111DCB"/>
    <w:rsid w:val="0011238E"/>
    <w:rsid w:val="00112E52"/>
    <w:rsid w:val="0011385E"/>
    <w:rsid w:val="001145EC"/>
    <w:rsid w:val="001157B6"/>
    <w:rsid w:val="001158AA"/>
    <w:rsid w:val="0011674C"/>
    <w:rsid w:val="00116CE3"/>
    <w:rsid w:val="00117951"/>
    <w:rsid w:val="00120076"/>
    <w:rsid w:val="00120FF2"/>
    <w:rsid w:val="00122213"/>
    <w:rsid w:val="001223D3"/>
    <w:rsid w:val="00122F5B"/>
    <w:rsid w:val="00123BEE"/>
    <w:rsid w:val="00123D7D"/>
    <w:rsid w:val="00124702"/>
    <w:rsid w:val="001254B0"/>
    <w:rsid w:val="00126049"/>
    <w:rsid w:val="00127C1E"/>
    <w:rsid w:val="00127DED"/>
    <w:rsid w:val="00130BF7"/>
    <w:rsid w:val="00130F73"/>
    <w:rsid w:val="0013137C"/>
    <w:rsid w:val="00132859"/>
    <w:rsid w:val="00133024"/>
    <w:rsid w:val="00133159"/>
    <w:rsid w:val="00134816"/>
    <w:rsid w:val="00135815"/>
    <w:rsid w:val="001359F7"/>
    <w:rsid w:val="001360D3"/>
    <w:rsid w:val="001363C3"/>
    <w:rsid w:val="0013778C"/>
    <w:rsid w:val="001379D0"/>
    <w:rsid w:val="00137AE6"/>
    <w:rsid w:val="00137D25"/>
    <w:rsid w:val="00140379"/>
    <w:rsid w:val="0014046D"/>
    <w:rsid w:val="00140FEA"/>
    <w:rsid w:val="0014250C"/>
    <w:rsid w:val="00142AA2"/>
    <w:rsid w:val="001434AD"/>
    <w:rsid w:val="00143C62"/>
    <w:rsid w:val="00143D3F"/>
    <w:rsid w:val="00144547"/>
    <w:rsid w:val="00144A73"/>
    <w:rsid w:val="00144ACB"/>
    <w:rsid w:val="00145C49"/>
    <w:rsid w:val="00145EAA"/>
    <w:rsid w:val="00146131"/>
    <w:rsid w:val="00146F51"/>
    <w:rsid w:val="00147F28"/>
    <w:rsid w:val="00150710"/>
    <w:rsid w:val="00150BDD"/>
    <w:rsid w:val="00150DB7"/>
    <w:rsid w:val="00150F36"/>
    <w:rsid w:val="00151694"/>
    <w:rsid w:val="00151D7B"/>
    <w:rsid w:val="00152860"/>
    <w:rsid w:val="00152A40"/>
    <w:rsid w:val="00152F06"/>
    <w:rsid w:val="001538DB"/>
    <w:rsid w:val="00153FE0"/>
    <w:rsid w:val="001541F9"/>
    <w:rsid w:val="0015426E"/>
    <w:rsid w:val="001552B8"/>
    <w:rsid w:val="00155E32"/>
    <w:rsid w:val="00156A80"/>
    <w:rsid w:val="00157321"/>
    <w:rsid w:val="001610F1"/>
    <w:rsid w:val="0016159C"/>
    <w:rsid w:val="001628AE"/>
    <w:rsid w:val="001629E2"/>
    <w:rsid w:val="00163228"/>
    <w:rsid w:val="0016345F"/>
    <w:rsid w:val="0016383B"/>
    <w:rsid w:val="00163D78"/>
    <w:rsid w:val="001667F4"/>
    <w:rsid w:val="00170338"/>
    <w:rsid w:val="0017091A"/>
    <w:rsid w:val="00171478"/>
    <w:rsid w:val="0017162B"/>
    <w:rsid w:val="00171FDB"/>
    <w:rsid w:val="00172224"/>
    <w:rsid w:val="0017273E"/>
    <w:rsid w:val="00172E70"/>
    <w:rsid w:val="001735A3"/>
    <w:rsid w:val="00173981"/>
    <w:rsid w:val="00173E58"/>
    <w:rsid w:val="001755F0"/>
    <w:rsid w:val="00177A2D"/>
    <w:rsid w:val="001818F8"/>
    <w:rsid w:val="00181EB5"/>
    <w:rsid w:val="0018257F"/>
    <w:rsid w:val="00183291"/>
    <w:rsid w:val="00183E25"/>
    <w:rsid w:val="00185433"/>
    <w:rsid w:val="00185F7D"/>
    <w:rsid w:val="00186907"/>
    <w:rsid w:val="001869F2"/>
    <w:rsid w:val="00187E73"/>
    <w:rsid w:val="0019011E"/>
    <w:rsid w:val="0019018B"/>
    <w:rsid w:val="0019081D"/>
    <w:rsid w:val="00190BD6"/>
    <w:rsid w:val="00192310"/>
    <w:rsid w:val="00192325"/>
    <w:rsid w:val="001927A5"/>
    <w:rsid w:val="00192D93"/>
    <w:rsid w:val="0019365E"/>
    <w:rsid w:val="00193C8D"/>
    <w:rsid w:val="00194060"/>
    <w:rsid w:val="00194E9B"/>
    <w:rsid w:val="001952F0"/>
    <w:rsid w:val="00196F46"/>
    <w:rsid w:val="00197D5A"/>
    <w:rsid w:val="001A2AFA"/>
    <w:rsid w:val="001A33EF"/>
    <w:rsid w:val="001A3657"/>
    <w:rsid w:val="001A3B2E"/>
    <w:rsid w:val="001A4477"/>
    <w:rsid w:val="001A44E0"/>
    <w:rsid w:val="001A5475"/>
    <w:rsid w:val="001A6927"/>
    <w:rsid w:val="001A6E98"/>
    <w:rsid w:val="001A73DB"/>
    <w:rsid w:val="001A784E"/>
    <w:rsid w:val="001A7AA9"/>
    <w:rsid w:val="001B1917"/>
    <w:rsid w:val="001B1A34"/>
    <w:rsid w:val="001B2052"/>
    <w:rsid w:val="001B208D"/>
    <w:rsid w:val="001B28F6"/>
    <w:rsid w:val="001B2C34"/>
    <w:rsid w:val="001B35C1"/>
    <w:rsid w:val="001B385B"/>
    <w:rsid w:val="001B386A"/>
    <w:rsid w:val="001B3CF1"/>
    <w:rsid w:val="001B44CC"/>
    <w:rsid w:val="001B4D28"/>
    <w:rsid w:val="001B521D"/>
    <w:rsid w:val="001B53FB"/>
    <w:rsid w:val="001B66EF"/>
    <w:rsid w:val="001B68C9"/>
    <w:rsid w:val="001B7960"/>
    <w:rsid w:val="001B7C4A"/>
    <w:rsid w:val="001C0A39"/>
    <w:rsid w:val="001C14C1"/>
    <w:rsid w:val="001C16C7"/>
    <w:rsid w:val="001C18AB"/>
    <w:rsid w:val="001C1F09"/>
    <w:rsid w:val="001C2406"/>
    <w:rsid w:val="001C2571"/>
    <w:rsid w:val="001C2987"/>
    <w:rsid w:val="001C2DF7"/>
    <w:rsid w:val="001C3A7A"/>
    <w:rsid w:val="001C4786"/>
    <w:rsid w:val="001C47C2"/>
    <w:rsid w:val="001C4B68"/>
    <w:rsid w:val="001C5368"/>
    <w:rsid w:val="001C5910"/>
    <w:rsid w:val="001C6AA1"/>
    <w:rsid w:val="001C7E43"/>
    <w:rsid w:val="001D0124"/>
    <w:rsid w:val="001D028A"/>
    <w:rsid w:val="001D05C7"/>
    <w:rsid w:val="001D071A"/>
    <w:rsid w:val="001D11BC"/>
    <w:rsid w:val="001D2097"/>
    <w:rsid w:val="001D2B68"/>
    <w:rsid w:val="001D3A9B"/>
    <w:rsid w:val="001D3BE9"/>
    <w:rsid w:val="001D41F5"/>
    <w:rsid w:val="001D607D"/>
    <w:rsid w:val="001D61A4"/>
    <w:rsid w:val="001E00AA"/>
    <w:rsid w:val="001E0329"/>
    <w:rsid w:val="001E0538"/>
    <w:rsid w:val="001E0A08"/>
    <w:rsid w:val="001E0A1F"/>
    <w:rsid w:val="001E1838"/>
    <w:rsid w:val="001E2398"/>
    <w:rsid w:val="001E23AF"/>
    <w:rsid w:val="001E3289"/>
    <w:rsid w:val="001E3EF9"/>
    <w:rsid w:val="001E4301"/>
    <w:rsid w:val="001E5C63"/>
    <w:rsid w:val="001E630F"/>
    <w:rsid w:val="001E73CF"/>
    <w:rsid w:val="001E7793"/>
    <w:rsid w:val="001E7E3C"/>
    <w:rsid w:val="001F01BC"/>
    <w:rsid w:val="001F0C0B"/>
    <w:rsid w:val="001F1D45"/>
    <w:rsid w:val="001F1EE1"/>
    <w:rsid w:val="001F331C"/>
    <w:rsid w:val="001F3B1D"/>
    <w:rsid w:val="001F3CF7"/>
    <w:rsid w:val="001F44F1"/>
    <w:rsid w:val="001F5F18"/>
    <w:rsid w:val="001F5FA5"/>
    <w:rsid w:val="001F72C0"/>
    <w:rsid w:val="001F740E"/>
    <w:rsid w:val="001F7E5C"/>
    <w:rsid w:val="001F7F0E"/>
    <w:rsid w:val="001F7F5D"/>
    <w:rsid w:val="002009BA"/>
    <w:rsid w:val="00201730"/>
    <w:rsid w:val="002024FF"/>
    <w:rsid w:val="00203638"/>
    <w:rsid w:val="00203F40"/>
    <w:rsid w:val="00204CC7"/>
    <w:rsid w:val="00204EB2"/>
    <w:rsid w:val="002050FC"/>
    <w:rsid w:val="00205AFD"/>
    <w:rsid w:val="00206E78"/>
    <w:rsid w:val="00207046"/>
    <w:rsid w:val="0021034D"/>
    <w:rsid w:val="002106DE"/>
    <w:rsid w:val="00210C65"/>
    <w:rsid w:val="00211CFD"/>
    <w:rsid w:val="0021206B"/>
    <w:rsid w:val="00212692"/>
    <w:rsid w:val="002133FB"/>
    <w:rsid w:val="0021345B"/>
    <w:rsid w:val="00213838"/>
    <w:rsid w:val="00214243"/>
    <w:rsid w:val="00214592"/>
    <w:rsid w:val="0021545D"/>
    <w:rsid w:val="00215841"/>
    <w:rsid w:val="0021612E"/>
    <w:rsid w:val="00216F7F"/>
    <w:rsid w:val="00217192"/>
    <w:rsid w:val="002203A0"/>
    <w:rsid w:val="00220CB1"/>
    <w:rsid w:val="00220E4E"/>
    <w:rsid w:val="0022176B"/>
    <w:rsid w:val="00221ED0"/>
    <w:rsid w:val="00223237"/>
    <w:rsid w:val="0022351E"/>
    <w:rsid w:val="00223BE8"/>
    <w:rsid w:val="00223CA1"/>
    <w:rsid w:val="00224192"/>
    <w:rsid w:val="0022466E"/>
    <w:rsid w:val="00224B0C"/>
    <w:rsid w:val="00226452"/>
    <w:rsid w:val="00226E77"/>
    <w:rsid w:val="002271F6"/>
    <w:rsid w:val="00230391"/>
    <w:rsid w:val="00230623"/>
    <w:rsid w:val="0023064A"/>
    <w:rsid w:val="00230954"/>
    <w:rsid w:val="00230CC2"/>
    <w:rsid w:val="00230D5C"/>
    <w:rsid w:val="00231040"/>
    <w:rsid w:val="00231AF2"/>
    <w:rsid w:val="00231BA9"/>
    <w:rsid w:val="00232057"/>
    <w:rsid w:val="002323C1"/>
    <w:rsid w:val="0023280B"/>
    <w:rsid w:val="00232DEC"/>
    <w:rsid w:val="00234C05"/>
    <w:rsid w:val="00234CC1"/>
    <w:rsid w:val="00235511"/>
    <w:rsid w:val="00235621"/>
    <w:rsid w:val="00235E36"/>
    <w:rsid w:val="002362BD"/>
    <w:rsid w:val="00236316"/>
    <w:rsid w:val="00236382"/>
    <w:rsid w:val="002372CA"/>
    <w:rsid w:val="00237C8C"/>
    <w:rsid w:val="00240215"/>
    <w:rsid w:val="0024085B"/>
    <w:rsid w:val="0024088C"/>
    <w:rsid w:val="0024265F"/>
    <w:rsid w:val="002429BB"/>
    <w:rsid w:val="002441AB"/>
    <w:rsid w:val="002449DF"/>
    <w:rsid w:val="00245E41"/>
    <w:rsid w:val="002467B4"/>
    <w:rsid w:val="00246E03"/>
    <w:rsid w:val="00247768"/>
    <w:rsid w:val="00247A0A"/>
    <w:rsid w:val="0025066F"/>
    <w:rsid w:val="00250B6D"/>
    <w:rsid w:val="0025142C"/>
    <w:rsid w:val="002518C3"/>
    <w:rsid w:val="002520C1"/>
    <w:rsid w:val="00252B48"/>
    <w:rsid w:val="00253EEE"/>
    <w:rsid w:val="00254466"/>
    <w:rsid w:val="00254AF5"/>
    <w:rsid w:val="00255BD1"/>
    <w:rsid w:val="00255F93"/>
    <w:rsid w:val="002561CA"/>
    <w:rsid w:val="002568DC"/>
    <w:rsid w:val="00257709"/>
    <w:rsid w:val="002578C2"/>
    <w:rsid w:val="002604C3"/>
    <w:rsid w:val="00260578"/>
    <w:rsid w:val="002615CD"/>
    <w:rsid w:val="0026239F"/>
    <w:rsid w:val="00262847"/>
    <w:rsid w:val="00263246"/>
    <w:rsid w:val="0026374B"/>
    <w:rsid w:val="00263FB6"/>
    <w:rsid w:val="00264638"/>
    <w:rsid w:val="00264997"/>
    <w:rsid w:val="002649C9"/>
    <w:rsid w:val="00266079"/>
    <w:rsid w:val="0026615A"/>
    <w:rsid w:val="00266E29"/>
    <w:rsid w:val="0026753D"/>
    <w:rsid w:val="00267BFF"/>
    <w:rsid w:val="00267E52"/>
    <w:rsid w:val="0027176F"/>
    <w:rsid w:val="002718FA"/>
    <w:rsid w:val="00271B45"/>
    <w:rsid w:val="002724A1"/>
    <w:rsid w:val="00273B3C"/>
    <w:rsid w:val="00273D11"/>
    <w:rsid w:val="0027405C"/>
    <w:rsid w:val="002743F1"/>
    <w:rsid w:val="00275CDC"/>
    <w:rsid w:val="002767C9"/>
    <w:rsid w:val="00276A7A"/>
    <w:rsid w:val="00276B0D"/>
    <w:rsid w:val="00277312"/>
    <w:rsid w:val="00277565"/>
    <w:rsid w:val="0027763F"/>
    <w:rsid w:val="00277DBB"/>
    <w:rsid w:val="00281634"/>
    <w:rsid w:val="00281F36"/>
    <w:rsid w:val="0028208A"/>
    <w:rsid w:val="002822B6"/>
    <w:rsid w:val="002824AE"/>
    <w:rsid w:val="002832AC"/>
    <w:rsid w:val="00283DDE"/>
    <w:rsid w:val="0028404C"/>
    <w:rsid w:val="00284168"/>
    <w:rsid w:val="00284AA5"/>
    <w:rsid w:val="00284E15"/>
    <w:rsid w:val="00285204"/>
    <w:rsid w:val="002858B2"/>
    <w:rsid w:val="00285C6C"/>
    <w:rsid w:val="00286A4F"/>
    <w:rsid w:val="0028792C"/>
    <w:rsid w:val="00287BF0"/>
    <w:rsid w:val="00290504"/>
    <w:rsid w:val="0029084F"/>
    <w:rsid w:val="00291374"/>
    <w:rsid w:val="0029167A"/>
    <w:rsid w:val="00291CF2"/>
    <w:rsid w:val="002925C8"/>
    <w:rsid w:val="0029366E"/>
    <w:rsid w:val="00293761"/>
    <w:rsid w:val="0029404D"/>
    <w:rsid w:val="0029457D"/>
    <w:rsid w:val="002946E8"/>
    <w:rsid w:val="00294FC6"/>
    <w:rsid w:val="0029524D"/>
    <w:rsid w:val="00295BB7"/>
    <w:rsid w:val="00295E3E"/>
    <w:rsid w:val="00295E72"/>
    <w:rsid w:val="00296033"/>
    <w:rsid w:val="00296288"/>
    <w:rsid w:val="0029632B"/>
    <w:rsid w:val="002968DA"/>
    <w:rsid w:val="002969F2"/>
    <w:rsid w:val="00297487"/>
    <w:rsid w:val="002977FB"/>
    <w:rsid w:val="00297C9F"/>
    <w:rsid w:val="00297FE0"/>
    <w:rsid w:val="002A043F"/>
    <w:rsid w:val="002A1254"/>
    <w:rsid w:val="002A13F0"/>
    <w:rsid w:val="002A2AA6"/>
    <w:rsid w:val="002A3068"/>
    <w:rsid w:val="002A3A61"/>
    <w:rsid w:val="002A43CE"/>
    <w:rsid w:val="002A43F5"/>
    <w:rsid w:val="002A49C9"/>
    <w:rsid w:val="002A59FC"/>
    <w:rsid w:val="002A618B"/>
    <w:rsid w:val="002A6408"/>
    <w:rsid w:val="002A6467"/>
    <w:rsid w:val="002A66DB"/>
    <w:rsid w:val="002A6E64"/>
    <w:rsid w:val="002A7072"/>
    <w:rsid w:val="002A792C"/>
    <w:rsid w:val="002B17CE"/>
    <w:rsid w:val="002B18C3"/>
    <w:rsid w:val="002B1EC4"/>
    <w:rsid w:val="002B24A0"/>
    <w:rsid w:val="002B2533"/>
    <w:rsid w:val="002B298B"/>
    <w:rsid w:val="002B37F7"/>
    <w:rsid w:val="002B5057"/>
    <w:rsid w:val="002B5134"/>
    <w:rsid w:val="002B5D1B"/>
    <w:rsid w:val="002B62A0"/>
    <w:rsid w:val="002B6C87"/>
    <w:rsid w:val="002C194D"/>
    <w:rsid w:val="002C359B"/>
    <w:rsid w:val="002C3EE3"/>
    <w:rsid w:val="002C438B"/>
    <w:rsid w:val="002C47AA"/>
    <w:rsid w:val="002C5C85"/>
    <w:rsid w:val="002C5EDE"/>
    <w:rsid w:val="002C6493"/>
    <w:rsid w:val="002C78AA"/>
    <w:rsid w:val="002D206E"/>
    <w:rsid w:val="002D20C2"/>
    <w:rsid w:val="002D296F"/>
    <w:rsid w:val="002D39A7"/>
    <w:rsid w:val="002D41CE"/>
    <w:rsid w:val="002D423F"/>
    <w:rsid w:val="002D4B3F"/>
    <w:rsid w:val="002D56F2"/>
    <w:rsid w:val="002D5A37"/>
    <w:rsid w:val="002D634E"/>
    <w:rsid w:val="002D6910"/>
    <w:rsid w:val="002D6A9A"/>
    <w:rsid w:val="002E0626"/>
    <w:rsid w:val="002E09E2"/>
    <w:rsid w:val="002E1602"/>
    <w:rsid w:val="002E1B5D"/>
    <w:rsid w:val="002E27BF"/>
    <w:rsid w:val="002E2E3D"/>
    <w:rsid w:val="002E2E40"/>
    <w:rsid w:val="002E33C2"/>
    <w:rsid w:val="002E385D"/>
    <w:rsid w:val="002E3CA7"/>
    <w:rsid w:val="002E54ED"/>
    <w:rsid w:val="002E57AC"/>
    <w:rsid w:val="002E58CC"/>
    <w:rsid w:val="002E632D"/>
    <w:rsid w:val="002E772D"/>
    <w:rsid w:val="002E7841"/>
    <w:rsid w:val="002E7EBC"/>
    <w:rsid w:val="002F1878"/>
    <w:rsid w:val="002F2A89"/>
    <w:rsid w:val="002F2CF5"/>
    <w:rsid w:val="002F2F33"/>
    <w:rsid w:val="002F43AD"/>
    <w:rsid w:val="002F4752"/>
    <w:rsid w:val="002F50C7"/>
    <w:rsid w:val="002F50E8"/>
    <w:rsid w:val="002F574E"/>
    <w:rsid w:val="002F57C1"/>
    <w:rsid w:val="002F748E"/>
    <w:rsid w:val="002F7BAB"/>
    <w:rsid w:val="003009B3"/>
    <w:rsid w:val="00300B31"/>
    <w:rsid w:val="00300C9C"/>
    <w:rsid w:val="0030137D"/>
    <w:rsid w:val="003015CF"/>
    <w:rsid w:val="003015E7"/>
    <w:rsid w:val="00301829"/>
    <w:rsid w:val="00301946"/>
    <w:rsid w:val="00303336"/>
    <w:rsid w:val="00303454"/>
    <w:rsid w:val="00303A3F"/>
    <w:rsid w:val="00303C50"/>
    <w:rsid w:val="00303DBD"/>
    <w:rsid w:val="00304117"/>
    <w:rsid w:val="003053C0"/>
    <w:rsid w:val="00305A68"/>
    <w:rsid w:val="00306D46"/>
    <w:rsid w:val="00307509"/>
    <w:rsid w:val="00307663"/>
    <w:rsid w:val="00307819"/>
    <w:rsid w:val="003079BF"/>
    <w:rsid w:val="00310413"/>
    <w:rsid w:val="003108A1"/>
    <w:rsid w:val="00310EBF"/>
    <w:rsid w:val="00311186"/>
    <w:rsid w:val="003126F8"/>
    <w:rsid w:val="00313E2A"/>
    <w:rsid w:val="0031504D"/>
    <w:rsid w:val="003159FA"/>
    <w:rsid w:val="003168E2"/>
    <w:rsid w:val="00317433"/>
    <w:rsid w:val="00317AC3"/>
    <w:rsid w:val="0032007E"/>
    <w:rsid w:val="00320245"/>
    <w:rsid w:val="00321255"/>
    <w:rsid w:val="003218A3"/>
    <w:rsid w:val="003219FA"/>
    <w:rsid w:val="0032224B"/>
    <w:rsid w:val="0032254E"/>
    <w:rsid w:val="00322611"/>
    <w:rsid w:val="003229FF"/>
    <w:rsid w:val="003230AE"/>
    <w:rsid w:val="003232ED"/>
    <w:rsid w:val="00323D46"/>
    <w:rsid w:val="00324616"/>
    <w:rsid w:val="00324877"/>
    <w:rsid w:val="00324E19"/>
    <w:rsid w:val="0032569B"/>
    <w:rsid w:val="003268B6"/>
    <w:rsid w:val="00327E84"/>
    <w:rsid w:val="00331097"/>
    <w:rsid w:val="0033145D"/>
    <w:rsid w:val="00332F88"/>
    <w:rsid w:val="00333BB8"/>
    <w:rsid w:val="003340DF"/>
    <w:rsid w:val="00336652"/>
    <w:rsid w:val="00336BA5"/>
    <w:rsid w:val="00336BF9"/>
    <w:rsid w:val="00336C96"/>
    <w:rsid w:val="00336D48"/>
    <w:rsid w:val="0033758C"/>
    <w:rsid w:val="00340C00"/>
    <w:rsid w:val="00340D89"/>
    <w:rsid w:val="003415D0"/>
    <w:rsid w:val="0034216A"/>
    <w:rsid w:val="003425B9"/>
    <w:rsid w:val="00343F51"/>
    <w:rsid w:val="003442B2"/>
    <w:rsid w:val="003444F1"/>
    <w:rsid w:val="00345084"/>
    <w:rsid w:val="0034574C"/>
    <w:rsid w:val="003458A1"/>
    <w:rsid w:val="00345C48"/>
    <w:rsid w:val="003470BD"/>
    <w:rsid w:val="003472FD"/>
    <w:rsid w:val="00350018"/>
    <w:rsid w:val="003503A4"/>
    <w:rsid w:val="003503F4"/>
    <w:rsid w:val="00350541"/>
    <w:rsid w:val="0035117D"/>
    <w:rsid w:val="00351230"/>
    <w:rsid w:val="00351B66"/>
    <w:rsid w:val="00351F13"/>
    <w:rsid w:val="00353A6B"/>
    <w:rsid w:val="00355482"/>
    <w:rsid w:val="00356020"/>
    <w:rsid w:val="003560C7"/>
    <w:rsid w:val="003560CA"/>
    <w:rsid w:val="00356F66"/>
    <w:rsid w:val="003577D6"/>
    <w:rsid w:val="00357DB8"/>
    <w:rsid w:val="0036272C"/>
    <w:rsid w:val="0036364E"/>
    <w:rsid w:val="0036367D"/>
    <w:rsid w:val="00363ABD"/>
    <w:rsid w:val="0036433A"/>
    <w:rsid w:val="00364602"/>
    <w:rsid w:val="003647E3"/>
    <w:rsid w:val="00366253"/>
    <w:rsid w:val="00366500"/>
    <w:rsid w:val="0036655C"/>
    <w:rsid w:val="00366904"/>
    <w:rsid w:val="00366CF8"/>
    <w:rsid w:val="00370530"/>
    <w:rsid w:val="003706CE"/>
    <w:rsid w:val="00371E75"/>
    <w:rsid w:val="00372143"/>
    <w:rsid w:val="003721C6"/>
    <w:rsid w:val="00372403"/>
    <w:rsid w:val="0037409E"/>
    <w:rsid w:val="00374727"/>
    <w:rsid w:val="0037532A"/>
    <w:rsid w:val="00376B98"/>
    <w:rsid w:val="0037768A"/>
    <w:rsid w:val="0038054C"/>
    <w:rsid w:val="003815D9"/>
    <w:rsid w:val="00381797"/>
    <w:rsid w:val="0038221B"/>
    <w:rsid w:val="00382DEB"/>
    <w:rsid w:val="00383483"/>
    <w:rsid w:val="00384743"/>
    <w:rsid w:val="00384808"/>
    <w:rsid w:val="00384C1A"/>
    <w:rsid w:val="00386F6A"/>
    <w:rsid w:val="00387885"/>
    <w:rsid w:val="00387D13"/>
    <w:rsid w:val="003900AC"/>
    <w:rsid w:val="0039037B"/>
    <w:rsid w:val="00390433"/>
    <w:rsid w:val="00390A51"/>
    <w:rsid w:val="00391319"/>
    <w:rsid w:val="003917DE"/>
    <w:rsid w:val="00391EC7"/>
    <w:rsid w:val="00392016"/>
    <w:rsid w:val="0039428E"/>
    <w:rsid w:val="00394A13"/>
    <w:rsid w:val="00396258"/>
    <w:rsid w:val="003969B9"/>
    <w:rsid w:val="003979D5"/>
    <w:rsid w:val="003A0362"/>
    <w:rsid w:val="003A0A7A"/>
    <w:rsid w:val="003A132C"/>
    <w:rsid w:val="003A30FE"/>
    <w:rsid w:val="003A347F"/>
    <w:rsid w:val="003A3B2F"/>
    <w:rsid w:val="003A4E78"/>
    <w:rsid w:val="003A5319"/>
    <w:rsid w:val="003A587C"/>
    <w:rsid w:val="003B0E5B"/>
    <w:rsid w:val="003B1124"/>
    <w:rsid w:val="003B15EC"/>
    <w:rsid w:val="003B3AA6"/>
    <w:rsid w:val="003B424A"/>
    <w:rsid w:val="003B45CF"/>
    <w:rsid w:val="003B48EB"/>
    <w:rsid w:val="003B5EDE"/>
    <w:rsid w:val="003B6892"/>
    <w:rsid w:val="003C08F3"/>
    <w:rsid w:val="003C18A1"/>
    <w:rsid w:val="003C1FFB"/>
    <w:rsid w:val="003C2833"/>
    <w:rsid w:val="003C3135"/>
    <w:rsid w:val="003C3D7B"/>
    <w:rsid w:val="003C4506"/>
    <w:rsid w:val="003C49FE"/>
    <w:rsid w:val="003C6824"/>
    <w:rsid w:val="003C741A"/>
    <w:rsid w:val="003D05BF"/>
    <w:rsid w:val="003D0F2A"/>
    <w:rsid w:val="003D1107"/>
    <w:rsid w:val="003D1272"/>
    <w:rsid w:val="003D13BA"/>
    <w:rsid w:val="003D1DF3"/>
    <w:rsid w:val="003D23B0"/>
    <w:rsid w:val="003D285A"/>
    <w:rsid w:val="003D2DD9"/>
    <w:rsid w:val="003D2E42"/>
    <w:rsid w:val="003D320E"/>
    <w:rsid w:val="003D32EE"/>
    <w:rsid w:val="003D3429"/>
    <w:rsid w:val="003D39FD"/>
    <w:rsid w:val="003D55B0"/>
    <w:rsid w:val="003D5BD7"/>
    <w:rsid w:val="003D5F0B"/>
    <w:rsid w:val="003D6297"/>
    <w:rsid w:val="003D6A4C"/>
    <w:rsid w:val="003D6EA1"/>
    <w:rsid w:val="003D748A"/>
    <w:rsid w:val="003D791B"/>
    <w:rsid w:val="003D79E4"/>
    <w:rsid w:val="003D7F77"/>
    <w:rsid w:val="003E00C2"/>
    <w:rsid w:val="003E0709"/>
    <w:rsid w:val="003E0E5C"/>
    <w:rsid w:val="003E1582"/>
    <w:rsid w:val="003E186B"/>
    <w:rsid w:val="003E1980"/>
    <w:rsid w:val="003E1A5C"/>
    <w:rsid w:val="003E315F"/>
    <w:rsid w:val="003E3C9D"/>
    <w:rsid w:val="003E41B7"/>
    <w:rsid w:val="003E4EAF"/>
    <w:rsid w:val="003E634E"/>
    <w:rsid w:val="003E71E4"/>
    <w:rsid w:val="003E76AA"/>
    <w:rsid w:val="003F034F"/>
    <w:rsid w:val="003F09C1"/>
    <w:rsid w:val="003F0ECA"/>
    <w:rsid w:val="003F1435"/>
    <w:rsid w:val="003F1771"/>
    <w:rsid w:val="003F2DB6"/>
    <w:rsid w:val="003F3098"/>
    <w:rsid w:val="003F328C"/>
    <w:rsid w:val="003F340E"/>
    <w:rsid w:val="003F3786"/>
    <w:rsid w:val="003F47C0"/>
    <w:rsid w:val="003F6028"/>
    <w:rsid w:val="003F6E90"/>
    <w:rsid w:val="00400342"/>
    <w:rsid w:val="00400B62"/>
    <w:rsid w:val="00401113"/>
    <w:rsid w:val="00401570"/>
    <w:rsid w:val="00401983"/>
    <w:rsid w:val="00402317"/>
    <w:rsid w:val="004034D8"/>
    <w:rsid w:val="0040384A"/>
    <w:rsid w:val="00403EAF"/>
    <w:rsid w:val="004040F5"/>
    <w:rsid w:val="00404CB9"/>
    <w:rsid w:val="00405597"/>
    <w:rsid w:val="00405F71"/>
    <w:rsid w:val="004060F1"/>
    <w:rsid w:val="00406AD4"/>
    <w:rsid w:val="00406D7C"/>
    <w:rsid w:val="004075C9"/>
    <w:rsid w:val="00407C76"/>
    <w:rsid w:val="00410BED"/>
    <w:rsid w:val="0041127A"/>
    <w:rsid w:val="004124C7"/>
    <w:rsid w:val="00412F6A"/>
    <w:rsid w:val="00413943"/>
    <w:rsid w:val="00414B39"/>
    <w:rsid w:val="0041556C"/>
    <w:rsid w:val="00415AD3"/>
    <w:rsid w:val="00415E70"/>
    <w:rsid w:val="00416510"/>
    <w:rsid w:val="0041716D"/>
    <w:rsid w:val="0041761E"/>
    <w:rsid w:val="004178B8"/>
    <w:rsid w:val="004179E9"/>
    <w:rsid w:val="0042084F"/>
    <w:rsid w:val="00422294"/>
    <w:rsid w:val="00422EC9"/>
    <w:rsid w:val="0042316B"/>
    <w:rsid w:val="00424F13"/>
    <w:rsid w:val="004262B5"/>
    <w:rsid w:val="004263F1"/>
    <w:rsid w:val="0042730B"/>
    <w:rsid w:val="00427892"/>
    <w:rsid w:val="00427BEB"/>
    <w:rsid w:val="00430801"/>
    <w:rsid w:val="00432DD9"/>
    <w:rsid w:val="00433253"/>
    <w:rsid w:val="00434CA5"/>
    <w:rsid w:val="00434D9C"/>
    <w:rsid w:val="0043504B"/>
    <w:rsid w:val="004364D7"/>
    <w:rsid w:val="00436C2E"/>
    <w:rsid w:val="004372A4"/>
    <w:rsid w:val="00437897"/>
    <w:rsid w:val="00437DBB"/>
    <w:rsid w:val="00440DAC"/>
    <w:rsid w:val="00440DF3"/>
    <w:rsid w:val="004414B9"/>
    <w:rsid w:val="0044225A"/>
    <w:rsid w:val="004425F1"/>
    <w:rsid w:val="00442B11"/>
    <w:rsid w:val="00442BB5"/>
    <w:rsid w:val="004430C4"/>
    <w:rsid w:val="0044453A"/>
    <w:rsid w:val="004450E9"/>
    <w:rsid w:val="00445168"/>
    <w:rsid w:val="004456C2"/>
    <w:rsid w:val="00445D20"/>
    <w:rsid w:val="00446DB7"/>
    <w:rsid w:val="004479AF"/>
    <w:rsid w:val="00450D47"/>
    <w:rsid w:val="004512DB"/>
    <w:rsid w:val="00451ABD"/>
    <w:rsid w:val="00451D11"/>
    <w:rsid w:val="00451EA5"/>
    <w:rsid w:val="00452446"/>
    <w:rsid w:val="0045466C"/>
    <w:rsid w:val="00454771"/>
    <w:rsid w:val="00454BD5"/>
    <w:rsid w:val="00454FFC"/>
    <w:rsid w:val="00455379"/>
    <w:rsid w:val="00455B46"/>
    <w:rsid w:val="00456466"/>
    <w:rsid w:val="00456AA2"/>
    <w:rsid w:val="0045701B"/>
    <w:rsid w:val="004601E5"/>
    <w:rsid w:val="0046060E"/>
    <w:rsid w:val="00460AA3"/>
    <w:rsid w:val="00460B41"/>
    <w:rsid w:val="00462BE8"/>
    <w:rsid w:val="004632D4"/>
    <w:rsid w:val="00463885"/>
    <w:rsid w:val="00463CBB"/>
    <w:rsid w:val="00463F3D"/>
    <w:rsid w:val="0046463E"/>
    <w:rsid w:val="00464B13"/>
    <w:rsid w:val="00464C25"/>
    <w:rsid w:val="00464C92"/>
    <w:rsid w:val="0046501A"/>
    <w:rsid w:val="00465613"/>
    <w:rsid w:val="00465C28"/>
    <w:rsid w:val="004675D0"/>
    <w:rsid w:val="00470656"/>
    <w:rsid w:val="0047159D"/>
    <w:rsid w:val="00471A41"/>
    <w:rsid w:val="004733DC"/>
    <w:rsid w:val="00473519"/>
    <w:rsid w:val="00473624"/>
    <w:rsid w:val="004745AC"/>
    <w:rsid w:val="00476876"/>
    <w:rsid w:val="00476AE3"/>
    <w:rsid w:val="00476B97"/>
    <w:rsid w:val="00476C6B"/>
    <w:rsid w:val="00477D81"/>
    <w:rsid w:val="00481473"/>
    <w:rsid w:val="00481F89"/>
    <w:rsid w:val="004833D6"/>
    <w:rsid w:val="00483447"/>
    <w:rsid w:val="00483E0E"/>
    <w:rsid w:val="00484470"/>
    <w:rsid w:val="00484BFC"/>
    <w:rsid w:val="00485124"/>
    <w:rsid w:val="00485FD6"/>
    <w:rsid w:val="00486851"/>
    <w:rsid w:val="0048697E"/>
    <w:rsid w:val="004869E0"/>
    <w:rsid w:val="00487840"/>
    <w:rsid w:val="00490F94"/>
    <w:rsid w:val="00491840"/>
    <w:rsid w:val="00491997"/>
    <w:rsid w:val="004921E4"/>
    <w:rsid w:val="00492E46"/>
    <w:rsid w:val="00493AD5"/>
    <w:rsid w:val="00494581"/>
    <w:rsid w:val="00494633"/>
    <w:rsid w:val="00496524"/>
    <w:rsid w:val="0049744A"/>
    <w:rsid w:val="00497A67"/>
    <w:rsid w:val="00497B15"/>
    <w:rsid w:val="004A07EA"/>
    <w:rsid w:val="004A0A91"/>
    <w:rsid w:val="004A1D9F"/>
    <w:rsid w:val="004A2F0B"/>
    <w:rsid w:val="004A403D"/>
    <w:rsid w:val="004A4563"/>
    <w:rsid w:val="004A5890"/>
    <w:rsid w:val="004A5F89"/>
    <w:rsid w:val="004A6399"/>
    <w:rsid w:val="004A6531"/>
    <w:rsid w:val="004A74E9"/>
    <w:rsid w:val="004B04D5"/>
    <w:rsid w:val="004B12DE"/>
    <w:rsid w:val="004B1466"/>
    <w:rsid w:val="004B19C7"/>
    <w:rsid w:val="004B1D8C"/>
    <w:rsid w:val="004B255F"/>
    <w:rsid w:val="004B29B0"/>
    <w:rsid w:val="004B2B01"/>
    <w:rsid w:val="004B2D11"/>
    <w:rsid w:val="004B52D4"/>
    <w:rsid w:val="004B53DB"/>
    <w:rsid w:val="004B5931"/>
    <w:rsid w:val="004B6D92"/>
    <w:rsid w:val="004B70E2"/>
    <w:rsid w:val="004B71DB"/>
    <w:rsid w:val="004B757F"/>
    <w:rsid w:val="004C003F"/>
    <w:rsid w:val="004C0E35"/>
    <w:rsid w:val="004C0FF7"/>
    <w:rsid w:val="004C1EBF"/>
    <w:rsid w:val="004C2A39"/>
    <w:rsid w:val="004C354D"/>
    <w:rsid w:val="004C35ED"/>
    <w:rsid w:val="004C36B7"/>
    <w:rsid w:val="004C372D"/>
    <w:rsid w:val="004C4125"/>
    <w:rsid w:val="004C428C"/>
    <w:rsid w:val="004C4A11"/>
    <w:rsid w:val="004C5226"/>
    <w:rsid w:val="004C544A"/>
    <w:rsid w:val="004C5D58"/>
    <w:rsid w:val="004C63DB"/>
    <w:rsid w:val="004C6696"/>
    <w:rsid w:val="004C7B06"/>
    <w:rsid w:val="004D0013"/>
    <w:rsid w:val="004D00B9"/>
    <w:rsid w:val="004D0718"/>
    <w:rsid w:val="004D0B98"/>
    <w:rsid w:val="004D1A5E"/>
    <w:rsid w:val="004D1F6C"/>
    <w:rsid w:val="004D22FB"/>
    <w:rsid w:val="004D3FDB"/>
    <w:rsid w:val="004D431C"/>
    <w:rsid w:val="004D4A94"/>
    <w:rsid w:val="004D4E0E"/>
    <w:rsid w:val="004D5B1F"/>
    <w:rsid w:val="004D6B24"/>
    <w:rsid w:val="004D77AC"/>
    <w:rsid w:val="004E15CA"/>
    <w:rsid w:val="004E195F"/>
    <w:rsid w:val="004E28E7"/>
    <w:rsid w:val="004E2B50"/>
    <w:rsid w:val="004E2CEC"/>
    <w:rsid w:val="004E2D8C"/>
    <w:rsid w:val="004E30C4"/>
    <w:rsid w:val="004E628E"/>
    <w:rsid w:val="004E6ECD"/>
    <w:rsid w:val="004E7CFA"/>
    <w:rsid w:val="004F063C"/>
    <w:rsid w:val="004F11CD"/>
    <w:rsid w:val="004F2B74"/>
    <w:rsid w:val="004F2D9A"/>
    <w:rsid w:val="004F3BC9"/>
    <w:rsid w:val="004F42A8"/>
    <w:rsid w:val="004F4A71"/>
    <w:rsid w:val="004F50A3"/>
    <w:rsid w:val="004F5438"/>
    <w:rsid w:val="004F5926"/>
    <w:rsid w:val="004F65B9"/>
    <w:rsid w:val="004F6D9F"/>
    <w:rsid w:val="004F77D3"/>
    <w:rsid w:val="004F79B3"/>
    <w:rsid w:val="004F79EC"/>
    <w:rsid w:val="004F7FAD"/>
    <w:rsid w:val="00500083"/>
    <w:rsid w:val="005000CE"/>
    <w:rsid w:val="00500A28"/>
    <w:rsid w:val="0050108A"/>
    <w:rsid w:val="005010C4"/>
    <w:rsid w:val="00501B99"/>
    <w:rsid w:val="00501D02"/>
    <w:rsid w:val="005025F6"/>
    <w:rsid w:val="00502A10"/>
    <w:rsid w:val="005033EF"/>
    <w:rsid w:val="00504386"/>
    <w:rsid w:val="00505263"/>
    <w:rsid w:val="00505DB6"/>
    <w:rsid w:val="00506207"/>
    <w:rsid w:val="00506E27"/>
    <w:rsid w:val="00507313"/>
    <w:rsid w:val="005075D7"/>
    <w:rsid w:val="00510734"/>
    <w:rsid w:val="00512D94"/>
    <w:rsid w:val="00514075"/>
    <w:rsid w:val="0051542A"/>
    <w:rsid w:val="00515AF6"/>
    <w:rsid w:val="00516D38"/>
    <w:rsid w:val="005220C4"/>
    <w:rsid w:val="0052275D"/>
    <w:rsid w:val="00522ACA"/>
    <w:rsid w:val="005235F5"/>
    <w:rsid w:val="00523631"/>
    <w:rsid w:val="005237C9"/>
    <w:rsid w:val="00523F23"/>
    <w:rsid w:val="00524AF1"/>
    <w:rsid w:val="00524EF1"/>
    <w:rsid w:val="00525F9D"/>
    <w:rsid w:val="00526110"/>
    <w:rsid w:val="0052614C"/>
    <w:rsid w:val="00526FE6"/>
    <w:rsid w:val="0052702B"/>
    <w:rsid w:val="005272D4"/>
    <w:rsid w:val="00527388"/>
    <w:rsid w:val="005277B2"/>
    <w:rsid w:val="005301CE"/>
    <w:rsid w:val="005302D8"/>
    <w:rsid w:val="00530659"/>
    <w:rsid w:val="00531153"/>
    <w:rsid w:val="00531CD8"/>
    <w:rsid w:val="00531FDA"/>
    <w:rsid w:val="00532183"/>
    <w:rsid w:val="00532BDE"/>
    <w:rsid w:val="0053439A"/>
    <w:rsid w:val="0053579B"/>
    <w:rsid w:val="00535D13"/>
    <w:rsid w:val="00536605"/>
    <w:rsid w:val="00537654"/>
    <w:rsid w:val="005379D2"/>
    <w:rsid w:val="0054013B"/>
    <w:rsid w:val="00541549"/>
    <w:rsid w:val="00542AAA"/>
    <w:rsid w:val="00542FB2"/>
    <w:rsid w:val="00544196"/>
    <w:rsid w:val="005448FD"/>
    <w:rsid w:val="00544EA1"/>
    <w:rsid w:val="0054730A"/>
    <w:rsid w:val="00547492"/>
    <w:rsid w:val="00547DF1"/>
    <w:rsid w:val="00547EBF"/>
    <w:rsid w:val="00550185"/>
    <w:rsid w:val="005508B7"/>
    <w:rsid w:val="00550E3B"/>
    <w:rsid w:val="00552085"/>
    <w:rsid w:val="00552259"/>
    <w:rsid w:val="005527BC"/>
    <w:rsid w:val="00552E6B"/>
    <w:rsid w:val="00554508"/>
    <w:rsid w:val="005547D8"/>
    <w:rsid w:val="00554D41"/>
    <w:rsid w:val="00556965"/>
    <w:rsid w:val="00557259"/>
    <w:rsid w:val="00557D2C"/>
    <w:rsid w:val="005607AF"/>
    <w:rsid w:val="00561C35"/>
    <w:rsid w:val="00561E80"/>
    <w:rsid w:val="005622DE"/>
    <w:rsid w:val="00562472"/>
    <w:rsid w:val="00562BF5"/>
    <w:rsid w:val="005639B6"/>
    <w:rsid w:val="00566494"/>
    <w:rsid w:val="00567CAF"/>
    <w:rsid w:val="00567F22"/>
    <w:rsid w:val="00567FAC"/>
    <w:rsid w:val="00570643"/>
    <w:rsid w:val="005726BC"/>
    <w:rsid w:val="005728BA"/>
    <w:rsid w:val="005731C9"/>
    <w:rsid w:val="005735BC"/>
    <w:rsid w:val="00573652"/>
    <w:rsid w:val="0057399F"/>
    <w:rsid w:val="00574149"/>
    <w:rsid w:val="0057475A"/>
    <w:rsid w:val="00574F88"/>
    <w:rsid w:val="0057503E"/>
    <w:rsid w:val="005750E1"/>
    <w:rsid w:val="00575133"/>
    <w:rsid w:val="00575225"/>
    <w:rsid w:val="005754E2"/>
    <w:rsid w:val="005756EF"/>
    <w:rsid w:val="00575729"/>
    <w:rsid w:val="00576738"/>
    <w:rsid w:val="0058085D"/>
    <w:rsid w:val="005809F5"/>
    <w:rsid w:val="00580E51"/>
    <w:rsid w:val="005812B2"/>
    <w:rsid w:val="005820B0"/>
    <w:rsid w:val="0058270B"/>
    <w:rsid w:val="005829E6"/>
    <w:rsid w:val="00582A54"/>
    <w:rsid w:val="00583232"/>
    <w:rsid w:val="005838AE"/>
    <w:rsid w:val="00583F36"/>
    <w:rsid w:val="00583FB9"/>
    <w:rsid w:val="00584423"/>
    <w:rsid w:val="00584435"/>
    <w:rsid w:val="00584761"/>
    <w:rsid w:val="00586539"/>
    <w:rsid w:val="005867A1"/>
    <w:rsid w:val="00586B32"/>
    <w:rsid w:val="005872F6"/>
    <w:rsid w:val="00590ED1"/>
    <w:rsid w:val="00591439"/>
    <w:rsid w:val="00593023"/>
    <w:rsid w:val="00593DD5"/>
    <w:rsid w:val="00595DA1"/>
    <w:rsid w:val="00595DC8"/>
    <w:rsid w:val="00597F4C"/>
    <w:rsid w:val="005A05E7"/>
    <w:rsid w:val="005A06F0"/>
    <w:rsid w:val="005A0928"/>
    <w:rsid w:val="005A0C23"/>
    <w:rsid w:val="005A24EA"/>
    <w:rsid w:val="005A359F"/>
    <w:rsid w:val="005A3A89"/>
    <w:rsid w:val="005A3A9A"/>
    <w:rsid w:val="005A430C"/>
    <w:rsid w:val="005A4412"/>
    <w:rsid w:val="005A4CF4"/>
    <w:rsid w:val="005A4E19"/>
    <w:rsid w:val="005A4F6B"/>
    <w:rsid w:val="005A60A8"/>
    <w:rsid w:val="005A6114"/>
    <w:rsid w:val="005A6805"/>
    <w:rsid w:val="005B0802"/>
    <w:rsid w:val="005B120B"/>
    <w:rsid w:val="005B2303"/>
    <w:rsid w:val="005B2562"/>
    <w:rsid w:val="005B2A07"/>
    <w:rsid w:val="005B2A1D"/>
    <w:rsid w:val="005B32CB"/>
    <w:rsid w:val="005B3ED8"/>
    <w:rsid w:val="005B5503"/>
    <w:rsid w:val="005B5755"/>
    <w:rsid w:val="005B72F4"/>
    <w:rsid w:val="005B7366"/>
    <w:rsid w:val="005B78BC"/>
    <w:rsid w:val="005C08AC"/>
    <w:rsid w:val="005C1AD4"/>
    <w:rsid w:val="005C1F1F"/>
    <w:rsid w:val="005C23D3"/>
    <w:rsid w:val="005C34A6"/>
    <w:rsid w:val="005C4F0A"/>
    <w:rsid w:val="005C502F"/>
    <w:rsid w:val="005C5761"/>
    <w:rsid w:val="005C57FC"/>
    <w:rsid w:val="005C5AF3"/>
    <w:rsid w:val="005C6138"/>
    <w:rsid w:val="005C7647"/>
    <w:rsid w:val="005C79C1"/>
    <w:rsid w:val="005D114A"/>
    <w:rsid w:val="005D1154"/>
    <w:rsid w:val="005D16F9"/>
    <w:rsid w:val="005D1C68"/>
    <w:rsid w:val="005D21B5"/>
    <w:rsid w:val="005D24E3"/>
    <w:rsid w:val="005D2653"/>
    <w:rsid w:val="005D390E"/>
    <w:rsid w:val="005D39F3"/>
    <w:rsid w:val="005D3DEE"/>
    <w:rsid w:val="005D3EE8"/>
    <w:rsid w:val="005D434E"/>
    <w:rsid w:val="005D447F"/>
    <w:rsid w:val="005D46D4"/>
    <w:rsid w:val="005D47ED"/>
    <w:rsid w:val="005D532F"/>
    <w:rsid w:val="005D5698"/>
    <w:rsid w:val="005D605C"/>
    <w:rsid w:val="005D6456"/>
    <w:rsid w:val="005D7314"/>
    <w:rsid w:val="005E0A7A"/>
    <w:rsid w:val="005E2D08"/>
    <w:rsid w:val="005E42BC"/>
    <w:rsid w:val="005E4FB8"/>
    <w:rsid w:val="005E5527"/>
    <w:rsid w:val="005E676F"/>
    <w:rsid w:val="005E697B"/>
    <w:rsid w:val="005E6F61"/>
    <w:rsid w:val="005E7A7E"/>
    <w:rsid w:val="005F02CC"/>
    <w:rsid w:val="005F0324"/>
    <w:rsid w:val="005F1569"/>
    <w:rsid w:val="005F159C"/>
    <w:rsid w:val="005F2AD6"/>
    <w:rsid w:val="005F31AA"/>
    <w:rsid w:val="005F3AB5"/>
    <w:rsid w:val="005F48EA"/>
    <w:rsid w:val="005F548B"/>
    <w:rsid w:val="005F573B"/>
    <w:rsid w:val="005F5C8C"/>
    <w:rsid w:val="005F63CB"/>
    <w:rsid w:val="005F6C90"/>
    <w:rsid w:val="005F70DC"/>
    <w:rsid w:val="005F74E9"/>
    <w:rsid w:val="005F7E83"/>
    <w:rsid w:val="00600064"/>
    <w:rsid w:val="006005C8"/>
    <w:rsid w:val="00601D60"/>
    <w:rsid w:val="00601EDC"/>
    <w:rsid w:val="006024DA"/>
    <w:rsid w:val="0060259D"/>
    <w:rsid w:val="00602F89"/>
    <w:rsid w:val="00603085"/>
    <w:rsid w:val="00603D46"/>
    <w:rsid w:val="00603ED5"/>
    <w:rsid w:val="00604C3D"/>
    <w:rsid w:val="0060578A"/>
    <w:rsid w:val="006063BB"/>
    <w:rsid w:val="00606D39"/>
    <w:rsid w:val="006106DE"/>
    <w:rsid w:val="0061313E"/>
    <w:rsid w:val="006133EE"/>
    <w:rsid w:val="00613783"/>
    <w:rsid w:val="00613BB8"/>
    <w:rsid w:val="00614915"/>
    <w:rsid w:val="00614ACD"/>
    <w:rsid w:val="0061580B"/>
    <w:rsid w:val="00615967"/>
    <w:rsid w:val="00617D14"/>
    <w:rsid w:val="00617DE8"/>
    <w:rsid w:val="00620207"/>
    <w:rsid w:val="00621B8F"/>
    <w:rsid w:val="00622070"/>
    <w:rsid w:val="00622ADF"/>
    <w:rsid w:val="00622BC4"/>
    <w:rsid w:val="006230AD"/>
    <w:rsid w:val="00623CA0"/>
    <w:rsid w:val="0062496A"/>
    <w:rsid w:val="0062521B"/>
    <w:rsid w:val="006256EC"/>
    <w:rsid w:val="00625F99"/>
    <w:rsid w:val="0062711C"/>
    <w:rsid w:val="006316FB"/>
    <w:rsid w:val="00633146"/>
    <w:rsid w:val="006341C1"/>
    <w:rsid w:val="00635722"/>
    <w:rsid w:val="00635975"/>
    <w:rsid w:val="006360A2"/>
    <w:rsid w:val="006363FC"/>
    <w:rsid w:val="00637C96"/>
    <w:rsid w:val="00640610"/>
    <w:rsid w:val="0064291D"/>
    <w:rsid w:val="00644234"/>
    <w:rsid w:val="00646450"/>
    <w:rsid w:val="00647247"/>
    <w:rsid w:val="00647442"/>
    <w:rsid w:val="00647D0B"/>
    <w:rsid w:val="00651906"/>
    <w:rsid w:val="00652193"/>
    <w:rsid w:val="006524EB"/>
    <w:rsid w:val="00652FBC"/>
    <w:rsid w:val="0065350E"/>
    <w:rsid w:val="00653616"/>
    <w:rsid w:val="00654167"/>
    <w:rsid w:val="006541B5"/>
    <w:rsid w:val="00654999"/>
    <w:rsid w:val="00655058"/>
    <w:rsid w:val="0065552C"/>
    <w:rsid w:val="0065575A"/>
    <w:rsid w:val="006557A5"/>
    <w:rsid w:val="00655B16"/>
    <w:rsid w:val="00655F93"/>
    <w:rsid w:val="00656955"/>
    <w:rsid w:val="006570D5"/>
    <w:rsid w:val="006601A5"/>
    <w:rsid w:val="006609BC"/>
    <w:rsid w:val="00660A0C"/>
    <w:rsid w:val="006623D4"/>
    <w:rsid w:val="00662CA5"/>
    <w:rsid w:val="0066369A"/>
    <w:rsid w:val="00664342"/>
    <w:rsid w:val="0066476D"/>
    <w:rsid w:val="00665422"/>
    <w:rsid w:val="006661DE"/>
    <w:rsid w:val="00667831"/>
    <w:rsid w:val="00667E6D"/>
    <w:rsid w:val="0067004F"/>
    <w:rsid w:val="00670B36"/>
    <w:rsid w:val="0067108E"/>
    <w:rsid w:val="0067207F"/>
    <w:rsid w:val="0067281E"/>
    <w:rsid w:val="006735BE"/>
    <w:rsid w:val="00674BF1"/>
    <w:rsid w:val="00675CAA"/>
    <w:rsid w:val="00676006"/>
    <w:rsid w:val="006761E8"/>
    <w:rsid w:val="006768FA"/>
    <w:rsid w:val="0067765C"/>
    <w:rsid w:val="00677F21"/>
    <w:rsid w:val="00681004"/>
    <w:rsid w:val="00681097"/>
    <w:rsid w:val="00681B5E"/>
    <w:rsid w:val="00683348"/>
    <w:rsid w:val="00683E5C"/>
    <w:rsid w:val="0068419D"/>
    <w:rsid w:val="00685383"/>
    <w:rsid w:val="00686082"/>
    <w:rsid w:val="00687468"/>
    <w:rsid w:val="00690021"/>
    <w:rsid w:val="0069095F"/>
    <w:rsid w:val="00690E2E"/>
    <w:rsid w:val="006913DD"/>
    <w:rsid w:val="00691661"/>
    <w:rsid w:val="0069179B"/>
    <w:rsid w:val="00691CB5"/>
    <w:rsid w:val="00691EF8"/>
    <w:rsid w:val="00692C74"/>
    <w:rsid w:val="00693524"/>
    <w:rsid w:val="00693B5C"/>
    <w:rsid w:val="0069421F"/>
    <w:rsid w:val="00694E16"/>
    <w:rsid w:val="0069503C"/>
    <w:rsid w:val="006955BE"/>
    <w:rsid w:val="00696E48"/>
    <w:rsid w:val="00697F5A"/>
    <w:rsid w:val="006A087F"/>
    <w:rsid w:val="006A108E"/>
    <w:rsid w:val="006A1394"/>
    <w:rsid w:val="006A14C2"/>
    <w:rsid w:val="006A1B76"/>
    <w:rsid w:val="006A1BAB"/>
    <w:rsid w:val="006A1F4A"/>
    <w:rsid w:val="006A2574"/>
    <w:rsid w:val="006A27FE"/>
    <w:rsid w:val="006A38CD"/>
    <w:rsid w:val="006A3BB2"/>
    <w:rsid w:val="006A4FFD"/>
    <w:rsid w:val="006A5F85"/>
    <w:rsid w:val="006A686C"/>
    <w:rsid w:val="006A7165"/>
    <w:rsid w:val="006A78DE"/>
    <w:rsid w:val="006B09CE"/>
    <w:rsid w:val="006B0B3E"/>
    <w:rsid w:val="006B0C48"/>
    <w:rsid w:val="006B2FE0"/>
    <w:rsid w:val="006B55AC"/>
    <w:rsid w:val="006B565C"/>
    <w:rsid w:val="006B5D86"/>
    <w:rsid w:val="006B6BC0"/>
    <w:rsid w:val="006B78DC"/>
    <w:rsid w:val="006B7A9D"/>
    <w:rsid w:val="006B7FC1"/>
    <w:rsid w:val="006C0EE1"/>
    <w:rsid w:val="006C161C"/>
    <w:rsid w:val="006C2E8B"/>
    <w:rsid w:val="006C3458"/>
    <w:rsid w:val="006C35E0"/>
    <w:rsid w:val="006C444B"/>
    <w:rsid w:val="006C4512"/>
    <w:rsid w:val="006C4E8D"/>
    <w:rsid w:val="006C62E9"/>
    <w:rsid w:val="006C6478"/>
    <w:rsid w:val="006C7E9B"/>
    <w:rsid w:val="006D1395"/>
    <w:rsid w:val="006D1845"/>
    <w:rsid w:val="006D2607"/>
    <w:rsid w:val="006D28A4"/>
    <w:rsid w:val="006D2BC0"/>
    <w:rsid w:val="006D68C0"/>
    <w:rsid w:val="006D68CC"/>
    <w:rsid w:val="006D6FEF"/>
    <w:rsid w:val="006E1033"/>
    <w:rsid w:val="006E16B2"/>
    <w:rsid w:val="006E24ED"/>
    <w:rsid w:val="006E2746"/>
    <w:rsid w:val="006E2FBB"/>
    <w:rsid w:val="006E4ABD"/>
    <w:rsid w:val="006E525D"/>
    <w:rsid w:val="006E5C36"/>
    <w:rsid w:val="006E5DE9"/>
    <w:rsid w:val="006E6A76"/>
    <w:rsid w:val="006E75CC"/>
    <w:rsid w:val="006E7873"/>
    <w:rsid w:val="006E7A49"/>
    <w:rsid w:val="006F0067"/>
    <w:rsid w:val="006F0D42"/>
    <w:rsid w:val="006F1FAC"/>
    <w:rsid w:val="006F3647"/>
    <w:rsid w:val="006F3C55"/>
    <w:rsid w:val="006F40D1"/>
    <w:rsid w:val="006F4B6D"/>
    <w:rsid w:val="006F4D3B"/>
    <w:rsid w:val="006F593D"/>
    <w:rsid w:val="006F606A"/>
    <w:rsid w:val="006F6141"/>
    <w:rsid w:val="006F62C7"/>
    <w:rsid w:val="006F66BB"/>
    <w:rsid w:val="006F6A5B"/>
    <w:rsid w:val="006F6E82"/>
    <w:rsid w:val="006F72A2"/>
    <w:rsid w:val="006F74FA"/>
    <w:rsid w:val="00700C88"/>
    <w:rsid w:val="00700F80"/>
    <w:rsid w:val="00701211"/>
    <w:rsid w:val="00701F92"/>
    <w:rsid w:val="00702F91"/>
    <w:rsid w:val="0070501A"/>
    <w:rsid w:val="007062B1"/>
    <w:rsid w:val="0070646B"/>
    <w:rsid w:val="007119EC"/>
    <w:rsid w:val="00711BCC"/>
    <w:rsid w:val="00712282"/>
    <w:rsid w:val="00712447"/>
    <w:rsid w:val="0071278A"/>
    <w:rsid w:val="00712AE6"/>
    <w:rsid w:val="00712B0E"/>
    <w:rsid w:val="00713BAF"/>
    <w:rsid w:val="007149B1"/>
    <w:rsid w:val="007163B5"/>
    <w:rsid w:val="00716981"/>
    <w:rsid w:val="007171AD"/>
    <w:rsid w:val="00720C6A"/>
    <w:rsid w:val="00720E4F"/>
    <w:rsid w:val="00722672"/>
    <w:rsid w:val="007226B6"/>
    <w:rsid w:val="00722C95"/>
    <w:rsid w:val="00724581"/>
    <w:rsid w:val="00724712"/>
    <w:rsid w:val="00724CAF"/>
    <w:rsid w:val="00730632"/>
    <w:rsid w:val="007310A4"/>
    <w:rsid w:val="00732024"/>
    <w:rsid w:val="0073244B"/>
    <w:rsid w:val="00732904"/>
    <w:rsid w:val="00732A26"/>
    <w:rsid w:val="00732B52"/>
    <w:rsid w:val="00734073"/>
    <w:rsid w:val="00734617"/>
    <w:rsid w:val="00734702"/>
    <w:rsid w:val="007358EA"/>
    <w:rsid w:val="00737899"/>
    <w:rsid w:val="007401BF"/>
    <w:rsid w:val="00741D14"/>
    <w:rsid w:val="007427D7"/>
    <w:rsid w:val="00742D94"/>
    <w:rsid w:val="0074316A"/>
    <w:rsid w:val="00744A12"/>
    <w:rsid w:val="007455CD"/>
    <w:rsid w:val="007457A7"/>
    <w:rsid w:val="0074640F"/>
    <w:rsid w:val="00746449"/>
    <w:rsid w:val="0074704A"/>
    <w:rsid w:val="00747067"/>
    <w:rsid w:val="0074725D"/>
    <w:rsid w:val="00747B62"/>
    <w:rsid w:val="007500C4"/>
    <w:rsid w:val="00750145"/>
    <w:rsid w:val="00751068"/>
    <w:rsid w:val="00751548"/>
    <w:rsid w:val="00751F08"/>
    <w:rsid w:val="00752718"/>
    <w:rsid w:val="0075277B"/>
    <w:rsid w:val="00752ECA"/>
    <w:rsid w:val="00752FBD"/>
    <w:rsid w:val="007536C4"/>
    <w:rsid w:val="00754542"/>
    <w:rsid w:val="00754C9D"/>
    <w:rsid w:val="007564B1"/>
    <w:rsid w:val="007573E2"/>
    <w:rsid w:val="00757D9A"/>
    <w:rsid w:val="00757FF4"/>
    <w:rsid w:val="0076005C"/>
    <w:rsid w:val="007601D6"/>
    <w:rsid w:val="007607AD"/>
    <w:rsid w:val="007613B3"/>
    <w:rsid w:val="007615E1"/>
    <w:rsid w:val="00761755"/>
    <w:rsid w:val="00761FB1"/>
    <w:rsid w:val="0076247E"/>
    <w:rsid w:val="00762499"/>
    <w:rsid w:val="007624A6"/>
    <w:rsid w:val="007635DC"/>
    <w:rsid w:val="00763707"/>
    <w:rsid w:val="00763E40"/>
    <w:rsid w:val="0076458F"/>
    <w:rsid w:val="00765056"/>
    <w:rsid w:val="00765667"/>
    <w:rsid w:val="00766BA6"/>
    <w:rsid w:val="00766F3F"/>
    <w:rsid w:val="00766FD4"/>
    <w:rsid w:val="00767F13"/>
    <w:rsid w:val="00767F2A"/>
    <w:rsid w:val="00770FFD"/>
    <w:rsid w:val="00771AAF"/>
    <w:rsid w:val="00771F5D"/>
    <w:rsid w:val="00772947"/>
    <w:rsid w:val="0077330F"/>
    <w:rsid w:val="00773580"/>
    <w:rsid w:val="007736B1"/>
    <w:rsid w:val="007739C3"/>
    <w:rsid w:val="00773CD9"/>
    <w:rsid w:val="00775061"/>
    <w:rsid w:val="00775A5F"/>
    <w:rsid w:val="00775DB2"/>
    <w:rsid w:val="00775E37"/>
    <w:rsid w:val="00775EBF"/>
    <w:rsid w:val="0077738F"/>
    <w:rsid w:val="00777A31"/>
    <w:rsid w:val="00777EAB"/>
    <w:rsid w:val="00780103"/>
    <w:rsid w:val="00780862"/>
    <w:rsid w:val="007812F2"/>
    <w:rsid w:val="0078150D"/>
    <w:rsid w:val="007815B6"/>
    <w:rsid w:val="00781B2A"/>
    <w:rsid w:val="00781B79"/>
    <w:rsid w:val="00781C22"/>
    <w:rsid w:val="00783008"/>
    <w:rsid w:val="00783C63"/>
    <w:rsid w:val="00784A48"/>
    <w:rsid w:val="00784E16"/>
    <w:rsid w:val="00784F52"/>
    <w:rsid w:val="00784F6C"/>
    <w:rsid w:val="007858AD"/>
    <w:rsid w:val="00785AA2"/>
    <w:rsid w:val="00785D7C"/>
    <w:rsid w:val="007862AB"/>
    <w:rsid w:val="00786636"/>
    <w:rsid w:val="00790969"/>
    <w:rsid w:val="007915F9"/>
    <w:rsid w:val="00791B8C"/>
    <w:rsid w:val="00793516"/>
    <w:rsid w:val="007939EC"/>
    <w:rsid w:val="00793D99"/>
    <w:rsid w:val="00793E4F"/>
    <w:rsid w:val="00794AC1"/>
    <w:rsid w:val="007952C2"/>
    <w:rsid w:val="00795325"/>
    <w:rsid w:val="00795648"/>
    <w:rsid w:val="00795A9B"/>
    <w:rsid w:val="00795B16"/>
    <w:rsid w:val="00797318"/>
    <w:rsid w:val="007A0916"/>
    <w:rsid w:val="007A09DA"/>
    <w:rsid w:val="007A13BC"/>
    <w:rsid w:val="007A1967"/>
    <w:rsid w:val="007A2003"/>
    <w:rsid w:val="007A398E"/>
    <w:rsid w:val="007A3CE3"/>
    <w:rsid w:val="007A3E7D"/>
    <w:rsid w:val="007A4C7B"/>
    <w:rsid w:val="007A4D11"/>
    <w:rsid w:val="007A5C35"/>
    <w:rsid w:val="007A5CB1"/>
    <w:rsid w:val="007A60BA"/>
    <w:rsid w:val="007A65D1"/>
    <w:rsid w:val="007A65E2"/>
    <w:rsid w:val="007A6958"/>
    <w:rsid w:val="007A69A7"/>
    <w:rsid w:val="007A70C4"/>
    <w:rsid w:val="007A7541"/>
    <w:rsid w:val="007A77DE"/>
    <w:rsid w:val="007B09D6"/>
    <w:rsid w:val="007B0D2B"/>
    <w:rsid w:val="007B1344"/>
    <w:rsid w:val="007B1841"/>
    <w:rsid w:val="007B1FAE"/>
    <w:rsid w:val="007B31A1"/>
    <w:rsid w:val="007B35DF"/>
    <w:rsid w:val="007B3BB2"/>
    <w:rsid w:val="007B3BCE"/>
    <w:rsid w:val="007B5440"/>
    <w:rsid w:val="007B7E2D"/>
    <w:rsid w:val="007C01DA"/>
    <w:rsid w:val="007C023C"/>
    <w:rsid w:val="007C025E"/>
    <w:rsid w:val="007C04B6"/>
    <w:rsid w:val="007C16D8"/>
    <w:rsid w:val="007C2D7C"/>
    <w:rsid w:val="007C2FD2"/>
    <w:rsid w:val="007C3077"/>
    <w:rsid w:val="007C3C1A"/>
    <w:rsid w:val="007C468A"/>
    <w:rsid w:val="007C46D2"/>
    <w:rsid w:val="007C4C32"/>
    <w:rsid w:val="007C54D0"/>
    <w:rsid w:val="007C563F"/>
    <w:rsid w:val="007C567A"/>
    <w:rsid w:val="007C6D7C"/>
    <w:rsid w:val="007C71BB"/>
    <w:rsid w:val="007C78D2"/>
    <w:rsid w:val="007C7F9B"/>
    <w:rsid w:val="007D0726"/>
    <w:rsid w:val="007D0962"/>
    <w:rsid w:val="007D1936"/>
    <w:rsid w:val="007D24DA"/>
    <w:rsid w:val="007D25EE"/>
    <w:rsid w:val="007D280B"/>
    <w:rsid w:val="007D29AA"/>
    <w:rsid w:val="007D2DE9"/>
    <w:rsid w:val="007D3BA5"/>
    <w:rsid w:val="007D4460"/>
    <w:rsid w:val="007D462C"/>
    <w:rsid w:val="007D47E4"/>
    <w:rsid w:val="007D4859"/>
    <w:rsid w:val="007D4F1C"/>
    <w:rsid w:val="007D5B88"/>
    <w:rsid w:val="007D6BA7"/>
    <w:rsid w:val="007D6E23"/>
    <w:rsid w:val="007D713B"/>
    <w:rsid w:val="007D7C7D"/>
    <w:rsid w:val="007E1400"/>
    <w:rsid w:val="007E16FF"/>
    <w:rsid w:val="007E1B2D"/>
    <w:rsid w:val="007E242E"/>
    <w:rsid w:val="007E2B96"/>
    <w:rsid w:val="007E2D27"/>
    <w:rsid w:val="007E2E0B"/>
    <w:rsid w:val="007E42A0"/>
    <w:rsid w:val="007E48FD"/>
    <w:rsid w:val="007E631C"/>
    <w:rsid w:val="007E7BE3"/>
    <w:rsid w:val="007F07D2"/>
    <w:rsid w:val="007F08A4"/>
    <w:rsid w:val="007F149A"/>
    <w:rsid w:val="007F18BE"/>
    <w:rsid w:val="007F1F1A"/>
    <w:rsid w:val="007F4691"/>
    <w:rsid w:val="007F4755"/>
    <w:rsid w:val="007F4F6D"/>
    <w:rsid w:val="007F4FE9"/>
    <w:rsid w:val="007F50B5"/>
    <w:rsid w:val="007F5ADC"/>
    <w:rsid w:val="007F5F69"/>
    <w:rsid w:val="007F6015"/>
    <w:rsid w:val="007F64EE"/>
    <w:rsid w:val="007F6CC7"/>
    <w:rsid w:val="007F6F8B"/>
    <w:rsid w:val="007F7562"/>
    <w:rsid w:val="0080090E"/>
    <w:rsid w:val="00801CC7"/>
    <w:rsid w:val="00802783"/>
    <w:rsid w:val="00802D8B"/>
    <w:rsid w:val="00802F30"/>
    <w:rsid w:val="008031BB"/>
    <w:rsid w:val="00803236"/>
    <w:rsid w:val="00803EEC"/>
    <w:rsid w:val="00804015"/>
    <w:rsid w:val="008047B2"/>
    <w:rsid w:val="00804801"/>
    <w:rsid w:val="00804BEC"/>
    <w:rsid w:val="0080504B"/>
    <w:rsid w:val="00806918"/>
    <w:rsid w:val="00806E99"/>
    <w:rsid w:val="00807099"/>
    <w:rsid w:val="00807553"/>
    <w:rsid w:val="0081069D"/>
    <w:rsid w:val="0081093F"/>
    <w:rsid w:val="00810D87"/>
    <w:rsid w:val="00810FE9"/>
    <w:rsid w:val="00812FA1"/>
    <w:rsid w:val="008136A2"/>
    <w:rsid w:val="00813D26"/>
    <w:rsid w:val="00813D34"/>
    <w:rsid w:val="00814C90"/>
    <w:rsid w:val="00814E96"/>
    <w:rsid w:val="008157A1"/>
    <w:rsid w:val="00815CB4"/>
    <w:rsid w:val="0081617C"/>
    <w:rsid w:val="00816332"/>
    <w:rsid w:val="0081725E"/>
    <w:rsid w:val="0082136A"/>
    <w:rsid w:val="0082188E"/>
    <w:rsid w:val="00823383"/>
    <w:rsid w:val="00823AFB"/>
    <w:rsid w:val="00823E0A"/>
    <w:rsid w:val="00824593"/>
    <w:rsid w:val="00824B17"/>
    <w:rsid w:val="008258DE"/>
    <w:rsid w:val="008262F8"/>
    <w:rsid w:val="0082671B"/>
    <w:rsid w:val="00827141"/>
    <w:rsid w:val="008277BF"/>
    <w:rsid w:val="00827838"/>
    <w:rsid w:val="008314C4"/>
    <w:rsid w:val="0083154B"/>
    <w:rsid w:val="00831B7A"/>
    <w:rsid w:val="0083232A"/>
    <w:rsid w:val="008325AF"/>
    <w:rsid w:val="00833093"/>
    <w:rsid w:val="00833EA7"/>
    <w:rsid w:val="00833F7E"/>
    <w:rsid w:val="00834132"/>
    <w:rsid w:val="00835F6D"/>
    <w:rsid w:val="00836092"/>
    <w:rsid w:val="008405A5"/>
    <w:rsid w:val="00840BB5"/>
    <w:rsid w:val="00840D19"/>
    <w:rsid w:val="00841CB2"/>
    <w:rsid w:val="0084292F"/>
    <w:rsid w:val="00843139"/>
    <w:rsid w:val="00843D2F"/>
    <w:rsid w:val="0084406C"/>
    <w:rsid w:val="00845898"/>
    <w:rsid w:val="00845C7F"/>
    <w:rsid w:val="00845DDD"/>
    <w:rsid w:val="00846622"/>
    <w:rsid w:val="00846666"/>
    <w:rsid w:val="008476DA"/>
    <w:rsid w:val="008516FA"/>
    <w:rsid w:val="00851888"/>
    <w:rsid w:val="00851A77"/>
    <w:rsid w:val="00851AE7"/>
    <w:rsid w:val="00854999"/>
    <w:rsid w:val="00854DD9"/>
    <w:rsid w:val="00856088"/>
    <w:rsid w:val="0085636E"/>
    <w:rsid w:val="00856793"/>
    <w:rsid w:val="008573E9"/>
    <w:rsid w:val="00860919"/>
    <w:rsid w:val="00861D44"/>
    <w:rsid w:val="00864B58"/>
    <w:rsid w:val="008651F0"/>
    <w:rsid w:val="008655C4"/>
    <w:rsid w:val="0086578C"/>
    <w:rsid w:val="008658B8"/>
    <w:rsid w:val="008658E7"/>
    <w:rsid w:val="0086676B"/>
    <w:rsid w:val="0086682C"/>
    <w:rsid w:val="00866A49"/>
    <w:rsid w:val="0086723C"/>
    <w:rsid w:val="008677AE"/>
    <w:rsid w:val="008705E2"/>
    <w:rsid w:val="00870B55"/>
    <w:rsid w:val="00870F66"/>
    <w:rsid w:val="00871481"/>
    <w:rsid w:val="008714B0"/>
    <w:rsid w:val="008717C8"/>
    <w:rsid w:val="00872D01"/>
    <w:rsid w:val="008737F9"/>
    <w:rsid w:val="00873D3C"/>
    <w:rsid w:val="00874368"/>
    <w:rsid w:val="00874C9A"/>
    <w:rsid w:val="008752C8"/>
    <w:rsid w:val="00875C5B"/>
    <w:rsid w:val="008761B4"/>
    <w:rsid w:val="008761EE"/>
    <w:rsid w:val="00876679"/>
    <w:rsid w:val="00881C7F"/>
    <w:rsid w:val="0088305A"/>
    <w:rsid w:val="00883135"/>
    <w:rsid w:val="00887832"/>
    <w:rsid w:val="00887DAF"/>
    <w:rsid w:val="00891C2C"/>
    <w:rsid w:val="00891EC3"/>
    <w:rsid w:val="00893B17"/>
    <w:rsid w:val="00893BDB"/>
    <w:rsid w:val="00894554"/>
    <w:rsid w:val="00894976"/>
    <w:rsid w:val="0089501E"/>
    <w:rsid w:val="00895CF3"/>
    <w:rsid w:val="00896C1F"/>
    <w:rsid w:val="00897DA7"/>
    <w:rsid w:val="008A044D"/>
    <w:rsid w:val="008A0FA6"/>
    <w:rsid w:val="008A3776"/>
    <w:rsid w:val="008A38B8"/>
    <w:rsid w:val="008A3D26"/>
    <w:rsid w:val="008A4D77"/>
    <w:rsid w:val="008A5204"/>
    <w:rsid w:val="008A529F"/>
    <w:rsid w:val="008A53B2"/>
    <w:rsid w:val="008A54D7"/>
    <w:rsid w:val="008A56EC"/>
    <w:rsid w:val="008A7E07"/>
    <w:rsid w:val="008B08D8"/>
    <w:rsid w:val="008B08F7"/>
    <w:rsid w:val="008B136D"/>
    <w:rsid w:val="008B150F"/>
    <w:rsid w:val="008B2254"/>
    <w:rsid w:val="008B25DB"/>
    <w:rsid w:val="008B3920"/>
    <w:rsid w:val="008B3E98"/>
    <w:rsid w:val="008B47D5"/>
    <w:rsid w:val="008B4BAA"/>
    <w:rsid w:val="008B7E9B"/>
    <w:rsid w:val="008C06E5"/>
    <w:rsid w:val="008C0768"/>
    <w:rsid w:val="008C11C4"/>
    <w:rsid w:val="008C12DB"/>
    <w:rsid w:val="008C22DC"/>
    <w:rsid w:val="008C22E0"/>
    <w:rsid w:val="008C2317"/>
    <w:rsid w:val="008C24A2"/>
    <w:rsid w:val="008C2587"/>
    <w:rsid w:val="008C2CAE"/>
    <w:rsid w:val="008C43F6"/>
    <w:rsid w:val="008C470A"/>
    <w:rsid w:val="008C5624"/>
    <w:rsid w:val="008C571F"/>
    <w:rsid w:val="008C5C43"/>
    <w:rsid w:val="008C623B"/>
    <w:rsid w:val="008C6530"/>
    <w:rsid w:val="008C674B"/>
    <w:rsid w:val="008C6904"/>
    <w:rsid w:val="008C71D4"/>
    <w:rsid w:val="008C76FE"/>
    <w:rsid w:val="008C7B35"/>
    <w:rsid w:val="008C7DAB"/>
    <w:rsid w:val="008C7F18"/>
    <w:rsid w:val="008D0B0A"/>
    <w:rsid w:val="008D14B1"/>
    <w:rsid w:val="008D1EB8"/>
    <w:rsid w:val="008D1F7A"/>
    <w:rsid w:val="008D24C1"/>
    <w:rsid w:val="008D2A85"/>
    <w:rsid w:val="008D3193"/>
    <w:rsid w:val="008D38E5"/>
    <w:rsid w:val="008D449D"/>
    <w:rsid w:val="008D5FAB"/>
    <w:rsid w:val="008D6EA6"/>
    <w:rsid w:val="008D6F69"/>
    <w:rsid w:val="008D7910"/>
    <w:rsid w:val="008D7B87"/>
    <w:rsid w:val="008E072E"/>
    <w:rsid w:val="008E1C98"/>
    <w:rsid w:val="008E1EC0"/>
    <w:rsid w:val="008E1F63"/>
    <w:rsid w:val="008E1F9A"/>
    <w:rsid w:val="008E22DA"/>
    <w:rsid w:val="008E235F"/>
    <w:rsid w:val="008E2AB1"/>
    <w:rsid w:val="008E33C1"/>
    <w:rsid w:val="008E34D6"/>
    <w:rsid w:val="008E3B1C"/>
    <w:rsid w:val="008E448F"/>
    <w:rsid w:val="008E5B28"/>
    <w:rsid w:val="008E5CDE"/>
    <w:rsid w:val="008F0741"/>
    <w:rsid w:val="008F2E2C"/>
    <w:rsid w:val="008F4282"/>
    <w:rsid w:val="008F4B88"/>
    <w:rsid w:val="008F4D87"/>
    <w:rsid w:val="008F54F3"/>
    <w:rsid w:val="008F574C"/>
    <w:rsid w:val="008F577B"/>
    <w:rsid w:val="008F5B21"/>
    <w:rsid w:val="008F668E"/>
    <w:rsid w:val="008F67F6"/>
    <w:rsid w:val="009013D7"/>
    <w:rsid w:val="00901B3B"/>
    <w:rsid w:val="00902F9C"/>
    <w:rsid w:val="00904C93"/>
    <w:rsid w:val="00905A5F"/>
    <w:rsid w:val="009060A6"/>
    <w:rsid w:val="00906481"/>
    <w:rsid w:val="00907198"/>
    <w:rsid w:val="00907BC8"/>
    <w:rsid w:val="00910908"/>
    <w:rsid w:val="00910B66"/>
    <w:rsid w:val="00912A0C"/>
    <w:rsid w:val="009141A1"/>
    <w:rsid w:val="00914B48"/>
    <w:rsid w:val="00914F88"/>
    <w:rsid w:val="00914FBE"/>
    <w:rsid w:val="00915175"/>
    <w:rsid w:val="0091587E"/>
    <w:rsid w:val="009167F9"/>
    <w:rsid w:val="00916A64"/>
    <w:rsid w:val="00917AFF"/>
    <w:rsid w:val="00917D7E"/>
    <w:rsid w:val="009215BC"/>
    <w:rsid w:val="00921EA1"/>
    <w:rsid w:val="009225FD"/>
    <w:rsid w:val="00923072"/>
    <w:rsid w:val="009232F2"/>
    <w:rsid w:val="00923E81"/>
    <w:rsid w:val="00924536"/>
    <w:rsid w:val="00925538"/>
    <w:rsid w:val="0092554A"/>
    <w:rsid w:val="00925E63"/>
    <w:rsid w:val="009270C0"/>
    <w:rsid w:val="009277B1"/>
    <w:rsid w:val="00930280"/>
    <w:rsid w:val="00930BD6"/>
    <w:rsid w:val="00930F1F"/>
    <w:rsid w:val="009324B7"/>
    <w:rsid w:val="00932B73"/>
    <w:rsid w:val="00932F1B"/>
    <w:rsid w:val="00933A39"/>
    <w:rsid w:val="00933AE1"/>
    <w:rsid w:val="00934118"/>
    <w:rsid w:val="00934ADF"/>
    <w:rsid w:val="00935D67"/>
    <w:rsid w:val="00935F2C"/>
    <w:rsid w:val="0093634D"/>
    <w:rsid w:val="0093655E"/>
    <w:rsid w:val="00936861"/>
    <w:rsid w:val="00937458"/>
    <w:rsid w:val="0094003E"/>
    <w:rsid w:val="00940722"/>
    <w:rsid w:val="00941B9B"/>
    <w:rsid w:val="009422A0"/>
    <w:rsid w:val="00942341"/>
    <w:rsid w:val="0094350F"/>
    <w:rsid w:val="009436B2"/>
    <w:rsid w:val="00944000"/>
    <w:rsid w:val="00945174"/>
    <w:rsid w:val="00945572"/>
    <w:rsid w:val="00946ED9"/>
    <w:rsid w:val="00947883"/>
    <w:rsid w:val="00947A0F"/>
    <w:rsid w:val="00947CF6"/>
    <w:rsid w:val="00947DB4"/>
    <w:rsid w:val="0095009E"/>
    <w:rsid w:val="0095090D"/>
    <w:rsid w:val="009517D9"/>
    <w:rsid w:val="00951826"/>
    <w:rsid w:val="00951D5D"/>
    <w:rsid w:val="009520FF"/>
    <w:rsid w:val="009521CD"/>
    <w:rsid w:val="00952304"/>
    <w:rsid w:val="00952476"/>
    <w:rsid w:val="009527B7"/>
    <w:rsid w:val="0095439B"/>
    <w:rsid w:val="00954886"/>
    <w:rsid w:val="00954D44"/>
    <w:rsid w:val="00954FA4"/>
    <w:rsid w:val="009551ED"/>
    <w:rsid w:val="00955A5D"/>
    <w:rsid w:val="00955B98"/>
    <w:rsid w:val="00955E7B"/>
    <w:rsid w:val="009564F2"/>
    <w:rsid w:val="009565D7"/>
    <w:rsid w:val="00956AE1"/>
    <w:rsid w:val="00957672"/>
    <w:rsid w:val="00960DD7"/>
    <w:rsid w:val="00961F55"/>
    <w:rsid w:val="009625EC"/>
    <w:rsid w:val="00962AD6"/>
    <w:rsid w:val="00962E9A"/>
    <w:rsid w:val="00963BD0"/>
    <w:rsid w:val="00963CCF"/>
    <w:rsid w:val="00964127"/>
    <w:rsid w:val="00964182"/>
    <w:rsid w:val="009645DE"/>
    <w:rsid w:val="00964772"/>
    <w:rsid w:val="009648C4"/>
    <w:rsid w:val="00965949"/>
    <w:rsid w:val="009660A6"/>
    <w:rsid w:val="00966A43"/>
    <w:rsid w:val="00966B61"/>
    <w:rsid w:val="00970003"/>
    <w:rsid w:val="00970271"/>
    <w:rsid w:val="009703A7"/>
    <w:rsid w:val="00971817"/>
    <w:rsid w:val="00971F7A"/>
    <w:rsid w:val="00972037"/>
    <w:rsid w:val="009725F4"/>
    <w:rsid w:val="00973CE7"/>
    <w:rsid w:val="00974983"/>
    <w:rsid w:val="00974B3C"/>
    <w:rsid w:val="00975780"/>
    <w:rsid w:val="009758CB"/>
    <w:rsid w:val="00976345"/>
    <w:rsid w:val="00976717"/>
    <w:rsid w:val="00976BB4"/>
    <w:rsid w:val="00976DC5"/>
    <w:rsid w:val="00976FF3"/>
    <w:rsid w:val="009774C0"/>
    <w:rsid w:val="009777D3"/>
    <w:rsid w:val="00977C79"/>
    <w:rsid w:val="00980304"/>
    <w:rsid w:val="00981099"/>
    <w:rsid w:val="009812B1"/>
    <w:rsid w:val="009817A6"/>
    <w:rsid w:val="00981DFB"/>
    <w:rsid w:val="009821FB"/>
    <w:rsid w:val="00982994"/>
    <w:rsid w:val="0098382C"/>
    <w:rsid w:val="00985502"/>
    <w:rsid w:val="0098558A"/>
    <w:rsid w:val="00985FC6"/>
    <w:rsid w:val="0098676E"/>
    <w:rsid w:val="0098699A"/>
    <w:rsid w:val="00986DB9"/>
    <w:rsid w:val="00987030"/>
    <w:rsid w:val="009873C1"/>
    <w:rsid w:val="00987755"/>
    <w:rsid w:val="00990683"/>
    <w:rsid w:val="009907C1"/>
    <w:rsid w:val="00990B77"/>
    <w:rsid w:val="00990EB3"/>
    <w:rsid w:val="00991150"/>
    <w:rsid w:val="009918C9"/>
    <w:rsid w:val="00991ABC"/>
    <w:rsid w:val="00991B3D"/>
    <w:rsid w:val="00993BD2"/>
    <w:rsid w:val="009948FA"/>
    <w:rsid w:val="00996210"/>
    <w:rsid w:val="009965EE"/>
    <w:rsid w:val="00997198"/>
    <w:rsid w:val="009971C4"/>
    <w:rsid w:val="009972E6"/>
    <w:rsid w:val="009976E7"/>
    <w:rsid w:val="00997F5D"/>
    <w:rsid w:val="00997FBB"/>
    <w:rsid w:val="009A1629"/>
    <w:rsid w:val="009A16B2"/>
    <w:rsid w:val="009A3240"/>
    <w:rsid w:val="009A37BD"/>
    <w:rsid w:val="009A3C1A"/>
    <w:rsid w:val="009A43F9"/>
    <w:rsid w:val="009A4AA7"/>
    <w:rsid w:val="009A4B67"/>
    <w:rsid w:val="009A4D80"/>
    <w:rsid w:val="009A51EA"/>
    <w:rsid w:val="009A53E4"/>
    <w:rsid w:val="009A57A6"/>
    <w:rsid w:val="009A5C20"/>
    <w:rsid w:val="009A5C64"/>
    <w:rsid w:val="009A5D27"/>
    <w:rsid w:val="009A6C18"/>
    <w:rsid w:val="009A78C9"/>
    <w:rsid w:val="009A7EA5"/>
    <w:rsid w:val="009B1121"/>
    <w:rsid w:val="009B1980"/>
    <w:rsid w:val="009B1A19"/>
    <w:rsid w:val="009B23F6"/>
    <w:rsid w:val="009B25ED"/>
    <w:rsid w:val="009B2A91"/>
    <w:rsid w:val="009B2B03"/>
    <w:rsid w:val="009B3D1E"/>
    <w:rsid w:val="009B3D46"/>
    <w:rsid w:val="009B42DE"/>
    <w:rsid w:val="009B65B4"/>
    <w:rsid w:val="009B6B43"/>
    <w:rsid w:val="009B742A"/>
    <w:rsid w:val="009B764E"/>
    <w:rsid w:val="009B789E"/>
    <w:rsid w:val="009C032A"/>
    <w:rsid w:val="009C2982"/>
    <w:rsid w:val="009C30D8"/>
    <w:rsid w:val="009C43E4"/>
    <w:rsid w:val="009C4509"/>
    <w:rsid w:val="009C50AE"/>
    <w:rsid w:val="009C5896"/>
    <w:rsid w:val="009C61AB"/>
    <w:rsid w:val="009C6328"/>
    <w:rsid w:val="009C7193"/>
    <w:rsid w:val="009C7259"/>
    <w:rsid w:val="009D0C11"/>
    <w:rsid w:val="009D0C16"/>
    <w:rsid w:val="009D15A7"/>
    <w:rsid w:val="009D191A"/>
    <w:rsid w:val="009D1DD2"/>
    <w:rsid w:val="009D1FE7"/>
    <w:rsid w:val="009D4301"/>
    <w:rsid w:val="009D6463"/>
    <w:rsid w:val="009D6B75"/>
    <w:rsid w:val="009D70BF"/>
    <w:rsid w:val="009D75FE"/>
    <w:rsid w:val="009E043B"/>
    <w:rsid w:val="009E0BC8"/>
    <w:rsid w:val="009E247F"/>
    <w:rsid w:val="009E28B3"/>
    <w:rsid w:val="009E2C6B"/>
    <w:rsid w:val="009E36A1"/>
    <w:rsid w:val="009E57EC"/>
    <w:rsid w:val="009E5A4C"/>
    <w:rsid w:val="009E7139"/>
    <w:rsid w:val="009E7860"/>
    <w:rsid w:val="009E788D"/>
    <w:rsid w:val="009F19A4"/>
    <w:rsid w:val="009F1FDD"/>
    <w:rsid w:val="009F28A0"/>
    <w:rsid w:val="009F2B7F"/>
    <w:rsid w:val="009F4317"/>
    <w:rsid w:val="009F5B15"/>
    <w:rsid w:val="009F5FC5"/>
    <w:rsid w:val="009F62D3"/>
    <w:rsid w:val="009F68D9"/>
    <w:rsid w:val="009F6AAE"/>
    <w:rsid w:val="009F6F39"/>
    <w:rsid w:val="009F7831"/>
    <w:rsid w:val="00A0096B"/>
    <w:rsid w:val="00A01A1C"/>
    <w:rsid w:val="00A01A6F"/>
    <w:rsid w:val="00A02759"/>
    <w:rsid w:val="00A02D7F"/>
    <w:rsid w:val="00A0338F"/>
    <w:rsid w:val="00A03F54"/>
    <w:rsid w:val="00A04254"/>
    <w:rsid w:val="00A06585"/>
    <w:rsid w:val="00A06AAC"/>
    <w:rsid w:val="00A0726B"/>
    <w:rsid w:val="00A10021"/>
    <w:rsid w:val="00A10DEA"/>
    <w:rsid w:val="00A112D5"/>
    <w:rsid w:val="00A12883"/>
    <w:rsid w:val="00A1299C"/>
    <w:rsid w:val="00A12B19"/>
    <w:rsid w:val="00A13A11"/>
    <w:rsid w:val="00A14B83"/>
    <w:rsid w:val="00A15C21"/>
    <w:rsid w:val="00A15DFB"/>
    <w:rsid w:val="00A1701E"/>
    <w:rsid w:val="00A173CF"/>
    <w:rsid w:val="00A22A6C"/>
    <w:rsid w:val="00A22D16"/>
    <w:rsid w:val="00A22D7E"/>
    <w:rsid w:val="00A24DEB"/>
    <w:rsid w:val="00A2616C"/>
    <w:rsid w:val="00A26BB6"/>
    <w:rsid w:val="00A27A4C"/>
    <w:rsid w:val="00A27ED1"/>
    <w:rsid w:val="00A30317"/>
    <w:rsid w:val="00A31643"/>
    <w:rsid w:val="00A31755"/>
    <w:rsid w:val="00A31D34"/>
    <w:rsid w:val="00A32129"/>
    <w:rsid w:val="00A32FF7"/>
    <w:rsid w:val="00A33A7C"/>
    <w:rsid w:val="00A33E66"/>
    <w:rsid w:val="00A35828"/>
    <w:rsid w:val="00A35CEA"/>
    <w:rsid w:val="00A366D1"/>
    <w:rsid w:val="00A36CAA"/>
    <w:rsid w:val="00A37916"/>
    <w:rsid w:val="00A37CC3"/>
    <w:rsid w:val="00A4014C"/>
    <w:rsid w:val="00A40292"/>
    <w:rsid w:val="00A402D1"/>
    <w:rsid w:val="00A403D6"/>
    <w:rsid w:val="00A406DC"/>
    <w:rsid w:val="00A40FFD"/>
    <w:rsid w:val="00A4161A"/>
    <w:rsid w:val="00A419D1"/>
    <w:rsid w:val="00A41C7C"/>
    <w:rsid w:val="00A42245"/>
    <w:rsid w:val="00A43AA7"/>
    <w:rsid w:val="00A45ED6"/>
    <w:rsid w:val="00A47A31"/>
    <w:rsid w:val="00A501CE"/>
    <w:rsid w:val="00A50239"/>
    <w:rsid w:val="00A514FB"/>
    <w:rsid w:val="00A51BCA"/>
    <w:rsid w:val="00A5270F"/>
    <w:rsid w:val="00A529E9"/>
    <w:rsid w:val="00A52DB9"/>
    <w:rsid w:val="00A52F31"/>
    <w:rsid w:val="00A53D79"/>
    <w:rsid w:val="00A54568"/>
    <w:rsid w:val="00A55614"/>
    <w:rsid w:val="00A567B6"/>
    <w:rsid w:val="00A56E94"/>
    <w:rsid w:val="00A572E4"/>
    <w:rsid w:val="00A604EE"/>
    <w:rsid w:val="00A6147F"/>
    <w:rsid w:val="00A61C64"/>
    <w:rsid w:val="00A61CAB"/>
    <w:rsid w:val="00A631E7"/>
    <w:rsid w:val="00A63909"/>
    <w:rsid w:val="00A63F56"/>
    <w:rsid w:val="00A64BC7"/>
    <w:rsid w:val="00A64C68"/>
    <w:rsid w:val="00A65838"/>
    <w:rsid w:val="00A65AEB"/>
    <w:rsid w:val="00A677FC"/>
    <w:rsid w:val="00A67872"/>
    <w:rsid w:val="00A703C5"/>
    <w:rsid w:val="00A70FF7"/>
    <w:rsid w:val="00A71223"/>
    <w:rsid w:val="00A71278"/>
    <w:rsid w:val="00A718FF"/>
    <w:rsid w:val="00A71BDD"/>
    <w:rsid w:val="00A725C4"/>
    <w:rsid w:val="00A74834"/>
    <w:rsid w:val="00A74A3F"/>
    <w:rsid w:val="00A74D3E"/>
    <w:rsid w:val="00A767C7"/>
    <w:rsid w:val="00A76F41"/>
    <w:rsid w:val="00A77962"/>
    <w:rsid w:val="00A779FD"/>
    <w:rsid w:val="00A80051"/>
    <w:rsid w:val="00A80A89"/>
    <w:rsid w:val="00A80F63"/>
    <w:rsid w:val="00A81606"/>
    <w:rsid w:val="00A8334B"/>
    <w:rsid w:val="00A84225"/>
    <w:rsid w:val="00A84C63"/>
    <w:rsid w:val="00A84F15"/>
    <w:rsid w:val="00A85A79"/>
    <w:rsid w:val="00A8639C"/>
    <w:rsid w:val="00A86D5C"/>
    <w:rsid w:val="00A86F17"/>
    <w:rsid w:val="00A902DC"/>
    <w:rsid w:val="00A90E10"/>
    <w:rsid w:val="00A91A50"/>
    <w:rsid w:val="00A91B23"/>
    <w:rsid w:val="00A91D88"/>
    <w:rsid w:val="00A92DF0"/>
    <w:rsid w:val="00A930B2"/>
    <w:rsid w:val="00A93B44"/>
    <w:rsid w:val="00A93D4B"/>
    <w:rsid w:val="00A93F47"/>
    <w:rsid w:val="00A9414F"/>
    <w:rsid w:val="00A94E32"/>
    <w:rsid w:val="00A9571B"/>
    <w:rsid w:val="00A95B62"/>
    <w:rsid w:val="00A95D57"/>
    <w:rsid w:val="00A9628F"/>
    <w:rsid w:val="00A96D64"/>
    <w:rsid w:val="00A973FB"/>
    <w:rsid w:val="00AA0264"/>
    <w:rsid w:val="00AA0C8F"/>
    <w:rsid w:val="00AA1A72"/>
    <w:rsid w:val="00AA2324"/>
    <w:rsid w:val="00AA2B56"/>
    <w:rsid w:val="00AA2DD7"/>
    <w:rsid w:val="00AA313E"/>
    <w:rsid w:val="00AA4259"/>
    <w:rsid w:val="00AA46FD"/>
    <w:rsid w:val="00AA49B6"/>
    <w:rsid w:val="00AA4C7A"/>
    <w:rsid w:val="00AA4DB5"/>
    <w:rsid w:val="00AA533B"/>
    <w:rsid w:val="00AA56B9"/>
    <w:rsid w:val="00AA64B7"/>
    <w:rsid w:val="00AA7A05"/>
    <w:rsid w:val="00AA7DC0"/>
    <w:rsid w:val="00AA7DCE"/>
    <w:rsid w:val="00AB0C11"/>
    <w:rsid w:val="00AB0C70"/>
    <w:rsid w:val="00AB2122"/>
    <w:rsid w:val="00AB2F07"/>
    <w:rsid w:val="00AB3497"/>
    <w:rsid w:val="00AB396D"/>
    <w:rsid w:val="00AB3F48"/>
    <w:rsid w:val="00AB572F"/>
    <w:rsid w:val="00AB5E42"/>
    <w:rsid w:val="00AB5EC6"/>
    <w:rsid w:val="00AB635C"/>
    <w:rsid w:val="00AB6749"/>
    <w:rsid w:val="00AB7880"/>
    <w:rsid w:val="00AB7EA5"/>
    <w:rsid w:val="00AC091D"/>
    <w:rsid w:val="00AC1521"/>
    <w:rsid w:val="00AC194C"/>
    <w:rsid w:val="00AC1A59"/>
    <w:rsid w:val="00AC1D91"/>
    <w:rsid w:val="00AC2510"/>
    <w:rsid w:val="00AC2BB8"/>
    <w:rsid w:val="00AC3929"/>
    <w:rsid w:val="00AC473D"/>
    <w:rsid w:val="00AC547B"/>
    <w:rsid w:val="00AC5B7F"/>
    <w:rsid w:val="00AC5F65"/>
    <w:rsid w:val="00AC7927"/>
    <w:rsid w:val="00AC7A78"/>
    <w:rsid w:val="00AC7CB1"/>
    <w:rsid w:val="00AD0A40"/>
    <w:rsid w:val="00AD1109"/>
    <w:rsid w:val="00AD12C6"/>
    <w:rsid w:val="00AD2834"/>
    <w:rsid w:val="00AD2F4F"/>
    <w:rsid w:val="00AD30B1"/>
    <w:rsid w:val="00AD40E8"/>
    <w:rsid w:val="00AD4417"/>
    <w:rsid w:val="00AD4E05"/>
    <w:rsid w:val="00AD5530"/>
    <w:rsid w:val="00AD59BE"/>
    <w:rsid w:val="00AD6A1D"/>
    <w:rsid w:val="00AD7693"/>
    <w:rsid w:val="00AD7D7A"/>
    <w:rsid w:val="00AD7F98"/>
    <w:rsid w:val="00AE0468"/>
    <w:rsid w:val="00AE054F"/>
    <w:rsid w:val="00AE1137"/>
    <w:rsid w:val="00AE2D92"/>
    <w:rsid w:val="00AE3702"/>
    <w:rsid w:val="00AE3A8E"/>
    <w:rsid w:val="00AE3C6F"/>
    <w:rsid w:val="00AE50E5"/>
    <w:rsid w:val="00AE513F"/>
    <w:rsid w:val="00AE54AD"/>
    <w:rsid w:val="00AE59DF"/>
    <w:rsid w:val="00AE5B52"/>
    <w:rsid w:val="00AE5F6E"/>
    <w:rsid w:val="00AE5F96"/>
    <w:rsid w:val="00AE7DBE"/>
    <w:rsid w:val="00AE7DCB"/>
    <w:rsid w:val="00AF0AB3"/>
    <w:rsid w:val="00AF17AC"/>
    <w:rsid w:val="00AF1AE1"/>
    <w:rsid w:val="00AF2019"/>
    <w:rsid w:val="00AF211D"/>
    <w:rsid w:val="00AF291F"/>
    <w:rsid w:val="00AF2EE2"/>
    <w:rsid w:val="00AF377E"/>
    <w:rsid w:val="00AF40F9"/>
    <w:rsid w:val="00AF47E2"/>
    <w:rsid w:val="00AF480D"/>
    <w:rsid w:val="00AF5864"/>
    <w:rsid w:val="00AF5DD3"/>
    <w:rsid w:val="00AF62F3"/>
    <w:rsid w:val="00AF7539"/>
    <w:rsid w:val="00B0093A"/>
    <w:rsid w:val="00B02E30"/>
    <w:rsid w:val="00B030F9"/>
    <w:rsid w:val="00B035EC"/>
    <w:rsid w:val="00B0363F"/>
    <w:rsid w:val="00B03991"/>
    <w:rsid w:val="00B03B25"/>
    <w:rsid w:val="00B04829"/>
    <w:rsid w:val="00B04A3C"/>
    <w:rsid w:val="00B06263"/>
    <w:rsid w:val="00B06B50"/>
    <w:rsid w:val="00B116EE"/>
    <w:rsid w:val="00B11A82"/>
    <w:rsid w:val="00B12FA0"/>
    <w:rsid w:val="00B14204"/>
    <w:rsid w:val="00B14C1B"/>
    <w:rsid w:val="00B155A5"/>
    <w:rsid w:val="00B15908"/>
    <w:rsid w:val="00B1636C"/>
    <w:rsid w:val="00B17295"/>
    <w:rsid w:val="00B17509"/>
    <w:rsid w:val="00B175E3"/>
    <w:rsid w:val="00B17803"/>
    <w:rsid w:val="00B1782A"/>
    <w:rsid w:val="00B17970"/>
    <w:rsid w:val="00B17F1A"/>
    <w:rsid w:val="00B2027B"/>
    <w:rsid w:val="00B203EA"/>
    <w:rsid w:val="00B20750"/>
    <w:rsid w:val="00B20BAC"/>
    <w:rsid w:val="00B220D9"/>
    <w:rsid w:val="00B239FB"/>
    <w:rsid w:val="00B24655"/>
    <w:rsid w:val="00B2557A"/>
    <w:rsid w:val="00B25AD4"/>
    <w:rsid w:val="00B25B5C"/>
    <w:rsid w:val="00B25F51"/>
    <w:rsid w:val="00B26F4F"/>
    <w:rsid w:val="00B31593"/>
    <w:rsid w:val="00B31790"/>
    <w:rsid w:val="00B31C63"/>
    <w:rsid w:val="00B32628"/>
    <w:rsid w:val="00B3471E"/>
    <w:rsid w:val="00B35093"/>
    <w:rsid w:val="00B35BE9"/>
    <w:rsid w:val="00B360C1"/>
    <w:rsid w:val="00B36700"/>
    <w:rsid w:val="00B3683B"/>
    <w:rsid w:val="00B37C9E"/>
    <w:rsid w:val="00B40065"/>
    <w:rsid w:val="00B400EF"/>
    <w:rsid w:val="00B40202"/>
    <w:rsid w:val="00B4115C"/>
    <w:rsid w:val="00B42D0F"/>
    <w:rsid w:val="00B435C1"/>
    <w:rsid w:val="00B43C33"/>
    <w:rsid w:val="00B4513D"/>
    <w:rsid w:val="00B45353"/>
    <w:rsid w:val="00B45E58"/>
    <w:rsid w:val="00B46121"/>
    <w:rsid w:val="00B46BDE"/>
    <w:rsid w:val="00B46CE2"/>
    <w:rsid w:val="00B47977"/>
    <w:rsid w:val="00B47E78"/>
    <w:rsid w:val="00B50A01"/>
    <w:rsid w:val="00B5109E"/>
    <w:rsid w:val="00B52FDF"/>
    <w:rsid w:val="00B539E6"/>
    <w:rsid w:val="00B53D91"/>
    <w:rsid w:val="00B53EFB"/>
    <w:rsid w:val="00B542BD"/>
    <w:rsid w:val="00B5439A"/>
    <w:rsid w:val="00B54598"/>
    <w:rsid w:val="00B54AB9"/>
    <w:rsid w:val="00B55AA3"/>
    <w:rsid w:val="00B5793B"/>
    <w:rsid w:val="00B6127D"/>
    <w:rsid w:val="00B61605"/>
    <w:rsid w:val="00B623D0"/>
    <w:rsid w:val="00B62C66"/>
    <w:rsid w:val="00B63739"/>
    <w:rsid w:val="00B64265"/>
    <w:rsid w:val="00B649F1"/>
    <w:rsid w:val="00B64B9B"/>
    <w:rsid w:val="00B64E73"/>
    <w:rsid w:val="00B65832"/>
    <w:rsid w:val="00B665A0"/>
    <w:rsid w:val="00B66A1D"/>
    <w:rsid w:val="00B66BC7"/>
    <w:rsid w:val="00B71651"/>
    <w:rsid w:val="00B717EB"/>
    <w:rsid w:val="00B71854"/>
    <w:rsid w:val="00B719B2"/>
    <w:rsid w:val="00B72AF8"/>
    <w:rsid w:val="00B7629C"/>
    <w:rsid w:val="00B769BB"/>
    <w:rsid w:val="00B76C15"/>
    <w:rsid w:val="00B7754C"/>
    <w:rsid w:val="00B77DF2"/>
    <w:rsid w:val="00B8145B"/>
    <w:rsid w:val="00B83C5A"/>
    <w:rsid w:val="00B87AA8"/>
    <w:rsid w:val="00B87CEB"/>
    <w:rsid w:val="00B87D27"/>
    <w:rsid w:val="00B87E55"/>
    <w:rsid w:val="00B91A4F"/>
    <w:rsid w:val="00B92344"/>
    <w:rsid w:val="00B929B2"/>
    <w:rsid w:val="00B9373C"/>
    <w:rsid w:val="00B941B3"/>
    <w:rsid w:val="00B94ACA"/>
    <w:rsid w:val="00B94BDB"/>
    <w:rsid w:val="00B94CA3"/>
    <w:rsid w:val="00B95B99"/>
    <w:rsid w:val="00B95F9D"/>
    <w:rsid w:val="00B9623D"/>
    <w:rsid w:val="00B966B7"/>
    <w:rsid w:val="00B96930"/>
    <w:rsid w:val="00B96F0B"/>
    <w:rsid w:val="00B97DB9"/>
    <w:rsid w:val="00BA07B5"/>
    <w:rsid w:val="00BA190D"/>
    <w:rsid w:val="00BA2224"/>
    <w:rsid w:val="00BA27A8"/>
    <w:rsid w:val="00BA39FD"/>
    <w:rsid w:val="00BA3A55"/>
    <w:rsid w:val="00BA3E65"/>
    <w:rsid w:val="00BA3F0B"/>
    <w:rsid w:val="00BA402B"/>
    <w:rsid w:val="00BA41E5"/>
    <w:rsid w:val="00BA5036"/>
    <w:rsid w:val="00BA5AAF"/>
    <w:rsid w:val="00BA5DB1"/>
    <w:rsid w:val="00BA6270"/>
    <w:rsid w:val="00BA71A0"/>
    <w:rsid w:val="00BA73F8"/>
    <w:rsid w:val="00BB07F8"/>
    <w:rsid w:val="00BB1C57"/>
    <w:rsid w:val="00BB1FEF"/>
    <w:rsid w:val="00BB3022"/>
    <w:rsid w:val="00BB3169"/>
    <w:rsid w:val="00BB31CF"/>
    <w:rsid w:val="00BB416A"/>
    <w:rsid w:val="00BB686D"/>
    <w:rsid w:val="00BB7237"/>
    <w:rsid w:val="00BC1DCE"/>
    <w:rsid w:val="00BC243E"/>
    <w:rsid w:val="00BC38EE"/>
    <w:rsid w:val="00BC3F61"/>
    <w:rsid w:val="00BC3FF6"/>
    <w:rsid w:val="00BC4B34"/>
    <w:rsid w:val="00BC53D6"/>
    <w:rsid w:val="00BC564B"/>
    <w:rsid w:val="00BC5714"/>
    <w:rsid w:val="00BD00AA"/>
    <w:rsid w:val="00BD03E8"/>
    <w:rsid w:val="00BD0509"/>
    <w:rsid w:val="00BD0746"/>
    <w:rsid w:val="00BD0DCD"/>
    <w:rsid w:val="00BD1BDE"/>
    <w:rsid w:val="00BD3036"/>
    <w:rsid w:val="00BD3064"/>
    <w:rsid w:val="00BD3213"/>
    <w:rsid w:val="00BD3447"/>
    <w:rsid w:val="00BD356F"/>
    <w:rsid w:val="00BD3674"/>
    <w:rsid w:val="00BD385D"/>
    <w:rsid w:val="00BD3ACD"/>
    <w:rsid w:val="00BD3ADF"/>
    <w:rsid w:val="00BD404B"/>
    <w:rsid w:val="00BD4492"/>
    <w:rsid w:val="00BD5283"/>
    <w:rsid w:val="00BD588D"/>
    <w:rsid w:val="00BD5F4A"/>
    <w:rsid w:val="00BD603E"/>
    <w:rsid w:val="00BD6924"/>
    <w:rsid w:val="00BD73EA"/>
    <w:rsid w:val="00BE096B"/>
    <w:rsid w:val="00BE0EED"/>
    <w:rsid w:val="00BE270C"/>
    <w:rsid w:val="00BE27B2"/>
    <w:rsid w:val="00BE46DA"/>
    <w:rsid w:val="00BE48C9"/>
    <w:rsid w:val="00BE4BF7"/>
    <w:rsid w:val="00BE5263"/>
    <w:rsid w:val="00BE75E6"/>
    <w:rsid w:val="00BE786B"/>
    <w:rsid w:val="00BF12DA"/>
    <w:rsid w:val="00BF26F3"/>
    <w:rsid w:val="00BF2A51"/>
    <w:rsid w:val="00BF3648"/>
    <w:rsid w:val="00BF3CB9"/>
    <w:rsid w:val="00BF4A40"/>
    <w:rsid w:val="00BF5DE4"/>
    <w:rsid w:val="00BF697E"/>
    <w:rsid w:val="00C00855"/>
    <w:rsid w:val="00C00EEA"/>
    <w:rsid w:val="00C01318"/>
    <w:rsid w:val="00C01B90"/>
    <w:rsid w:val="00C01C92"/>
    <w:rsid w:val="00C032B8"/>
    <w:rsid w:val="00C04033"/>
    <w:rsid w:val="00C046DE"/>
    <w:rsid w:val="00C04AA8"/>
    <w:rsid w:val="00C04AAB"/>
    <w:rsid w:val="00C04BD3"/>
    <w:rsid w:val="00C067EE"/>
    <w:rsid w:val="00C0703A"/>
    <w:rsid w:val="00C07BBF"/>
    <w:rsid w:val="00C1001D"/>
    <w:rsid w:val="00C10EA8"/>
    <w:rsid w:val="00C12643"/>
    <w:rsid w:val="00C12F05"/>
    <w:rsid w:val="00C13574"/>
    <w:rsid w:val="00C136C3"/>
    <w:rsid w:val="00C138C2"/>
    <w:rsid w:val="00C13C87"/>
    <w:rsid w:val="00C153F9"/>
    <w:rsid w:val="00C1650B"/>
    <w:rsid w:val="00C176BC"/>
    <w:rsid w:val="00C17CD9"/>
    <w:rsid w:val="00C20C07"/>
    <w:rsid w:val="00C21D39"/>
    <w:rsid w:val="00C22134"/>
    <w:rsid w:val="00C22B88"/>
    <w:rsid w:val="00C23762"/>
    <w:rsid w:val="00C23CD5"/>
    <w:rsid w:val="00C266E0"/>
    <w:rsid w:val="00C26991"/>
    <w:rsid w:val="00C2743B"/>
    <w:rsid w:val="00C30015"/>
    <w:rsid w:val="00C313EB"/>
    <w:rsid w:val="00C31428"/>
    <w:rsid w:val="00C314BE"/>
    <w:rsid w:val="00C317AC"/>
    <w:rsid w:val="00C32377"/>
    <w:rsid w:val="00C32BA9"/>
    <w:rsid w:val="00C333C0"/>
    <w:rsid w:val="00C3417C"/>
    <w:rsid w:val="00C34F62"/>
    <w:rsid w:val="00C352E0"/>
    <w:rsid w:val="00C3627D"/>
    <w:rsid w:val="00C371F3"/>
    <w:rsid w:val="00C372AF"/>
    <w:rsid w:val="00C373B4"/>
    <w:rsid w:val="00C407E2"/>
    <w:rsid w:val="00C410DD"/>
    <w:rsid w:val="00C414A5"/>
    <w:rsid w:val="00C41883"/>
    <w:rsid w:val="00C41A8F"/>
    <w:rsid w:val="00C42930"/>
    <w:rsid w:val="00C43764"/>
    <w:rsid w:val="00C43DE9"/>
    <w:rsid w:val="00C4522D"/>
    <w:rsid w:val="00C4547A"/>
    <w:rsid w:val="00C45FEB"/>
    <w:rsid w:val="00C46159"/>
    <w:rsid w:val="00C467F6"/>
    <w:rsid w:val="00C50318"/>
    <w:rsid w:val="00C51D48"/>
    <w:rsid w:val="00C51FB5"/>
    <w:rsid w:val="00C544C1"/>
    <w:rsid w:val="00C54DE2"/>
    <w:rsid w:val="00C54EA9"/>
    <w:rsid w:val="00C552CC"/>
    <w:rsid w:val="00C5576E"/>
    <w:rsid w:val="00C55851"/>
    <w:rsid w:val="00C55BD2"/>
    <w:rsid w:val="00C55F93"/>
    <w:rsid w:val="00C56009"/>
    <w:rsid w:val="00C578F4"/>
    <w:rsid w:val="00C611EB"/>
    <w:rsid w:val="00C61851"/>
    <w:rsid w:val="00C61A19"/>
    <w:rsid w:val="00C64B2C"/>
    <w:rsid w:val="00C65131"/>
    <w:rsid w:val="00C65E47"/>
    <w:rsid w:val="00C67F70"/>
    <w:rsid w:val="00C707C7"/>
    <w:rsid w:val="00C70F9E"/>
    <w:rsid w:val="00C71758"/>
    <w:rsid w:val="00C717BC"/>
    <w:rsid w:val="00C725C7"/>
    <w:rsid w:val="00C727A5"/>
    <w:rsid w:val="00C72D5F"/>
    <w:rsid w:val="00C72FE1"/>
    <w:rsid w:val="00C745E9"/>
    <w:rsid w:val="00C74D45"/>
    <w:rsid w:val="00C7518F"/>
    <w:rsid w:val="00C75A09"/>
    <w:rsid w:val="00C76D79"/>
    <w:rsid w:val="00C7735B"/>
    <w:rsid w:val="00C773D5"/>
    <w:rsid w:val="00C77CE4"/>
    <w:rsid w:val="00C80211"/>
    <w:rsid w:val="00C8149C"/>
    <w:rsid w:val="00C81B4E"/>
    <w:rsid w:val="00C82A03"/>
    <w:rsid w:val="00C82D6A"/>
    <w:rsid w:val="00C8402C"/>
    <w:rsid w:val="00C8429A"/>
    <w:rsid w:val="00C84736"/>
    <w:rsid w:val="00C84FBC"/>
    <w:rsid w:val="00C85920"/>
    <w:rsid w:val="00C85E30"/>
    <w:rsid w:val="00C86428"/>
    <w:rsid w:val="00C864AC"/>
    <w:rsid w:val="00C871B5"/>
    <w:rsid w:val="00C873A4"/>
    <w:rsid w:val="00C90671"/>
    <w:rsid w:val="00C90CD9"/>
    <w:rsid w:val="00C91203"/>
    <w:rsid w:val="00C91492"/>
    <w:rsid w:val="00C91940"/>
    <w:rsid w:val="00C91A98"/>
    <w:rsid w:val="00C92645"/>
    <w:rsid w:val="00C92D04"/>
    <w:rsid w:val="00C930B2"/>
    <w:rsid w:val="00C93FF9"/>
    <w:rsid w:val="00C94224"/>
    <w:rsid w:val="00C94DDA"/>
    <w:rsid w:val="00C957C4"/>
    <w:rsid w:val="00C96149"/>
    <w:rsid w:val="00C963F0"/>
    <w:rsid w:val="00C97551"/>
    <w:rsid w:val="00C97EE4"/>
    <w:rsid w:val="00CA0049"/>
    <w:rsid w:val="00CA1375"/>
    <w:rsid w:val="00CA192D"/>
    <w:rsid w:val="00CA1988"/>
    <w:rsid w:val="00CA290B"/>
    <w:rsid w:val="00CA3082"/>
    <w:rsid w:val="00CA3BA7"/>
    <w:rsid w:val="00CA3F1B"/>
    <w:rsid w:val="00CA3FD2"/>
    <w:rsid w:val="00CA4599"/>
    <w:rsid w:val="00CA4A40"/>
    <w:rsid w:val="00CA4AC2"/>
    <w:rsid w:val="00CA4AD6"/>
    <w:rsid w:val="00CA5318"/>
    <w:rsid w:val="00CA5391"/>
    <w:rsid w:val="00CA5DE6"/>
    <w:rsid w:val="00CA5F10"/>
    <w:rsid w:val="00CA656F"/>
    <w:rsid w:val="00CA667A"/>
    <w:rsid w:val="00CA695D"/>
    <w:rsid w:val="00CA6DC2"/>
    <w:rsid w:val="00CA6E27"/>
    <w:rsid w:val="00CA706F"/>
    <w:rsid w:val="00CB202B"/>
    <w:rsid w:val="00CB22CD"/>
    <w:rsid w:val="00CB26D6"/>
    <w:rsid w:val="00CB2E9E"/>
    <w:rsid w:val="00CB4197"/>
    <w:rsid w:val="00CB4E1F"/>
    <w:rsid w:val="00CB4EAE"/>
    <w:rsid w:val="00CB4F7A"/>
    <w:rsid w:val="00CB56BA"/>
    <w:rsid w:val="00CB6531"/>
    <w:rsid w:val="00CB6E36"/>
    <w:rsid w:val="00CB7A73"/>
    <w:rsid w:val="00CC1226"/>
    <w:rsid w:val="00CC1497"/>
    <w:rsid w:val="00CC24DE"/>
    <w:rsid w:val="00CC548B"/>
    <w:rsid w:val="00CC5CE6"/>
    <w:rsid w:val="00CC6923"/>
    <w:rsid w:val="00CC732A"/>
    <w:rsid w:val="00CC7701"/>
    <w:rsid w:val="00CC7C7A"/>
    <w:rsid w:val="00CD1672"/>
    <w:rsid w:val="00CD357B"/>
    <w:rsid w:val="00CD406D"/>
    <w:rsid w:val="00CD4174"/>
    <w:rsid w:val="00CD4A19"/>
    <w:rsid w:val="00CD4D74"/>
    <w:rsid w:val="00CD519A"/>
    <w:rsid w:val="00CD5E18"/>
    <w:rsid w:val="00CD6083"/>
    <w:rsid w:val="00CD610A"/>
    <w:rsid w:val="00CD730E"/>
    <w:rsid w:val="00CD773A"/>
    <w:rsid w:val="00CE0778"/>
    <w:rsid w:val="00CE0930"/>
    <w:rsid w:val="00CE0C94"/>
    <w:rsid w:val="00CE1CA6"/>
    <w:rsid w:val="00CE2496"/>
    <w:rsid w:val="00CE32F1"/>
    <w:rsid w:val="00CE3BFD"/>
    <w:rsid w:val="00CE44D3"/>
    <w:rsid w:val="00CE4C75"/>
    <w:rsid w:val="00CE53E8"/>
    <w:rsid w:val="00CE56F6"/>
    <w:rsid w:val="00CE5C8F"/>
    <w:rsid w:val="00CE6C16"/>
    <w:rsid w:val="00CE73E9"/>
    <w:rsid w:val="00CE76C2"/>
    <w:rsid w:val="00CE7A83"/>
    <w:rsid w:val="00CE7E50"/>
    <w:rsid w:val="00CE7E76"/>
    <w:rsid w:val="00CF0164"/>
    <w:rsid w:val="00CF078A"/>
    <w:rsid w:val="00CF15E8"/>
    <w:rsid w:val="00CF1910"/>
    <w:rsid w:val="00CF2D3C"/>
    <w:rsid w:val="00CF3393"/>
    <w:rsid w:val="00CF34AA"/>
    <w:rsid w:val="00CF3E84"/>
    <w:rsid w:val="00CF4045"/>
    <w:rsid w:val="00CF496E"/>
    <w:rsid w:val="00CF5090"/>
    <w:rsid w:val="00CF59A4"/>
    <w:rsid w:val="00D00253"/>
    <w:rsid w:val="00D01FE7"/>
    <w:rsid w:val="00D0228A"/>
    <w:rsid w:val="00D031C6"/>
    <w:rsid w:val="00D0449D"/>
    <w:rsid w:val="00D05319"/>
    <w:rsid w:val="00D0547F"/>
    <w:rsid w:val="00D05F81"/>
    <w:rsid w:val="00D064E9"/>
    <w:rsid w:val="00D06820"/>
    <w:rsid w:val="00D074EB"/>
    <w:rsid w:val="00D07DBE"/>
    <w:rsid w:val="00D107BD"/>
    <w:rsid w:val="00D10A6E"/>
    <w:rsid w:val="00D12716"/>
    <w:rsid w:val="00D12CD3"/>
    <w:rsid w:val="00D13088"/>
    <w:rsid w:val="00D1360A"/>
    <w:rsid w:val="00D1478C"/>
    <w:rsid w:val="00D14FEC"/>
    <w:rsid w:val="00D1651E"/>
    <w:rsid w:val="00D2064E"/>
    <w:rsid w:val="00D20CB6"/>
    <w:rsid w:val="00D21C00"/>
    <w:rsid w:val="00D22447"/>
    <w:rsid w:val="00D224DE"/>
    <w:rsid w:val="00D22597"/>
    <w:rsid w:val="00D22D93"/>
    <w:rsid w:val="00D23971"/>
    <w:rsid w:val="00D23ACF"/>
    <w:rsid w:val="00D2435C"/>
    <w:rsid w:val="00D250F3"/>
    <w:rsid w:val="00D25908"/>
    <w:rsid w:val="00D25E36"/>
    <w:rsid w:val="00D26350"/>
    <w:rsid w:val="00D26533"/>
    <w:rsid w:val="00D27477"/>
    <w:rsid w:val="00D30620"/>
    <w:rsid w:val="00D30EA6"/>
    <w:rsid w:val="00D314AA"/>
    <w:rsid w:val="00D318D0"/>
    <w:rsid w:val="00D31AC9"/>
    <w:rsid w:val="00D31BE2"/>
    <w:rsid w:val="00D3291D"/>
    <w:rsid w:val="00D3294D"/>
    <w:rsid w:val="00D33839"/>
    <w:rsid w:val="00D33F74"/>
    <w:rsid w:val="00D346B2"/>
    <w:rsid w:val="00D354A7"/>
    <w:rsid w:val="00D35784"/>
    <w:rsid w:val="00D3594B"/>
    <w:rsid w:val="00D35B11"/>
    <w:rsid w:val="00D36015"/>
    <w:rsid w:val="00D36E7B"/>
    <w:rsid w:val="00D36F13"/>
    <w:rsid w:val="00D37B43"/>
    <w:rsid w:val="00D402D6"/>
    <w:rsid w:val="00D40D7C"/>
    <w:rsid w:val="00D40E56"/>
    <w:rsid w:val="00D4140E"/>
    <w:rsid w:val="00D415E7"/>
    <w:rsid w:val="00D41B05"/>
    <w:rsid w:val="00D436F6"/>
    <w:rsid w:val="00D44108"/>
    <w:rsid w:val="00D4439C"/>
    <w:rsid w:val="00D44C73"/>
    <w:rsid w:val="00D44F4A"/>
    <w:rsid w:val="00D44FE1"/>
    <w:rsid w:val="00D45AFE"/>
    <w:rsid w:val="00D45DF9"/>
    <w:rsid w:val="00D469F9"/>
    <w:rsid w:val="00D46BA1"/>
    <w:rsid w:val="00D46C4C"/>
    <w:rsid w:val="00D50E83"/>
    <w:rsid w:val="00D5266D"/>
    <w:rsid w:val="00D527A3"/>
    <w:rsid w:val="00D52CC7"/>
    <w:rsid w:val="00D52DBE"/>
    <w:rsid w:val="00D52EC8"/>
    <w:rsid w:val="00D5348A"/>
    <w:rsid w:val="00D5370F"/>
    <w:rsid w:val="00D54118"/>
    <w:rsid w:val="00D542F0"/>
    <w:rsid w:val="00D54538"/>
    <w:rsid w:val="00D55005"/>
    <w:rsid w:val="00D56BDB"/>
    <w:rsid w:val="00D56F9A"/>
    <w:rsid w:val="00D56FF8"/>
    <w:rsid w:val="00D57829"/>
    <w:rsid w:val="00D57F44"/>
    <w:rsid w:val="00D60ACC"/>
    <w:rsid w:val="00D61302"/>
    <w:rsid w:val="00D61EEF"/>
    <w:rsid w:val="00D621F0"/>
    <w:rsid w:val="00D64803"/>
    <w:rsid w:val="00D65244"/>
    <w:rsid w:val="00D65C03"/>
    <w:rsid w:val="00D6746B"/>
    <w:rsid w:val="00D674BA"/>
    <w:rsid w:val="00D7128E"/>
    <w:rsid w:val="00D71813"/>
    <w:rsid w:val="00D7234C"/>
    <w:rsid w:val="00D728EE"/>
    <w:rsid w:val="00D72E44"/>
    <w:rsid w:val="00D72F3B"/>
    <w:rsid w:val="00D73AE9"/>
    <w:rsid w:val="00D73F6F"/>
    <w:rsid w:val="00D7517D"/>
    <w:rsid w:val="00D751A6"/>
    <w:rsid w:val="00D766AD"/>
    <w:rsid w:val="00D77C29"/>
    <w:rsid w:val="00D801D4"/>
    <w:rsid w:val="00D80CD8"/>
    <w:rsid w:val="00D82C65"/>
    <w:rsid w:val="00D8369F"/>
    <w:rsid w:val="00D8502F"/>
    <w:rsid w:val="00D86944"/>
    <w:rsid w:val="00D873D3"/>
    <w:rsid w:val="00D90FCD"/>
    <w:rsid w:val="00D91927"/>
    <w:rsid w:val="00D91965"/>
    <w:rsid w:val="00D91C38"/>
    <w:rsid w:val="00D92C8B"/>
    <w:rsid w:val="00D930DF"/>
    <w:rsid w:val="00D9496B"/>
    <w:rsid w:val="00D95225"/>
    <w:rsid w:val="00D95460"/>
    <w:rsid w:val="00D95510"/>
    <w:rsid w:val="00D95790"/>
    <w:rsid w:val="00D95795"/>
    <w:rsid w:val="00D97350"/>
    <w:rsid w:val="00D974D3"/>
    <w:rsid w:val="00D9784F"/>
    <w:rsid w:val="00D979AE"/>
    <w:rsid w:val="00DA0FA6"/>
    <w:rsid w:val="00DA1038"/>
    <w:rsid w:val="00DA12F8"/>
    <w:rsid w:val="00DA1E2D"/>
    <w:rsid w:val="00DA1EC8"/>
    <w:rsid w:val="00DA26D7"/>
    <w:rsid w:val="00DA36F3"/>
    <w:rsid w:val="00DA3D8E"/>
    <w:rsid w:val="00DA5BFB"/>
    <w:rsid w:val="00DA6564"/>
    <w:rsid w:val="00DA6CF3"/>
    <w:rsid w:val="00DA7835"/>
    <w:rsid w:val="00DA7B0A"/>
    <w:rsid w:val="00DA7CE2"/>
    <w:rsid w:val="00DA7FA3"/>
    <w:rsid w:val="00DB1792"/>
    <w:rsid w:val="00DB1F9C"/>
    <w:rsid w:val="00DB1FE7"/>
    <w:rsid w:val="00DB2C3B"/>
    <w:rsid w:val="00DB2C60"/>
    <w:rsid w:val="00DB42F8"/>
    <w:rsid w:val="00DB475F"/>
    <w:rsid w:val="00DB4BAB"/>
    <w:rsid w:val="00DB54A5"/>
    <w:rsid w:val="00DB5821"/>
    <w:rsid w:val="00DB5C7F"/>
    <w:rsid w:val="00DB5E3A"/>
    <w:rsid w:val="00DB5EEF"/>
    <w:rsid w:val="00DB6C84"/>
    <w:rsid w:val="00DB7C45"/>
    <w:rsid w:val="00DC0867"/>
    <w:rsid w:val="00DC1C69"/>
    <w:rsid w:val="00DC2015"/>
    <w:rsid w:val="00DC3C72"/>
    <w:rsid w:val="00DC4E03"/>
    <w:rsid w:val="00DC4E94"/>
    <w:rsid w:val="00DC538E"/>
    <w:rsid w:val="00DC57F1"/>
    <w:rsid w:val="00DC5C46"/>
    <w:rsid w:val="00DC695A"/>
    <w:rsid w:val="00DC7154"/>
    <w:rsid w:val="00DC7D4B"/>
    <w:rsid w:val="00DD06D5"/>
    <w:rsid w:val="00DD072A"/>
    <w:rsid w:val="00DD1082"/>
    <w:rsid w:val="00DD16E6"/>
    <w:rsid w:val="00DD2202"/>
    <w:rsid w:val="00DD557A"/>
    <w:rsid w:val="00DD5F00"/>
    <w:rsid w:val="00DD681D"/>
    <w:rsid w:val="00DD6C0A"/>
    <w:rsid w:val="00DD772F"/>
    <w:rsid w:val="00DD7B1F"/>
    <w:rsid w:val="00DE143B"/>
    <w:rsid w:val="00DE1DB5"/>
    <w:rsid w:val="00DE24D6"/>
    <w:rsid w:val="00DE316A"/>
    <w:rsid w:val="00DE3778"/>
    <w:rsid w:val="00DE42DC"/>
    <w:rsid w:val="00DE4AD3"/>
    <w:rsid w:val="00DE4F12"/>
    <w:rsid w:val="00DE6397"/>
    <w:rsid w:val="00DE6C96"/>
    <w:rsid w:val="00DE6F7F"/>
    <w:rsid w:val="00DE70B7"/>
    <w:rsid w:val="00DE7B07"/>
    <w:rsid w:val="00DF0841"/>
    <w:rsid w:val="00DF08FE"/>
    <w:rsid w:val="00DF1400"/>
    <w:rsid w:val="00DF15C6"/>
    <w:rsid w:val="00DF1D2B"/>
    <w:rsid w:val="00DF235E"/>
    <w:rsid w:val="00DF3351"/>
    <w:rsid w:val="00DF4600"/>
    <w:rsid w:val="00DF4EF0"/>
    <w:rsid w:val="00DF58EA"/>
    <w:rsid w:val="00DF6A40"/>
    <w:rsid w:val="00DF6C5F"/>
    <w:rsid w:val="00DF7900"/>
    <w:rsid w:val="00DF7EF0"/>
    <w:rsid w:val="00E00CFE"/>
    <w:rsid w:val="00E01564"/>
    <w:rsid w:val="00E01B6C"/>
    <w:rsid w:val="00E01CFE"/>
    <w:rsid w:val="00E01E17"/>
    <w:rsid w:val="00E0243F"/>
    <w:rsid w:val="00E02BB0"/>
    <w:rsid w:val="00E03377"/>
    <w:rsid w:val="00E04622"/>
    <w:rsid w:val="00E04CE7"/>
    <w:rsid w:val="00E067C4"/>
    <w:rsid w:val="00E06C13"/>
    <w:rsid w:val="00E10156"/>
    <w:rsid w:val="00E1105F"/>
    <w:rsid w:val="00E11312"/>
    <w:rsid w:val="00E11509"/>
    <w:rsid w:val="00E12B3E"/>
    <w:rsid w:val="00E13597"/>
    <w:rsid w:val="00E13A9A"/>
    <w:rsid w:val="00E13C60"/>
    <w:rsid w:val="00E14409"/>
    <w:rsid w:val="00E14EF4"/>
    <w:rsid w:val="00E1639F"/>
    <w:rsid w:val="00E17268"/>
    <w:rsid w:val="00E2027C"/>
    <w:rsid w:val="00E2168F"/>
    <w:rsid w:val="00E218F4"/>
    <w:rsid w:val="00E2274C"/>
    <w:rsid w:val="00E238F0"/>
    <w:rsid w:val="00E2397E"/>
    <w:rsid w:val="00E239D7"/>
    <w:rsid w:val="00E24B8A"/>
    <w:rsid w:val="00E263A8"/>
    <w:rsid w:val="00E26452"/>
    <w:rsid w:val="00E26885"/>
    <w:rsid w:val="00E2796F"/>
    <w:rsid w:val="00E27C4B"/>
    <w:rsid w:val="00E27E12"/>
    <w:rsid w:val="00E307A8"/>
    <w:rsid w:val="00E308FD"/>
    <w:rsid w:val="00E30B34"/>
    <w:rsid w:val="00E30EE5"/>
    <w:rsid w:val="00E3104E"/>
    <w:rsid w:val="00E317E7"/>
    <w:rsid w:val="00E37738"/>
    <w:rsid w:val="00E413AC"/>
    <w:rsid w:val="00E41E44"/>
    <w:rsid w:val="00E41F4A"/>
    <w:rsid w:val="00E420EF"/>
    <w:rsid w:val="00E425B4"/>
    <w:rsid w:val="00E4273C"/>
    <w:rsid w:val="00E435A3"/>
    <w:rsid w:val="00E43EB6"/>
    <w:rsid w:val="00E44260"/>
    <w:rsid w:val="00E451EB"/>
    <w:rsid w:val="00E46EC9"/>
    <w:rsid w:val="00E47490"/>
    <w:rsid w:val="00E47882"/>
    <w:rsid w:val="00E5009F"/>
    <w:rsid w:val="00E50567"/>
    <w:rsid w:val="00E5211D"/>
    <w:rsid w:val="00E53076"/>
    <w:rsid w:val="00E5359B"/>
    <w:rsid w:val="00E53A54"/>
    <w:rsid w:val="00E54A5D"/>
    <w:rsid w:val="00E555A5"/>
    <w:rsid w:val="00E559EB"/>
    <w:rsid w:val="00E55A85"/>
    <w:rsid w:val="00E55AA9"/>
    <w:rsid w:val="00E55C4F"/>
    <w:rsid w:val="00E563EA"/>
    <w:rsid w:val="00E567DB"/>
    <w:rsid w:val="00E575AE"/>
    <w:rsid w:val="00E57C60"/>
    <w:rsid w:val="00E603DE"/>
    <w:rsid w:val="00E603E1"/>
    <w:rsid w:val="00E61482"/>
    <w:rsid w:val="00E61600"/>
    <w:rsid w:val="00E61814"/>
    <w:rsid w:val="00E62361"/>
    <w:rsid w:val="00E623D8"/>
    <w:rsid w:val="00E63603"/>
    <w:rsid w:val="00E65965"/>
    <w:rsid w:val="00E65A13"/>
    <w:rsid w:val="00E65CC2"/>
    <w:rsid w:val="00E66241"/>
    <w:rsid w:val="00E66332"/>
    <w:rsid w:val="00E70DB5"/>
    <w:rsid w:val="00E71AFC"/>
    <w:rsid w:val="00E71B59"/>
    <w:rsid w:val="00E71E22"/>
    <w:rsid w:val="00E724F8"/>
    <w:rsid w:val="00E72564"/>
    <w:rsid w:val="00E72746"/>
    <w:rsid w:val="00E73036"/>
    <w:rsid w:val="00E73BCC"/>
    <w:rsid w:val="00E74D98"/>
    <w:rsid w:val="00E75C6D"/>
    <w:rsid w:val="00E76671"/>
    <w:rsid w:val="00E76FB9"/>
    <w:rsid w:val="00E808B8"/>
    <w:rsid w:val="00E811DF"/>
    <w:rsid w:val="00E819C0"/>
    <w:rsid w:val="00E825A5"/>
    <w:rsid w:val="00E82882"/>
    <w:rsid w:val="00E82ABB"/>
    <w:rsid w:val="00E83684"/>
    <w:rsid w:val="00E838F7"/>
    <w:rsid w:val="00E83D66"/>
    <w:rsid w:val="00E83DB4"/>
    <w:rsid w:val="00E840AC"/>
    <w:rsid w:val="00E843AD"/>
    <w:rsid w:val="00E846B0"/>
    <w:rsid w:val="00E846CC"/>
    <w:rsid w:val="00E85F25"/>
    <w:rsid w:val="00E869DB"/>
    <w:rsid w:val="00E876B4"/>
    <w:rsid w:val="00E913DC"/>
    <w:rsid w:val="00E91797"/>
    <w:rsid w:val="00E96651"/>
    <w:rsid w:val="00E96B6A"/>
    <w:rsid w:val="00E971FD"/>
    <w:rsid w:val="00E97526"/>
    <w:rsid w:val="00E97FEF"/>
    <w:rsid w:val="00EA0D08"/>
    <w:rsid w:val="00EA2421"/>
    <w:rsid w:val="00EA2D85"/>
    <w:rsid w:val="00EA30B2"/>
    <w:rsid w:val="00EA335F"/>
    <w:rsid w:val="00EA3C2C"/>
    <w:rsid w:val="00EA3FBB"/>
    <w:rsid w:val="00EA41DF"/>
    <w:rsid w:val="00EA4D98"/>
    <w:rsid w:val="00EA503E"/>
    <w:rsid w:val="00EA5411"/>
    <w:rsid w:val="00EA6594"/>
    <w:rsid w:val="00EA7A48"/>
    <w:rsid w:val="00EB00F1"/>
    <w:rsid w:val="00EB0D86"/>
    <w:rsid w:val="00EB1756"/>
    <w:rsid w:val="00EB21CA"/>
    <w:rsid w:val="00EB29C7"/>
    <w:rsid w:val="00EB3F5E"/>
    <w:rsid w:val="00EB447F"/>
    <w:rsid w:val="00EB49E5"/>
    <w:rsid w:val="00EB4E7B"/>
    <w:rsid w:val="00EB5B6D"/>
    <w:rsid w:val="00EC0A16"/>
    <w:rsid w:val="00EC1373"/>
    <w:rsid w:val="00EC15D3"/>
    <w:rsid w:val="00EC1E48"/>
    <w:rsid w:val="00EC1ED9"/>
    <w:rsid w:val="00EC2849"/>
    <w:rsid w:val="00EC33C5"/>
    <w:rsid w:val="00EC372A"/>
    <w:rsid w:val="00EC3905"/>
    <w:rsid w:val="00EC4518"/>
    <w:rsid w:val="00EC520B"/>
    <w:rsid w:val="00EC6006"/>
    <w:rsid w:val="00EC6F1E"/>
    <w:rsid w:val="00ED09AA"/>
    <w:rsid w:val="00ED0E6D"/>
    <w:rsid w:val="00ED13C4"/>
    <w:rsid w:val="00ED2419"/>
    <w:rsid w:val="00ED2734"/>
    <w:rsid w:val="00ED3CAC"/>
    <w:rsid w:val="00ED608F"/>
    <w:rsid w:val="00ED626E"/>
    <w:rsid w:val="00ED6500"/>
    <w:rsid w:val="00ED702C"/>
    <w:rsid w:val="00EE0552"/>
    <w:rsid w:val="00EE0D3D"/>
    <w:rsid w:val="00EE0F31"/>
    <w:rsid w:val="00EE0F97"/>
    <w:rsid w:val="00EE1B8B"/>
    <w:rsid w:val="00EE1BB8"/>
    <w:rsid w:val="00EE34B7"/>
    <w:rsid w:val="00EE3A82"/>
    <w:rsid w:val="00EE3E00"/>
    <w:rsid w:val="00EE6F4A"/>
    <w:rsid w:val="00EE74E0"/>
    <w:rsid w:val="00EF001C"/>
    <w:rsid w:val="00EF0C51"/>
    <w:rsid w:val="00EF2C44"/>
    <w:rsid w:val="00EF3152"/>
    <w:rsid w:val="00EF3248"/>
    <w:rsid w:val="00EF3DB2"/>
    <w:rsid w:val="00EF3EE2"/>
    <w:rsid w:val="00EF511D"/>
    <w:rsid w:val="00EF536A"/>
    <w:rsid w:val="00EF5968"/>
    <w:rsid w:val="00EF5A32"/>
    <w:rsid w:val="00EF619D"/>
    <w:rsid w:val="00F0048A"/>
    <w:rsid w:val="00F0279F"/>
    <w:rsid w:val="00F04635"/>
    <w:rsid w:val="00F04810"/>
    <w:rsid w:val="00F04ECF"/>
    <w:rsid w:val="00F0522B"/>
    <w:rsid w:val="00F053B0"/>
    <w:rsid w:val="00F0643F"/>
    <w:rsid w:val="00F06686"/>
    <w:rsid w:val="00F07D01"/>
    <w:rsid w:val="00F10832"/>
    <w:rsid w:val="00F10B9C"/>
    <w:rsid w:val="00F11E81"/>
    <w:rsid w:val="00F1255C"/>
    <w:rsid w:val="00F145F2"/>
    <w:rsid w:val="00F147F0"/>
    <w:rsid w:val="00F155FB"/>
    <w:rsid w:val="00F157A4"/>
    <w:rsid w:val="00F169AE"/>
    <w:rsid w:val="00F16C30"/>
    <w:rsid w:val="00F16F4C"/>
    <w:rsid w:val="00F170CF"/>
    <w:rsid w:val="00F17C34"/>
    <w:rsid w:val="00F2020F"/>
    <w:rsid w:val="00F20640"/>
    <w:rsid w:val="00F20FEA"/>
    <w:rsid w:val="00F2199A"/>
    <w:rsid w:val="00F21D74"/>
    <w:rsid w:val="00F2214A"/>
    <w:rsid w:val="00F22EB3"/>
    <w:rsid w:val="00F2326D"/>
    <w:rsid w:val="00F23D6F"/>
    <w:rsid w:val="00F24210"/>
    <w:rsid w:val="00F24446"/>
    <w:rsid w:val="00F2462E"/>
    <w:rsid w:val="00F25931"/>
    <w:rsid w:val="00F2623E"/>
    <w:rsid w:val="00F27811"/>
    <w:rsid w:val="00F279AE"/>
    <w:rsid w:val="00F27BFD"/>
    <w:rsid w:val="00F303D0"/>
    <w:rsid w:val="00F310BB"/>
    <w:rsid w:val="00F31D7F"/>
    <w:rsid w:val="00F32066"/>
    <w:rsid w:val="00F35F90"/>
    <w:rsid w:val="00F37935"/>
    <w:rsid w:val="00F37AE8"/>
    <w:rsid w:val="00F37B66"/>
    <w:rsid w:val="00F4057B"/>
    <w:rsid w:val="00F40BB2"/>
    <w:rsid w:val="00F4108B"/>
    <w:rsid w:val="00F413C5"/>
    <w:rsid w:val="00F41BA6"/>
    <w:rsid w:val="00F42BC1"/>
    <w:rsid w:val="00F42DC3"/>
    <w:rsid w:val="00F444F7"/>
    <w:rsid w:val="00F44B47"/>
    <w:rsid w:val="00F45271"/>
    <w:rsid w:val="00F45566"/>
    <w:rsid w:val="00F45587"/>
    <w:rsid w:val="00F46016"/>
    <w:rsid w:val="00F47679"/>
    <w:rsid w:val="00F47AE2"/>
    <w:rsid w:val="00F47FFB"/>
    <w:rsid w:val="00F502C4"/>
    <w:rsid w:val="00F519D2"/>
    <w:rsid w:val="00F5520E"/>
    <w:rsid w:val="00F556ED"/>
    <w:rsid w:val="00F56193"/>
    <w:rsid w:val="00F578FA"/>
    <w:rsid w:val="00F603DC"/>
    <w:rsid w:val="00F619E3"/>
    <w:rsid w:val="00F625CB"/>
    <w:rsid w:val="00F62FA9"/>
    <w:rsid w:val="00F633E0"/>
    <w:rsid w:val="00F638F8"/>
    <w:rsid w:val="00F64402"/>
    <w:rsid w:val="00F64D99"/>
    <w:rsid w:val="00F6596E"/>
    <w:rsid w:val="00F65B2E"/>
    <w:rsid w:val="00F7025C"/>
    <w:rsid w:val="00F7045D"/>
    <w:rsid w:val="00F70898"/>
    <w:rsid w:val="00F709E3"/>
    <w:rsid w:val="00F71961"/>
    <w:rsid w:val="00F72126"/>
    <w:rsid w:val="00F72206"/>
    <w:rsid w:val="00F72BC6"/>
    <w:rsid w:val="00F72E64"/>
    <w:rsid w:val="00F740BF"/>
    <w:rsid w:val="00F75313"/>
    <w:rsid w:val="00F7556E"/>
    <w:rsid w:val="00F75A81"/>
    <w:rsid w:val="00F75CC4"/>
    <w:rsid w:val="00F762BC"/>
    <w:rsid w:val="00F763B1"/>
    <w:rsid w:val="00F77659"/>
    <w:rsid w:val="00F7774E"/>
    <w:rsid w:val="00F77A15"/>
    <w:rsid w:val="00F80226"/>
    <w:rsid w:val="00F8122B"/>
    <w:rsid w:val="00F815A7"/>
    <w:rsid w:val="00F8182A"/>
    <w:rsid w:val="00F8219F"/>
    <w:rsid w:val="00F8242E"/>
    <w:rsid w:val="00F82433"/>
    <w:rsid w:val="00F82A6D"/>
    <w:rsid w:val="00F82D42"/>
    <w:rsid w:val="00F82FD1"/>
    <w:rsid w:val="00F8339A"/>
    <w:rsid w:val="00F85263"/>
    <w:rsid w:val="00F855EA"/>
    <w:rsid w:val="00F86818"/>
    <w:rsid w:val="00F87F62"/>
    <w:rsid w:val="00F90856"/>
    <w:rsid w:val="00F918C3"/>
    <w:rsid w:val="00F92084"/>
    <w:rsid w:val="00F922A3"/>
    <w:rsid w:val="00F93958"/>
    <w:rsid w:val="00F93A7C"/>
    <w:rsid w:val="00F93F35"/>
    <w:rsid w:val="00F94101"/>
    <w:rsid w:val="00F94CCA"/>
    <w:rsid w:val="00F955AD"/>
    <w:rsid w:val="00F95995"/>
    <w:rsid w:val="00F96080"/>
    <w:rsid w:val="00F96B0A"/>
    <w:rsid w:val="00F96FC1"/>
    <w:rsid w:val="00F9714A"/>
    <w:rsid w:val="00F978D2"/>
    <w:rsid w:val="00FA0258"/>
    <w:rsid w:val="00FA0A04"/>
    <w:rsid w:val="00FA0BAF"/>
    <w:rsid w:val="00FA1DE0"/>
    <w:rsid w:val="00FA2EDE"/>
    <w:rsid w:val="00FA2FA3"/>
    <w:rsid w:val="00FA342E"/>
    <w:rsid w:val="00FA71F3"/>
    <w:rsid w:val="00FA773C"/>
    <w:rsid w:val="00FB047A"/>
    <w:rsid w:val="00FB0DE1"/>
    <w:rsid w:val="00FB25E0"/>
    <w:rsid w:val="00FB4366"/>
    <w:rsid w:val="00FB496B"/>
    <w:rsid w:val="00FB5110"/>
    <w:rsid w:val="00FB5826"/>
    <w:rsid w:val="00FB5893"/>
    <w:rsid w:val="00FB7AF8"/>
    <w:rsid w:val="00FB7FF3"/>
    <w:rsid w:val="00FC0078"/>
    <w:rsid w:val="00FC013B"/>
    <w:rsid w:val="00FC0219"/>
    <w:rsid w:val="00FC0240"/>
    <w:rsid w:val="00FC038A"/>
    <w:rsid w:val="00FC1ED1"/>
    <w:rsid w:val="00FC2794"/>
    <w:rsid w:val="00FC31B4"/>
    <w:rsid w:val="00FC4158"/>
    <w:rsid w:val="00FC43A6"/>
    <w:rsid w:val="00FC4609"/>
    <w:rsid w:val="00FC50A7"/>
    <w:rsid w:val="00FC6320"/>
    <w:rsid w:val="00FC685E"/>
    <w:rsid w:val="00FC6DAB"/>
    <w:rsid w:val="00FC6FF7"/>
    <w:rsid w:val="00FC769D"/>
    <w:rsid w:val="00FC7E78"/>
    <w:rsid w:val="00FD0D99"/>
    <w:rsid w:val="00FD23EB"/>
    <w:rsid w:val="00FD2C25"/>
    <w:rsid w:val="00FD322C"/>
    <w:rsid w:val="00FD3992"/>
    <w:rsid w:val="00FD5E63"/>
    <w:rsid w:val="00FD607C"/>
    <w:rsid w:val="00FD64EB"/>
    <w:rsid w:val="00FD68F2"/>
    <w:rsid w:val="00FD6A7E"/>
    <w:rsid w:val="00FD7B56"/>
    <w:rsid w:val="00FE05AD"/>
    <w:rsid w:val="00FE2523"/>
    <w:rsid w:val="00FE2ADD"/>
    <w:rsid w:val="00FE2F81"/>
    <w:rsid w:val="00FE364F"/>
    <w:rsid w:val="00FE3937"/>
    <w:rsid w:val="00FE3E18"/>
    <w:rsid w:val="00FE47CB"/>
    <w:rsid w:val="00FE4880"/>
    <w:rsid w:val="00FE664C"/>
    <w:rsid w:val="00FE7670"/>
    <w:rsid w:val="00FE7F3C"/>
    <w:rsid w:val="00FF17E6"/>
    <w:rsid w:val="00FF2365"/>
    <w:rsid w:val="00FF2B1B"/>
    <w:rsid w:val="00FF2E73"/>
    <w:rsid w:val="00FF34A1"/>
    <w:rsid w:val="00FF3CDD"/>
    <w:rsid w:val="00FF3CF8"/>
    <w:rsid w:val="00FF4176"/>
    <w:rsid w:val="00FF4805"/>
    <w:rsid w:val="00FF48A5"/>
    <w:rsid w:val="00FF50C7"/>
    <w:rsid w:val="00FF6BED"/>
    <w:rsid w:val="00FF6C37"/>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8BA3"/>
  <w15:chartTrackingRefBased/>
  <w15:docId w15:val="{5CA87E06-3E41-499C-B02C-86AD6ABC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60"/>
  </w:style>
  <w:style w:type="paragraph" w:styleId="Heading1">
    <w:name w:val="heading 1"/>
    <w:basedOn w:val="Normal"/>
    <w:next w:val="Normal"/>
    <w:link w:val="Heading1Char"/>
    <w:uiPriority w:val="9"/>
    <w:qFormat/>
    <w:rsid w:val="00FC7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7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5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082"/>
    <w:pPr>
      <w:ind w:left="720"/>
      <w:contextualSpacing/>
    </w:pPr>
  </w:style>
  <w:style w:type="character" w:styleId="Hyperlink">
    <w:name w:val="Hyperlink"/>
    <w:basedOn w:val="DefaultParagraphFont"/>
    <w:uiPriority w:val="99"/>
    <w:unhideWhenUsed/>
    <w:rsid w:val="00CA3082"/>
    <w:rPr>
      <w:color w:val="0563C1" w:themeColor="hyperlink"/>
      <w:u w:val="single"/>
    </w:rPr>
  </w:style>
  <w:style w:type="character" w:styleId="UnresolvedMention">
    <w:name w:val="Unresolved Mention"/>
    <w:basedOn w:val="DefaultParagraphFont"/>
    <w:uiPriority w:val="99"/>
    <w:semiHidden/>
    <w:unhideWhenUsed/>
    <w:rsid w:val="00A56E94"/>
    <w:rPr>
      <w:color w:val="605E5C"/>
      <w:shd w:val="clear" w:color="auto" w:fill="E1DFDD"/>
    </w:rPr>
  </w:style>
  <w:style w:type="character" w:customStyle="1" w:styleId="Heading1Char">
    <w:name w:val="Heading 1 Char"/>
    <w:basedOn w:val="DefaultParagraphFont"/>
    <w:link w:val="Heading1"/>
    <w:uiPriority w:val="9"/>
    <w:rsid w:val="00FC7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7E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7E7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B1124"/>
    <w:rPr>
      <w:color w:val="808080"/>
    </w:rPr>
  </w:style>
  <w:style w:type="paragraph" w:styleId="Title">
    <w:name w:val="Title"/>
    <w:basedOn w:val="Normal"/>
    <w:next w:val="Normal"/>
    <w:link w:val="TitleChar"/>
    <w:uiPriority w:val="10"/>
    <w:qFormat/>
    <w:rsid w:val="0017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5A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735A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A347F"/>
    <w:rPr>
      <w:color w:val="954F72" w:themeColor="followedHyperlink"/>
      <w:u w:val="single"/>
    </w:rPr>
  </w:style>
  <w:style w:type="paragraph" w:styleId="Header">
    <w:name w:val="header"/>
    <w:basedOn w:val="Normal"/>
    <w:link w:val="HeaderChar"/>
    <w:uiPriority w:val="99"/>
    <w:unhideWhenUsed/>
    <w:rsid w:val="002B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7"/>
  </w:style>
  <w:style w:type="paragraph" w:styleId="Footer">
    <w:name w:val="footer"/>
    <w:basedOn w:val="Normal"/>
    <w:link w:val="FooterChar"/>
    <w:uiPriority w:val="99"/>
    <w:unhideWhenUsed/>
    <w:rsid w:val="002B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7F7"/>
  </w:style>
  <w:style w:type="paragraph" w:styleId="Caption">
    <w:name w:val="caption"/>
    <w:basedOn w:val="Normal"/>
    <w:next w:val="Normal"/>
    <w:uiPriority w:val="35"/>
    <w:unhideWhenUsed/>
    <w:qFormat/>
    <w:rsid w:val="007C3077"/>
    <w:pPr>
      <w:spacing w:after="200" w:line="240" w:lineRule="auto"/>
    </w:pPr>
    <w:rPr>
      <w:i/>
      <w:iCs/>
      <w:color w:val="44546A" w:themeColor="text2"/>
      <w:sz w:val="18"/>
      <w:szCs w:val="18"/>
    </w:rPr>
  </w:style>
  <w:style w:type="character" w:styleId="BookTitle">
    <w:name w:val="Book Title"/>
    <w:basedOn w:val="DefaultParagraphFont"/>
    <w:uiPriority w:val="33"/>
    <w:qFormat/>
    <w:rsid w:val="007939EC"/>
    <w:rPr>
      <w:b/>
      <w:bCs/>
      <w:i/>
      <w:iCs/>
      <w:spacing w:val="5"/>
    </w:rPr>
  </w:style>
  <w:style w:type="paragraph" w:styleId="TOCHeading">
    <w:name w:val="TOC Heading"/>
    <w:basedOn w:val="Heading1"/>
    <w:next w:val="Normal"/>
    <w:uiPriority w:val="39"/>
    <w:unhideWhenUsed/>
    <w:qFormat/>
    <w:rsid w:val="008F67F6"/>
    <w:pPr>
      <w:outlineLvl w:val="9"/>
    </w:pPr>
  </w:style>
  <w:style w:type="paragraph" w:styleId="TOC1">
    <w:name w:val="toc 1"/>
    <w:basedOn w:val="Normal"/>
    <w:next w:val="Normal"/>
    <w:autoRedefine/>
    <w:uiPriority w:val="39"/>
    <w:unhideWhenUsed/>
    <w:rsid w:val="008F67F6"/>
    <w:pPr>
      <w:spacing w:after="100"/>
    </w:pPr>
  </w:style>
  <w:style w:type="paragraph" w:styleId="TOC2">
    <w:name w:val="toc 2"/>
    <w:basedOn w:val="Normal"/>
    <w:next w:val="Normal"/>
    <w:autoRedefine/>
    <w:uiPriority w:val="39"/>
    <w:unhideWhenUsed/>
    <w:rsid w:val="008F67F6"/>
    <w:pPr>
      <w:spacing w:after="100"/>
      <w:ind w:left="220"/>
    </w:pPr>
  </w:style>
  <w:style w:type="paragraph" w:styleId="TOC3">
    <w:name w:val="toc 3"/>
    <w:basedOn w:val="Normal"/>
    <w:next w:val="Normal"/>
    <w:autoRedefine/>
    <w:uiPriority w:val="39"/>
    <w:unhideWhenUsed/>
    <w:rsid w:val="008F67F6"/>
    <w:pPr>
      <w:spacing w:after="100"/>
      <w:ind w:left="440"/>
    </w:pPr>
    <w:rPr>
      <w:rFonts w:eastAsiaTheme="minorEastAsia" w:cs="Times New Roman"/>
    </w:rPr>
  </w:style>
  <w:style w:type="paragraph" w:styleId="NormalWeb">
    <w:name w:val="Normal (Web)"/>
    <w:basedOn w:val="Normal"/>
    <w:uiPriority w:val="99"/>
    <w:semiHidden/>
    <w:unhideWhenUsed/>
    <w:rsid w:val="00932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3546">
      <w:bodyDiv w:val="1"/>
      <w:marLeft w:val="0"/>
      <w:marRight w:val="0"/>
      <w:marTop w:val="0"/>
      <w:marBottom w:val="0"/>
      <w:divBdr>
        <w:top w:val="none" w:sz="0" w:space="0" w:color="auto"/>
        <w:left w:val="none" w:sz="0" w:space="0" w:color="auto"/>
        <w:bottom w:val="none" w:sz="0" w:space="0" w:color="auto"/>
        <w:right w:val="none" w:sz="0" w:space="0" w:color="auto"/>
      </w:divBdr>
    </w:div>
    <w:div w:id="111290340">
      <w:bodyDiv w:val="1"/>
      <w:marLeft w:val="0"/>
      <w:marRight w:val="0"/>
      <w:marTop w:val="0"/>
      <w:marBottom w:val="0"/>
      <w:divBdr>
        <w:top w:val="none" w:sz="0" w:space="0" w:color="auto"/>
        <w:left w:val="none" w:sz="0" w:space="0" w:color="auto"/>
        <w:bottom w:val="none" w:sz="0" w:space="0" w:color="auto"/>
        <w:right w:val="none" w:sz="0" w:space="0" w:color="auto"/>
      </w:divBdr>
    </w:div>
    <w:div w:id="116684826">
      <w:bodyDiv w:val="1"/>
      <w:marLeft w:val="0"/>
      <w:marRight w:val="0"/>
      <w:marTop w:val="0"/>
      <w:marBottom w:val="0"/>
      <w:divBdr>
        <w:top w:val="none" w:sz="0" w:space="0" w:color="auto"/>
        <w:left w:val="none" w:sz="0" w:space="0" w:color="auto"/>
        <w:bottom w:val="none" w:sz="0" w:space="0" w:color="auto"/>
        <w:right w:val="none" w:sz="0" w:space="0" w:color="auto"/>
      </w:divBdr>
    </w:div>
    <w:div w:id="180972530">
      <w:bodyDiv w:val="1"/>
      <w:marLeft w:val="0"/>
      <w:marRight w:val="0"/>
      <w:marTop w:val="0"/>
      <w:marBottom w:val="0"/>
      <w:divBdr>
        <w:top w:val="none" w:sz="0" w:space="0" w:color="auto"/>
        <w:left w:val="none" w:sz="0" w:space="0" w:color="auto"/>
        <w:bottom w:val="none" w:sz="0" w:space="0" w:color="auto"/>
        <w:right w:val="none" w:sz="0" w:space="0" w:color="auto"/>
      </w:divBdr>
    </w:div>
    <w:div w:id="346374372">
      <w:bodyDiv w:val="1"/>
      <w:marLeft w:val="0"/>
      <w:marRight w:val="0"/>
      <w:marTop w:val="0"/>
      <w:marBottom w:val="0"/>
      <w:divBdr>
        <w:top w:val="none" w:sz="0" w:space="0" w:color="auto"/>
        <w:left w:val="none" w:sz="0" w:space="0" w:color="auto"/>
        <w:bottom w:val="none" w:sz="0" w:space="0" w:color="auto"/>
        <w:right w:val="none" w:sz="0" w:space="0" w:color="auto"/>
      </w:divBdr>
    </w:div>
    <w:div w:id="442305543">
      <w:bodyDiv w:val="1"/>
      <w:marLeft w:val="0"/>
      <w:marRight w:val="0"/>
      <w:marTop w:val="0"/>
      <w:marBottom w:val="0"/>
      <w:divBdr>
        <w:top w:val="none" w:sz="0" w:space="0" w:color="auto"/>
        <w:left w:val="none" w:sz="0" w:space="0" w:color="auto"/>
        <w:bottom w:val="none" w:sz="0" w:space="0" w:color="auto"/>
        <w:right w:val="none" w:sz="0" w:space="0" w:color="auto"/>
      </w:divBdr>
    </w:div>
    <w:div w:id="482090487">
      <w:bodyDiv w:val="1"/>
      <w:marLeft w:val="0"/>
      <w:marRight w:val="0"/>
      <w:marTop w:val="0"/>
      <w:marBottom w:val="0"/>
      <w:divBdr>
        <w:top w:val="none" w:sz="0" w:space="0" w:color="auto"/>
        <w:left w:val="none" w:sz="0" w:space="0" w:color="auto"/>
        <w:bottom w:val="none" w:sz="0" w:space="0" w:color="auto"/>
        <w:right w:val="none" w:sz="0" w:space="0" w:color="auto"/>
      </w:divBdr>
    </w:div>
    <w:div w:id="536967994">
      <w:bodyDiv w:val="1"/>
      <w:marLeft w:val="0"/>
      <w:marRight w:val="0"/>
      <w:marTop w:val="0"/>
      <w:marBottom w:val="0"/>
      <w:divBdr>
        <w:top w:val="none" w:sz="0" w:space="0" w:color="auto"/>
        <w:left w:val="none" w:sz="0" w:space="0" w:color="auto"/>
        <w:bottom w:val="none" w:sz="0" w:space="0" w:color="auto"/>
        <w:right w:val="none" w:sz="0" w:space="0" w:color="auto"/>
      </w:divBdr>
    </w:div>
    <w:div w:id="591282635">
      <w:bodyDiv w:val="1"/>
      <w:marLeft w:val="0"/>
      <w:marRight w:val="0"/>
      <w:marTop w:val="0"/>
      <w:marBottom w:val="0"/>
      <w:divBdr>
        <w:top w:val="none" w:sz="0" w:space="0" w:color="auto"/>
        <w:left w:val="none" w:sz="0" w:space="0" w:color="auto"/>
        <w:bottom w:val="none" w:sz="0" w:space="0" w:color="auto"/>
        <w:right w:val="none" w:sz="0" w:space="0" w:color="auto"/>
      </w:divBdr>
    </w:div>
    <w:div w:id="784226449">
      <w:bodyDiv w:val="1"/>
      <w:marLeft w:val="0"/>
      <w:marRight w:val="0"/>
      <w:marTop w:val="0"/>
      <w:marBottom w:val="0"/>
      <w:divBdr>
        <w:top w:val="none" w:sz="0" w:space="0" w:color="auto"/>
        <w:left w:val="none" w:sz="0" w:space="0" w:color="auto"/>
        <w:bottom w:val="none" w:sz="0" w:space="0" w:color="auto"/>
        <w:right w:val="none" w:sz="0" w:space="0" w:color="auto"/>
      </w:divBdr>
    </w:div>
    <w:div w:id="811364791">
      <w:bodyDiv w:val="1"/>
      <w:marLeft w:val="0"/>
      <w:marRight w:val="0"/>
      <w:marTop w:val="0"/>
      <w:marBottom w:val="0"/>
      <w:divBdr>
        <w:top w:val="none" w:sz="0" w:space="0" w:color="auto"/>
        <w:left w:val="none" w:sz="0" w:space="0" w:color="auto"/>
        <w:bottom w:val="none" w:sz="0" w:space="0" w:color="auto"/>
        <w:right w:val="none" w:sz="0" w:space="0" w:color="auto"/>
      </w:divBdr>
    </w:div>
    <w:div w:id="977345800">
      <w:bodyDiv w:val="1"/>
      <w:marLeft w:val="0"/>
      <w:marRight w:val="0"/>
      <w:marTop w:val="0"/>
      <w:marBottom w:val="0"/>
      <w:divBdr>
        <w:top w:val="none" w:sz="0" w:space="0" w:color="auto"/>
        <w:left w:val="none" w:sz="0" w:space="0" w:color="auto"/>
        <w:bottom w:val="none" w:sz="0" w:space="0" w:color="auto"/>
        <w:right w:val="none" w:sz="0" w:space="0" w:color="auto"/>
      </w:divBdr>
    </w:div>
    <w:div w:id="1094980521">
      <w:bodyDiv w:val="1"/>
      <w:marLeft w:val="0"/>
      <w:marRight w:val="0"/>
      <w:marTop w:val="0"/>
      <w:marBottom w:val="0"/>
      <w:divBdr>
        <w:top w:val="none" w:sz="0" w:space="0" w:color="auto"/>
        <w:left w:val="none" w:sz="0" w:space="0" w:color="auto"/>
        <w:bottom w:val="none" w:sz="0" w:space="0" w:color="auto"/>
        <w:right w:val="none" w:sz="0" w:space="0" w:color="auto"/>
      </w:divBdr>
    </w:div>
    <w:div w:id="1118454002">
      <w:bodyDiv w:val="1"/>
      <w:marLeft w:val="0"/>
      <w:marRight w:val="0"/>
      <w:marTop w:val="0"/>
      <w:marBottom w:val="0"/>
      <w:divBdr>
        <w:top w:val="none" w:sz="0" w:space="0" w:color="auto"/>
        <w:left w:val="none" w:sz="0" w:space="0" w:color="auto"/>
        <w:bottom w:val="none" w:sz="0" w:space="0" w:color="auto"/>
        <w:right w:val="none" w:sz="0" w:space="0" w:color="auto"/>
      </w:divBdr>
    </w:div>
    <w:div w:id="1123496222">
      <w:bodyDiv w:val="1"/>
      <w:marLeft w:val="0"/>
      <w:marRight w:val="0"/>
      <w:marTop w:val="0"/>
      <w:marBottom w:val="0"/>
      <w:divBdr>
        <w:top w:val="none" w:sz="0" w:space="0" w:color="auto"/>
        <w:left w:val="none" w:sz="0" w:space="0" w:color="auto"/>
        <w:bottom w:val="none" w:sz="0" w:space="0" w:color="auto"/>
        <w:right w:val="none" w:sz="0" w:space="0" w:color="auto"/>
      </w:divBdr>
    </w:div>
    <w:div w:id="1148671323">
      <w:bodyDiv w:val="1"/>
      <w:marLeft w:val="0"/>
      <w:marRight w:val="0"/>
      <w:marTop w:val="0"/>
      <w:marBottom w:val="0"/>
      <w:divBdr>
        <w:top w:val="none" w:sz="0" w:space="0" w:color="auto"/>
        <w:left w:val="none" w:sz="0" w:space="0" w:color="auto"/>
        <w:bottom w:val="none" w:sz="0" w:space="0" w:color="auto"/>
        <w:right w:val="none" w:sz="0" w:space="0" w:color="auto"/>
      </w:divBdr>
    </w:div>
    <w:div w:id="1230531498">
      <w:bodyDiv w:val="1"/>
      <w:marLeft w:val="0"/>
      <w:marRight w:val="0"/>
      <w:marTop w:val="0"/>
      <w:marBottom w:val="0"/>
      <w:divBdr>
        <w:top w:val="none" w:sz="0" w:space="0" w:color="auto"/>
        <w:left w:val="none" w:sz="0" w:space="0" w:color="auto"/>
        <w:bottom w:val="none" w:sz="0" w:space="0" w:color="auto"/>
        <w:right w:val="none" w:sz="0" w:space="0" w:color="auto"/>
      </w:divBdr>
    </w:div>
    <w:div w:id="1357346450">
      <w:bodyDiv w:val="1"/>
      <w:marLeft w:val="0"/>
      <w:marRight w:val="0"/>
      <w:marTop w:val="0"/>
      <w:marBottom w:val="0"/>
      <w:divBdr>
        <w:top w:val="none" w:sz="0" w:space="0" w:color="auto"/>
        <w:left w:val="none" w:sz="0" w:space="0" w:color="auto"/>
        <w:bottom w:val="none" w:sz="0" w:space="0" w:color="auto"/>
        <w:right w:val="none" w:sz="0" w:space="0" w:color="auto"/>
      </w:divBdr>
    </w:div>
    <w:div w:id="1381974566">
      <w:bodyDiv w:val="1"/>
      <w:marLeft w:val="0"/>
      <w:marRight w:val="0"/>
      <w:marTop w:val="0"/>
      <w:marBottom w:val="0"/>
      <w:divBdr>
        <w:top w:val="none" w:sz="0" w:space="0" w:color="auto"/>
        <w:left w:val="none" w:sz="0" w:space="0" w:color="auto"/>
        <w:bottom w:val="none" w:sz="0" w:space="0" w:color="auto"/>
        <w:right w:val="none" w:sz="0" w:space="0" w:color="auto"/>
      </w:divBdr>
    </w:div>
    <w:div w:id="1414203336">
      <w:bodyDiv w:val="1"/>
      <w:marLeft w:val="0"/>
      <w:marRight w:val="0"/>
      <w:marTop w:val="0"/>
      <w:marBottom w:val="0"/>
      <w:divBdr>
        <w:top w:val="none" w:sz="0" w:space="0" w:color="auto"/>
        <w:left w:val="none" w:sz="0" w:space="0" w:color="auto"/>
        <w:bottom w:val="none" w:sz="0" w:space="0" w:color="auto"/>
        <w:right w:val="none" w:sz="0" w:space="0" w:color="auto"/>
      </w:divBdr>
    </w:div>
    <w:div w:id="1422292753">
      <w:bodyDiv w:val="1"/>
      <w:marLeft w:val="0"/>
      <w:marRight w:val="0"/>
      <w:marTop w:val="0"/>
      <w:marBottom w:val="0"/>
      <w:divBdr>
        <w:top w:val="none" w:sz="0" w:space="0" w:color="auto"/>
        <w:left w:val="none" w:sz="0" w:space="0" w:color="auto"/>
        <w:bottom w:val="none" w:sz="0" w:space="0" w:color="auto"/>
        <w:right w:val="none" w:sz="0" w:space="0" w:color="auto"/>
      </w:divBdr>
    </w:div>
    <w:div w:id="1494223315">
      <w:bodyDiv w:val="1"/>
      <w:marLeft w:val="0"/>
      <w:marRight w:val="0"/>
      <w:marTop w:val="0"/>
      <w:marBottom w:val="0"/>
      <w:divBdr>
        <w:top w:val="none" w:sz="0" w:space="0" w:color="auto"/>
        <w:left w:val="none" w:sz="0" w:space="0" w:color="auto"/>
        <w:bottom w:val="none" w:sz="0" w:space="0" w:color="auto"/>
        <w:right w:val="none" w:sz="0" w:space="0" w:color="auto"/>
      </w:divBdr>
    </w:div>
    <w:div w:id="1582371900">
      <w:bodyDiv w:val="1"/>
      <w:marLeft w:val="0"/>
      <w:marRight w:val="0"/>
      <w:marTop w:val="0"/>
      <w:marBottom w:val="0"/>
      <w:divBdr>
        <w:top w:val="none" w:sz="0" w:space="0" w:color="auto"/>
        <w:left w:val="none" w:sz="0" w:space="0" w:color="auto"/>
        <w:bottom w:val="none" w:sz="0" w:space="0" w:color="auto"/>
        <w:right w:val="none" w:sz="0" w:space="0" w:color="auto"/>
      </w:divBdr>
    </w:div>
    <w:div w:id="1612473495">
      <w:bodyDiv w:val="1"/>
      <w:marLeft w:val="0"/>
      <w:marRight w:val="0"/>
      <w:marTop w:val="0"/>
      <w:marBottom w:val="0"/>
      <w:divBdr>
        <w:top w:val="none" w:sz="0" w:space="0" w:color="auto"/>
        <w:left w:val="none" w:sz="0" w:space="0" w:color="auto"/>
        <w:bottom w:val="none" w:sz="0" w:space="0" w:color="auto"/>
        <w:right w:val="none" w:sz="0" w:space="0" w:color="auto"/>
      </w:divBdr>
    </w:div>
    <w:div w:id="1789205311">
      <w:bodyDiv w:val="1"/>
      <w:marLeft w:val="0"/>
      <w:marRight w:val="0"/>
      <w:marTop w:val="0"/>
      <w:marBottom w:val="0"/>
      <w:divBdr>
        <w:top w:val="none" w:sz="0" w:space="0" w:color="auto"/>
        <w:left w:val="none" w:sz="0" w:space="0" w:color="auto"/>
        <w:bottom w:val="none" w:sz="0" w:space="0" w:color="auto"/>
        <w:right w:val="none" w:sz="0" w:space="0" w:color="auto"/>
      </w:divBdr>
    </w:div>
    <w:div w:id="1803033334">
      <w:bodyDiv w:val="1"/>
      <w:marLeft w:val="0"/>
      <w:marRight w:val="0"/>
      <w:marTop w:val="0"/>
      <w:marBottom w:val="0"/>
      <w:divBdr>
        <w:top w:val="none" w:sz="0" w:space="0" w:color="auto"/>
        <w:left w:val="none" w:sz="0" w:space="0" w:color="auto"/>
        <w:bottom w:val="none" w:sz="0" w:space="0" w:color="auto"/>
        <w:right w:val="none" w:sz="0" w:space="0" w:color="auto"/>
      </w:divBdr>
    </w:div>
    <w:div w:id="1815638169">
      <w:bodyDiv w:val="1"/>
      <w:marLeft w:val="0"/>
      <w:marRight w:val="0"/>
      <w:marTop w:val="0"/>
      <w:marBottom w:val="0"/>
      <w:divBdr>
        <w:top w:val="none" w:sz="0" w:space="0" w:color="auto"/>
        <w:left w:val="none" w:sz="0" w:space="0" w:color="auto"/>
        <w:bottom w:val="none" w:sz="0" w:space="0" w:color="auto"/>
        <w:right w:val="none" w:sz="0" w:space="0" w:color="auto"/>
      </w:divBdr>
    </w:div>
    <w:div w:id="1836144295">
      <w:bodyDiv w:val="1"/>
      <w:marLeft w:val="0"/>
      <w:marRight w:val="0"/>
      <w:marTop w:val="0"/>
      <w:marBottom w:val="0"/>
      <w:divBdr>
        <w:top w:val="none" w:sz="0" w:space="0" w:color="auto"/>
        <w:left w:val="none" w:sz="0" w:space="0" w:color="auto"/>
        <w:bottom w:val="none" w:sz="0" w:space="0" w:color="auto"/>
        <w:right w:val="none" w:sz="0" w:space="0" w:color="auto"/>
      </w:divBdr>
    </w:div>
    <w:div w:id="1917321564">
      <w:bodyDiv w:val="1"/>
      <w:marLeft w:val="0"/>
      <w:marRight w:val="0"/>
      <w:marTop w:val="0"/>
      <w:marBottom w:val="0"/>
      <w:divBdr>
        <w:top w:val="none" w:sz="0" w:space="0" w:color="auto"/>
        <w:left w:val="none" w:sz="0" w:space="0" w:color="auto"/>
        <w:bottom w:val="none" w:sz="0" w:space="0" w:color="auto"/>
        <w:right w:val="none" w:sz="0" w:space="0" w:color="auto"/>
      </w:divBdr>
    </w:div>
    <w:div w:id="2060787473">
      <w:bodyDiv w:val="1"/>
      <w:marLeft w:val="0"/>
      <w:marRight w:val="0"/>
      <w:marTop w:val="0"/>
      <w:marBottom w:val="0"/>
      <w:divBdr>
        <w:top w:val="none" w:sz="0" w:space="0" w:color="auto"/>
        <w:left w:val="none" w:sz="0" w:space="0" w:color="auto"/>
        <w:bottom w:val="none" w:sz="0" w:space="0" w:color="auto"/>
        <w:right w:val="none" w:sz="0" w:space="0" w:color="auto"/>
      </w:divBdr>
    </w:div>
    <w:div w:id="21098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ites.google.com/view/jadhazell/state-consumer-price-inde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bls.gov/cgi-bin/surveymost?la" TargetMode="External"/><Relationship Id="rId17" Type="http://schemas.openxmlformats.org/officeDocument/2006/relationships/hyperlink" Target="https://www.washingtonpost.com/business/2020/01/02/minimum-wage-increases-fueling-faster-wage-growth-those-bottom/" TargetMode="External"/><Relationship Id="rId2" Type="http://schemas.openxmlformats.org/officeDocument/2006/relationships/numbering" Target="numbering.xml"/><Relationship Id="rId16" Type="http://schemas.openxmlformats.org/officeDocument/2006/relationships/hyperlink" Target="https://www.brookings.edu/policy2020/votervital/whose-wages-are-rising-and-wh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quitablegrowth.org/working-papers/historical-state-%20and-sub-state-minimum-wage-data/" TargetMode="External"/><Relationship Id="rId5" Type="http://schemas.openxmlformats.org/officeDocument/2006/relationships/webSettings" Target="webSettings.xml"/><Relationship Id="rId15" Type="http://schemas.openxmlformats.org/officeDocument/2006/relationships/hyperlink" Target="https://www.bls.gov/cps/definitions.htm"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epi.org/publication/labor-day-2019-minimum-wag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2400"/>
              <a:t>Figure 2: The Neoclassical Model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2356490263240492"/>
          <c:y val="0.20232100115343329"/>
          <c:w val="0.82336685817219124"/>
          <c:h val="0.70259516533842892"/>
        </c:manualLayout>
      </c:layout>
      <c:scatterChart>
        <c:scatterStyle val="smoothMarker"/>
        <c:varyColors val="0"/>
        <c:ser>
          <c:idx val="0"/>
          <c:order val="0"/>
          <c:tx>
            <c:strRef>
              <c:f>Sheet1!$B$1</c:f>
              <c:strCache>
                <c:ptCount val="1"/>
                <c:pt idx="0">
                  <c:v>S</c:v>
                </c:pt>
              </c:strCache>
            </c:strRef>
          </c:tx>
          <c:spPr>
            <a:ln w="19050" cap="rnd">
              <a:solidFill>
                <a:schemeClr val="tx1"/>
              </a:solidFill>
              <a:round/>
            </a:ln>
            <a:effectLst/>
          </c:spPr>
          <c:marker>
            <c:symbol val="none"/>
          </c:marker>
          <c:dLbls>
            <c:dLbl>
              <c:idx val="4"/>
              <c:layout>
                <c:manualLayout>
                  <c:x val="-7.7989513121883555E-2"/>
                  <c:y val="-4.6749682627604906E-2"/>
                </c:manualLayout>
              </c:layout>
              <c:tx>
                <c:rich>
                  <a:bodyPr/>
                  <a:lstStyle/>
                  <a:p>
                    <a:r>
                      <a:rPr lang="en-US" sz="1200"/>
                      <a:t>Labor Supply</a:t>
                    </a:r>
                  </a:p>
                </c:rich>
              </c:tx>
              <c:showLegendKey val="0"/>
              <c:showVal val="1"/>
              <c:showCatName val="0"/>
              <c:showSerName val="0"/>
              <c:showPercent val="0"/>
              <c:showBubbleSize val="0"/>
              <c:extLst>
                <c:ext xmlns:c15="http://schemas.microsoft.com/office/drawing/2012/chart" uri="{CE6537A1-D6FC-4f65-9D91-7224C49458BB}">
                  <c15:layout>
                    <c:manualLayout>
                      <c:w val="0.16152512998266899"/>
                      <c:h val="8.6713808279388058E-2"/>
                    </c:manualLayout>
                  </c15:layout>
                  <c15:showDataLabelsRange val="0"/>
                </c:ext>
                <c:ext xmlns:c16="http://schemas.microsoft.com/office/drawing/2014/chart" uri="{C3380CC4-5D6E-409C-BE32-E72D297353CC}">
                  <c16:uniqueId val="{00000011-2C2A-4672-8CF6-B6D6D618E7A2}"/>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Sheet1!$B$2:$B$6</c:f>
              <c:numCache>
                <c:formatCode>General</c:formatCode>
                <c:ptCount val="5"/>
                <c:pt idx="0">
                  <c:v>0</c:v>
                </c:pt>
                <c:pt idx="1">
                  <c:v>1</c:v>
                </c:pt>
                <c:pt idx="2">
                  <c:v>2</c:v>
                </c:pt>
                <c:pt idx="3">
                  <c:v>3</c:v>
                </c:pt>
                <c:pt idx="4">
                  <c:v>4</c:v>
                </c:pt>
              </c:numCache>
            </c:numRef>
          </c:yVal>
          <c:smooth val="1"/>
          <c:extLst>
            <c:ext xmlns:c16="http://schemas.microsoft.com/office/drawing/2014/chart" uri="{C3380CC4-5D6E-409C-BE32-E72D297353CC}">
              <c16:uniqueId val="{00000000-2C2A-4672-8CF6-B6D6D618E7A2}"/>
            </c:ext>
          </c:extLst>
        </c:ser>
        <c:ser>
          <c:idx val="1"/>
          <c:order val="1"/>
          <c:tx>
            <c:strRef>
              <c:f>Sheet1!$C$1</c:f>
              <c:strCache>
                <c:ptCount val="1"/>
                <c:pt idx="0">
                  <c:v>D</c:v>
                </c:pt>
              </c:strCache>
            </c:strRef>
          </c:tx>
          <c:spPr>
            <a:ln w="19050" cap="rnd">
              <a:solidFill>
                <a:schemeClr val="tx1"/>
              </a:solidFill>
              <a:round/>
            </a:ln>
            <a:effectLst/>
          </c:spPr>
          <c:marker>
            <c:symbol val="none"/>
          </c:marker>
          <c:dLbls>
            <c:dLbl>
              <c:idx val="4"/>
              <c:layout>
                <c:manualLayout>
                  <c:x val="-5.1992982300522662E-2"/>
                  <c:y val="-8.3818197577123471E-2"/>
                </c:manualLayout>
              </c:layout>
              <c:tx>
                <c:rich>
                  <a:bodyPr/>
                  <a:lstStyle/>
                  <a:p>
                    <a:r>
                      <a:rPr lang="en-US" sz="1200"/>
                      <a:t>Labor Demand</a:t>
                    </a:r>
                  </a:p>
                </c:rich>
              </c:tx>
              <c:showLegendKey val="0"/>
              <c:showVal val="1"/>
              <c:showCatName val="0"/>
              <c:showSerName val="0"/>
              <c:showPercent val="0"/>
              <c:showBubbleSize val="0"/>
              <c:extLst>
                <c:ext xmlns:c15="http://schemas.microsoft.com/office/drawing/2012/chart" uri="{CE6537A1-D6FC-4f65-9D91-7224C49458BB}">
                  <c15:layout>
                    <c:manualLayout>
                      <c:w val="0.15309860260101801"/>
                      <c:h val="0.22048098109211403"/>
                    </c:manualLayout>
                  </c15:layout>
                  <c15:showDataLabelsRange val="0"/>
                </c:ext>
                <c:ext xmlns:c16="http://schemas.microsoft.com/office/drawing/2014/chart" uri="{C3380CC4-5D6E-409C-BE32-E72D297353CC}">
                  <c16:uniqueId val="{00000012-2C2A-4672-8CF6-B6D6D618E7A2}"/>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Sheet1!$C$2:$C$6</c:f>
              <c:numCache>
                <c:formatCode>General</c:formatCode>
                <c:ptCount val="5"/>
                <c:pt idx="0">
                  <c:v>4</c:v>
                </c:pt>
                <c:pt idx="1">
                  <c:v>3</c:v>
                </c:pt>
                <c:pt idx="2">
                  <c:v>2</c:v>
                </c:pt>
                <c:pt idx="3">
                  <c:v>1</c:v>
                </c:pt>
                <c:pt idx="4">
                  <c:v>0</c:v>
                </c:pt>
              </c:numCache>
            </c:numRef>
          </c:yVal>
          <c:smooth val="1"/>
          <c:extLst>
            <c:ext xmlns:c16="http://schemas.microsoft.com/office/drawing/2014/chart" uri="{C3380CC4-5D6E-409C-BE32-E72D297353CC}">
              <c16:uniqueId val="{00000001-2C2A-4672-8CF6-B6D6D618E7A2}"/>
            </c:ext>
          </c:extLst>
        </c:ser>
        <c:ser>
          <c:idx val="2"/>
          <c:order val="2"/>
          <c:tx>
            <c:strRef>
              <c:f>Sheet1!$D$1</c:f>
              <c:strCache>
                <c:ptCount val="1"/>
                <c:pt idx="0">
                  <c:v>Market</c:v>
                </c:pt>
              </c:strCache>
            </c:strRef>
          </c:tx>
          <c:spPr>
            <a:ln w="19050" cap="rnd" cmpd="dbl">
              <a:solidFill>
                <a:schemeClr val="accent3"/>
              </a:solidFill>
              <a:prstDash val="sysDot"/>
              <a:round/>
            </a:ln>
            <a:effectLst/>
          </c:spPr>
          <c:marker>
            <c:symbol val="none"/>
          </c:marker>
          <c:dLbls>
            <c:dLbl>
              <c:idx val="0"/>
              <c:layout>
                <c:manualLayout>
                  <c:x val="-0.13492166923675269"/>
                  <c:y val="2.1919102505320458E-2"/>
                </c:manualLayout>
              </c:layout>
              <c:tx>
                <c:rich>
                  <a:bodyPr/>
                  <a:lstStyle/>
                  <a:p>
                    <a:r>
                      <a:rPr lang="en-US" sz="1200"/>
                      <a:t>(W/P</a:t>
                    </a:r>
                    <a:r>
                      <a:rPr lang="en-US" sz="1200" baseline="-25000"/>
                      <a:t>0</a:t>
                    </a:r>
                    <a:r>
                      <a:rPr lang="en-US" sz="1200"/>
                      <a:t>)* =</a:t>
                    </a:r>
                  </a:p>
                  <a:p>
                    <a:r>
                      <a:rPr lang="en-US" sz="1200"/>
                      <a:t>(W</a:t>
                    </a:r>
                    <a:r>
                      <a:rPr lang="en-US" sz="1200" baseline="-25000"/>
                      <a:t>mw</a:t>
                    </a:r>
                    <a:r>
                      <a:rPr lang="en-US" sz="1200"/>
                      <a:t>/P</a:t>
                    </a:r>
                    <a:r>
                      <a:rPr lang="en-US" sz="1200" baseline="-25000"/>
                      <a:t>1</a:t>
                    </a:r>
                    <a:r>
                      <a:rPr lang="en-US" sz="1200"/>
                      <a:t>)</a:t>
                    </a:r>
                  </a:p>
                </c:rich>
              </c:tx>
              <c:dLblPos val="r"/>
              <c:showLegendKey val="0"/>
              <c:showVal val="1"/>
              <c:showCatName val="0"/>
              <c:showSerName val="0"/>
              <c:showPercent val="0"/>
              <c:showBubbleSize val="0"/>
              <c:extLst>
                <c:ext xmlns:c15="http://schemas.microsoft.com/office/drawing/2012/chart" uri="{CE6537A1-D6FC-4f65-9D91-7224C49458BB}">
                  <c15:layout>
                    <c:manualLayout>
                      <c:w val="0.12469670710571924"/>
                      <c:h val="0.15516820074367174"/>
                    </c:manualLayout>
                  </c15:layout>
                  <c15:showDataLabelsRange val="0"/>
                </c:ext>
                <c:ext xmlns:c16="http://schemas.microsoft.com/office/drawing/2014/chart" uri="{C3380CC4-5D6E-409C-BE32-E72D297353CC}">
                  <c16:uniqueId val="{00000005-2C2A-4672-8CF6-B6D6D618E7A2}"/>
                </c:ext>
              </c:extLst>
            </c:dLbl>
            <c:dLbl>
              <c:idx val="1"/>
              <c:delete val="1"/>
              <c:extLst>
                <c:ext xmlns:c15="http://schemas.microsoft.com/office/drawing/2012/chart" uri="{CE6537A1-D6FC-4f65-9D91-7224C49458BB}"/>
                <c:ext xmlns:c16="http://schemas.microsoft.com/office/drawing/2014/chart" uri="{C3380CC4-5D6E-409C-BE32-E72D297353CC}">
                  <c16:uniqueId val="{00000004-2C2A-4672-8CF6-B6D6D618E7A2}"/>
                </c:ext>
              </c:extLst>
            </c:dLbl>
            <c:dLbl>
              <c:idx val="2"/>
              <c:tx>
                <c:rich>
                  <a:bodyPr/>
                  <a:lstStyle/>
                  <a:p>
                    <a:r>
                      <a:rPr lang="en-US" sz="2400"/>
                      <a:t>A</a:t>
                    </a:r>
                  </a:p>
                </c:rich>
              </c:tx>
              <c:dLblPos val="t"/>
              <c:showLegendKey val="0"/>
              <c:showVal val="1"/>
              <c:showCatName val="0"/>
              <c:showSerName val="0"/>
              <c:showPercent val="0"/>
              <c:showBubbleSize val="0"/>
              <c:extLst>
                <c:ext xmlns:c15="http://schemas.microsoft.com/office/drawing/2012/chart" uri="{CE6537A1-D6FC-4f65-9D91-7224C49458BB}">
                  <c15:layout>
                    <c:manualLayout>
                      <c:w val="4.0013950244129272E-2"/>
                      <c:h val="7.9958237264540807E-2"/>
                    </c:manualLayout>
                  </c15:layout>
                  <c15:showDataLabelsRange val="0"/>
                </c:ext>
                <c:ext xmlns:c16="http://schemas.microsoft.com/office/drawing/2014/chart" uri="{C3380CC4-5D6E-409C-BE32-E72D297353CC}">
                  <c16:uniqueId val="{00000006-2C2A-4672-8CF6-B6D6D618E7A2}"/>
                </c:ext>
              </c:extLst>
            </c:dLbl>
            <c:dLbl>
              <c:idx val="3"/>
              <c:delete val="1"/>
              <c:extLst>
                <c:ext xmlns:c15="http://schemas.microsoft.com/office/drawing/2012/chart" uri="{CE6537A1-D6FC-4f65-9D91-7224C49458BB}"/>
                <c:ext xmlns:c16="http://schemas.microsoft.com/office/drawing/2014/chart" uri="{C3380CC4-5D6E-409C-BE32-E72D297353CC}">
                  <c16:uniqueId val="{00000007-2C2A-4672-8CF6-B6D6D618E7A2}"/>
                </c:ext>
              </c:extLst>
            </c:dLbl>
            <c:dLbl>
              <c:idx val="4"/>
              <c:delete val="1"/>
              <c:extLst>
                <c:ext xmlns:c15="http://schemas.microsoft.com/office/drawing/2012/chart" uri="{CE6537A1-D6FC-4f65-9D91-7224C49458BB}"/>
                <c:ext xmlns:c16="http://schemas.microsoft.com/office/drawing/2014/chart" uri="{C3380CC4-5D6E-409C-BE32-E72D297353CC}">
                  <c16:uniqueId val="{00000001-B635-46E8-86A7-2153BEE26C87}"/>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Sheet1!$D$2:$D$6</c:f>
              <c:numCache>
                <c:formatCode>General</c:formatCode>
                <c:ptCount val="5"/>
                <c:pt idx="0">
                  <c:v>2</c:v>
                </c:pt>
                <c:pt idx="1">
                  <c:v>2</c:v>
                </c:pt>
                <c:pt idx="2">
                  <c:v>2</c:v>
                </c:pt>
                <c:pt idx="3">
                  <c:v>2</c:v>
                </c:pt>
                <c:pt idx="4">
                  <c:v>2</c:v>
                </c:pt>
              </c:numCache>
            </c:numRef>
          </c:yVal>
          <c:smooth val="1"/>
          <c:extLst>
            <c:ext xmlns:c16="http://schemas.microsoft.com/office/drawing/2014/chart" uri="{C3380CC4-5D6E-409C-BE32-E72D297353CC}">
              <c16:uniqueId val="{00000002-2C2A-4672-8CF6-B6D6D618E7A2}"/>
            </c:ext>
          </c:extLst>
        </c:ser>
        <c:ser>
          <c:idx val="3"/>
          <c:order val="3"/>
          <c:tx>
            <c:strRef>
              <c:f>Sheet1!$E$1</c:f>
              <c:strCache>
                <c:ptCount val="1"/>
                <c:pt idx="0">
                  <c:v>Minimum Wage</c:v>
                </c:pt>
              </c:strCache>
            </c:strRef>
          </c:tx>
          <c:spPr>
            <a:ln w="19050" cap="rnd">
              <a:solidFill>
                <a:srgbClr val="C00000"/>
              </a:solidFill>
              <a:round/>
            </a:ln>
            <a:effectLst/>
          </c:spPr>
          <c:marker>
            <c:symbol val="none"/>
          </c:marker>
          <c:dLbls>
            <c:dLbl>
              <c:idx val="0"/>
              <c:layout>
                <c:manualLayout>
                  <c:x val="0.47010398613518189"/>
                  <c:y val="-3.3760972316002703E-2"/>
                </c:manualLayout>
              </c:layout>
              <c:tx>
                <c:rich>
                  <a:bodyPr/>
                  <a:lstStyle/>
                  <a:p>
                    <a:r>
                      <a:rPr lang="en-US" sz="2400"/>
                      <a:t>C</a:t>
                    </a:r>
                  </a:p>
                </c:rich>
              </c:tx>
              <c:dLblPos val="r"/>
              <c:showLegendKey val="0"/>
              <c:showVal val="1"/>
              <c:showCatName val="0"/>
              <c:showSerName val="0"/>
              <c:showPercent val="0"/>
              <c:showBubbleSize val="0"/>
              <c:extLst>
                <c:ext xmlns:c15="http://schemas.microsoft.com/office/drawing/2012/chart" uri="{CE6537A1-D6FC-4f65-9D91-7224C49458BB}">
                  <c15:layout>
                    <c:manualLayout>
                      <c:w val="7.2703639514731369E-2"/>
                      <c:h val="8.4351922248746589E-2"/>
                    </c:manualLayout>
                  </c15:layout>
                  <c15:showDataLabelsRange val="0"/>
                </c:ext>
                <c:ext xmlns:c16="http://schemas.microsoft.com/office/drawing/2014/chart" uri="{C3380CC4-5D6E-409C-BE32-E72D297353CC}">
                  <c16:uniqueId val="{0000000F-2C2A-4672-8CF6-B6D6D618E7A2}"/>
                </c:ext>
              </c:extLst>
            </c:dLbl>
            <c:dLbl>
              <c:idx val="1"/>
              <c:layout>
                <c:manualLayout>
                  <c:x val="-3.4054606367444971E-2"/>
                  <c:y val="-5.857131876953562E-2"/>
                </c:manualLayout>
              </c:layout>
              <c:tx>
                <c:rich>
                  <a:bodyPr/>
                  <a:lstStyle/>
                  <a:p>
                    <a:r>
                      <a:rPr lang="en-US" sz="2400"/>
                      <a:t>B</a:t>
                    </a:r>
                  </a:p>
                </c:rich>
              </c:tx>
              <c:dLblPos val="r"/>
              <c:showLegendKey val="0"/>
              <c:showVal val="1"/>
              <c:showCatName val="0"/>
              <c:showSerName val="0"/>
              <c:showPercent val="0"/>
              <c:showBubbleSize val="0"/>
              <c:extLst>
                <c:ext xmlns:c15="http://schemas.microsoft.com/office/drawing/2012/chart" uri="{CE6537A1-D6FC-4f65-9D91-7224C49458BB}">
                  <c15:layout>
                    <c:manualLayout>
                      <c:w val="6.48021602369028E-2"/>
                      <c:h val="0.12275749967262767"/>
                    </c:manualLayout>
                  </c15:layout>
                  <c15:showDataLabelsRange val="0"/>
                </c:ext>
                <c:ext xmlns:c16="http://schemas.microsoft.com/office/drawing/2014/chart" uri="{C3380CC4-5D6E-409C-BE32-E72D297353CC}">
                  <c16:uniqueId val="{0000000A-2C2A-4672-8CF6-B6D6D618E7A2}"/>
                </c:ext>
              </c:extLst>
            </c:dLbl>
            <c:dLbl>
              <c:idx val="2"/>
              <c:layout>
                <c:manualLayout>
                  <c:x val="-0.49285069733484355"/>
                  <c:y val="-8.4148077081075065E-3"/>
                </c:manualLayout>
              </c:layout>
              <c:tx>
                <c:rich>
                  <a:bodyPr/>
                  <a:lstStyle/>
                  <a:p>
                    <a:r>
                      <a:rPr lang="en-US" sz="1200"/>
                      <a:t>(W</a:t>
                    </a:r>
                    <a:r>
                      <a:rPr lang="en-US" sz="1200" baseline="-25000"/>
                      <a:t>mw</a:t>
                    </a:r>
                    <a:r>
                      <a:rPr lang="en-US" sz="1200"/>
                      <a:t>/P</a:t>
                    </a:r>
                    <a:r>
                      <a:rPr lang="en-US" sz="1200" baseline="-25000"/>
                      <a:t>0</a:t>
                    </a:r>
                    <a:r>
                      <a:rPr lang="en-US" sz="1200"/>
                      <a:t>)</a:t>
                    </a:r>
                  </a:p>
                </c:rich>
              </c:tx>
              <c:dLblPos val="r"/>
              <c:showLegendKey val="0"/>
              <c:showVal val="1"/>
              <c:showCatName val="0"/>
              <c:showSerName val="0"/>
              <c:showPercent val="0"/>
              <c:showBubbleSize val="0"/>
              <c:extLst>
                <c:ext xmlns:c15="http://schemas.microsoft.com/office/drawing/2012/chart" uri="{CE6537A1-D6FC-4f65-9D91-7224C49458BB}">
                  <c15:layout>
                    <c:manualLayout>
                      <c:w val="0.11819757365684573"/>
                      <c:h val="0.17834075856640436"/>
                    </c:manualLayout>
                  </c15:layout>
                  <c15:showDataLabelsRange val="0"/>
                </c:ext>
                <c:ext xmlns:c16="http://schemas.microsoft.com/office/drawing/2014/chart" uri="{C3380CC4-5D6E-409C-BE32-E72D297353CC}">
                  <c16:uniqueId val="{00000014-2C2A-4672-8CF6-B6D6D618E7A2}"/>
                </c:ext>
              </c:extLst>
            </c:dLbl>
            <c:dLbl>
              <c:idx val="4"/>
              <c:layout>
                <c:manualLayout>
                  <c:x val="-5.2682555711731874E-2"/>
                  <c:y val="5.094999695216483E-2"/>
                </c:manualLayout>
              </c:layout>
              <c:tx>
                <c:rich>
                  <a:bodyPr/>
                  <a:lstStyle/>
                  <a:p>
                    <a:r>
                      <a:rPr lang="en-US" sz="1200"/>
                      <a:t>Minimum wage</a:t>
                    </a:r>
                  </a:p>
                </c:rich>
              </c:tx>
              <c:dLblPos val="r"/>
              <c:showLegendKey val="0"/>
              <c:showVal val="1"/>
              <c:showCatName val="0"/>
              <c:showSerName val="0"/>
              <c:showPercent val="0"/>
              <c:showBubbleSize val="0"/>
              <c:extLst>
                <c:ext xmlns:c15="http://schemas.microsoft.com/office/drawing/2012/chart" uri="{CE6537A1-D6FC-4f65-9D91-7224C49458BB}">
                  <c15:layout>
                    <c:manualLayout>
                      <c:w val="0.2391005937092088"/>
                      <c:h val="7.9958237264540807E-2"/>
                    </c:manualLayout>
                  </c15:layout>
                  <c15:showDataLabelsRange val="0"/>
                </c:ext>
                <c:ext xmlns:c16="http://schemas.microsoft.com/office/drawing/2014/chart" uri="{C3380CC4-5D6E-409C-BE32-E72D297353CC}">
                  <c16:uniqueId val="{00000010-2C2A-4672-8CF6-B6D6D618E7A2}"/>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Sheet1!$E$2:$E$6</c:f>
              <c:numCache>
                <c:formatCode>General</c:formatCode>
                <c:ptCount val="5"/>
                <c:pt idx="0">
                  <c:v>3</c:v>
                </c:pt>
                <c:pt idx="1">
                  <c:v>3</c:v>
                </c:pt>
                <c:pt idx="2">
                  <c:v>3</c:v>
                </c:pt>
                <c:pt idx="3">
                  <c:v>3</c:v>
                </c:pt>
                <c:pt idx="4">
                  <c:v>3</c:v>
                </c:pt>
              </c:numCache>
            </c:numRef>
          </c:yVal>
          <c:smooth val="1"/>
          <c:extLst>
            <c:ext xmlns:c16="http://schemas.microsoft.com/office/drawing/2014/chart" uri="{C3380CC4-5D6E-409C-BE32-E72D297353CC}">
              <c16:uniqueId val="{00000009-2C2A-4672-8CF6-B6D6D618E7A2}"/>
            </c:ext>
          </c:extLst>
        </c:ser>
        <c:dLbls>
          <c:showLegendKey val="0"/>
          <c:showVal val="0"/>
          <c:showCatName val="0"/>
          <c:showSerName val="0"/>
          <c:showPercent val="0"/>
          <c:showBubbleSize val="0"/>
        </c:dLbls>
        <c:axId val="1858217855"/>
        <c:axId val="160181119"/>
      </c:scatterChart>
      <c:valAx>
        <c:axId val="185821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sz="1200" baseline="0"/>
                  <a:t>Employment (N</a:t>
                </a:r>
                <a:r>
                  <a:rPr lang="en-US"/>
                  <a:t>)</a:t>
                </a:r>
              </a:p>
            </c:rich>
          </c:tx>
          <c:layout>
            <c:manualLayout>
              <c:xMode val="edge"/>
              <c:yMode val="edge"/>
              <c:x val="0.80432763820466979"/>
              <c:y val="0.927186159118195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0181119"/>
        <c:crosses val="autoZero"/>
        <c:crossBetween val="midCat"/>
      </c:valAx>
      <c:valAx>
        <c:axId val="160181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dk1"/>
                    </a:solidFill>
                    <a:latin typeface="+mn-lt"/>
                    <a:ea typeface="+mn-ea"/>
                    <a:cs typeface="+mn-cs"/>
                  </a:defRPr>
                </a:pPr>
                <a:r>
                  <a:rPr lang="en-US" sz="1200"/>
                  <a:t>Real wage (W/P)</a:t>
                </a:r>
              </a:p>
            </c:rich>
          </c:tx>
          <c:layout>
            <c:manualLayout>
              <c:xMode val="edge"/>
              <c:yMode val="edge"/>
              <c:x val="4.45386809317813E-4"/>
              <c:y val="0.12645655956849594"/>
            </c:manualLayout>
          </c:layout>
          <c:overlay val="0"/>
          <c:spPr>
            <a:noFill/>
            <a:ln>
              <a:noFill/>
            </a:ln>
            <a:effectLst/>
          </c:spPr>
          <c:txPr>
            <a:bodyPr rot="0" spcFirstLastPara="1" vertOverflow="ellipsis"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0"/>
        <c:majorTickMark val="none"/>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58217855"/>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2400"/>
              <a:t>Figure 3: The Monopsony Model  </a:t>
            </a:r>
          </a:p>
        </c:rich>
      </c:tx>
      <c:layout>
        <c:manualLayout>
          <c:xMode val="edge"/>
          <c:yMode val="edge"/>
          <c:x val="0.1328798333198041"/>
          <c:y val="9.707786526684164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2356490263240492"/>
          <c:y val="0.17868831976691638"/>
          <c:w val="0.79087119092782376"/>
          <c:h val="0.7298186477534333"/>
        </c:manualLayout>
      </c:layout>
      <c:scatterChart>
        <c:scatterStyle val="smoothMarker"/>
        <c:varyColors val="0"/>
        <c:ser>
          <c:idx val="0"/>
          <c:order val="0"/>
          <c:tx>
            <c:strRef>
              <c:f>Sheet1!$B$1</c:f>
              <c:strCache>
                <c:ptCount val="1"/>
                <c:pt idx="0">
                  <c:v>S</c:v>
                </c:pt>
              </c:strCache>
            </c:strRef>
          </c:tx>
          <c:spPr>
            <a:ln w="19050" cap="rnd">
              <a:solidFill>
                <a:schemeClr val="tx1"/>
              </a:solidFill>
              <a:round/>
            </a:ln>
            <a:effectLst/>
          </c:spPr>
          <c:marker>
            <c:symbol val="none"/>
          </c:marker>
          <c:dLbls>
            <c:dLbl>
              <c:idx val="4"/>
              <c:layout>
                <c:manualLayout>
                  <c:x val="-7.7989601386481963E-2"/>
                  <c:y val="-4.338389327075013E-2"/>
                </c:manualLayout>
              </c:layout>
              <c:tx>
                <c:rich>
                  <a:bodyPr/>
                  <a:lstStyle/>
                  <a:p>
                    <a:r>
                      <a:rPr lang="en-US" sz="1200"/>
                      <a:t>Labor Supply</a:t>
                    </a:r>
                  </a:p>
                </c:rich>
              </c:tx>
              <c:showLegendKey val="0"/>
              <c:showVal val="1"/>
              <c:showCatName val="0"/>
              <c:showSerName val="0"/>
              <c:showPercent val="0"/>
              <c:showBubbleSize val="0"/>
              <c:extLst>
                <c:ext xmlns:c15="http://schemas.microsoft.com/office/drawing/2012/chart" uri="{CE6537A1-D6FC-4f65-9D91-7224C49458BB}">
                  <c15:layout>
                    <c:manualLayout>
                      <c:w val="0.16152512998266899"/>
                      <c:h val="8.6713808279388058E-2"/>
                    </c:manualLayout>
                  </c15:layout>
                  <c15:showDataLabelsRange val="0"/>
                </c:ext>
                <c:ext xmlns:c16="http://schemas.microsoft.com/office/drawing/2014/chart" uri="{C3380CC4-5D6E-409C-BE32-E72D297353CC}">
                  <c16:uniqueId val="{00000000-7C37-4870-86D7-CB6B943517DE}"/>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Sheet1!$B$2:$B$6</c:f>
              <c:numCache>
                <c:formatCode>General</c:formatCode>
                <c:ptCount val="5"/>
                <c:pt idx="0">
                  <c:v>0</c:v>
                </c:pt>
                <c:pt idx="1">
                  <c:v>1</c:v>
                </c:pt>
                <c:pt idx="2">
                  <c:v>2</c:v>
                </c:pt>
                <c:pt idx="3">
                  <c:v>3</c:v>
                </c:pt>
                <c:pt idx="4">
                  <c:v>4</c:v>
                </c:pt>
              </c:numCache>
            </c:numRef>
          </c:yVal>
          <c:smooth val="1"/>
          <c:extLst>
            <c:ext xmlns:c16="http://schemas.microsoft.com/office/drawing/2014/chart" uri="{C3380CC4-5D6E-409C-BE32-E72D297353CC}">
              <c16:uniqueId val="{00000001-7C37-4870-86D7-CB6B943517DE}"/>
            </c:ext>
          </c:extLst>
        </c:ser>
        <c:ser>
          <c:idx val="1"/>
          <c:order val="1"/>
          <c:tx>
            <c:strRef>
              <c:f>Sheet1!$C$1</c:f>
              <c:strCache>
                <c:ptCount val="1"/>
                <c:pt idx="0">
                  <c:v>D</c:v>
                </c:pt>
              </c:strCache>
            </c:strRef>
          </c:tx>
          <c:spPr>
            <a:ln w="19050" cap="rnd">
              <a:solidFill>
                <a:schemeClr val="tx1"/>
              </a:solidFill>
              <a:round/>
            </a:ln>
            <a:effectLst/>
          </c:spPr>
          <c:marker>
            <c:symbol val="none"/>
          </c:marker>
          <c:dLbls>
            <c:dLbl>
              <c:idx val="4"/>
              <c:layout>
                <c:manualLayout>
                  <c:x val="-7.4279658341676449E-2"/>
                  <c:y val="-7.3860555892051954E-2"/>
                </c:manualLayout>
              </c:layout>
              <c:tx>
                <c:rich>
                  <a:bodyPr/>
                  <a:lstStyle/>
                  <a:p>
                    <a:r>
                      <a:rPr lang="en-US" sz="1200"/>
                      <a:t>Labor Demand</a:t>
                    </a:r>
                  </a:p>
                </c:rich>
              </c:tx>
              <c:showLegendKey val="0"/>
              <c:showVal val="1"/>
              <c:showCatName val="0"/>
              <c:showSerName val="0"/>
              <c:showPercent val="0"/>
              <c:showBubbleSize val="0"/>
              <c:extLst>
                <c:ext xmlns:c15="http://schemas.microsoft.com/office/drawing/2012/chart" uri="{CE6537A1-D6FC-4f65-9D91-7224C49458BB}">
                  <c15:layout>
                    <c:manualLayout>
                      <c:w val="0.19433575957644469"/>
                      <c:h val="0.22048105525270875"/>
                    </c:manualLayout>
                  </c15:layout>
                  <c15:showDataLabelsRange val="0"/>
                </c:ext>
                <c:ext xmlns:c16="http://schemas.microsoft.com/office/drawing/2014/chart" uri="{C3380CC4-5D6E-409C-BE32-E72D297353CC}">
                  <c16:uniqueId val="{00000002-7C37-4870-86D7-CB6B943517DE}"/>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Sheet1!$C$2:$C$6</c:f>
              <c:numCache>
                <c:formatCode>General</c:formatCode>
                <c:ptCount val="5"/>
                <c:pt idx="0">
                  <c:v>4</c:v>
                </c:pt>
                <c:pt idx="1">
                  <c:v>3</c:v>
                </c:pt>
                <c:pt idx="2">
                  <c:v>2</c:v>
                </c:pt>
                <c:pt idx="3">
                  <c:v>1</c:v>
                </c:pt>
                <c:pt idx="4">
                  <c:v>0</c:v>
                </c:pt>
              </c:numCache>
            </c:numRef>
          </c:yVal>
          <c:smooth val="1"/>
          <c:extLst>
            <c:ext xmlns:c16="http://schemas.microsoft.com/office/drawing/2014/chart" uri="{C3380CC4-5D6E-409C-BE32-E72D297353CC}">
              <c16:uniqueId val="{00000003-7C37-4870-86D7-CB6B943517DE}"/>
            </c:ext>
          </c:extLst>
        </c:ser>
        <c:ser>
          <c:idx val="2"/>
          <c:order val="2"/>
          <c:tx>
            <c:strRef>
              <c:f>Sheet1!$D$1</c:f>
              <c:strCache>
                <c:ptCount val="1"/>
                <c:pt idx="0">
                  <c:v>MC</c:v>
                </c:pt>
              </c:strCache>
            </c:strRef>
          </c:tx>
          <c:spPr>
            <a:ln w="19050" cap="rnd">
              <a:solidFill>
                <a:schemeClr val="tx1"/>
              </a:solidFill>
              <a:round/>
            </a:ln>
            <a:effectLst/>
          </c:spPr>
          <c:marker>
            <c:symbol val="none"/>
          </c:marker>
          <c:dLbls>
            <c:dLbl>
              <c:idx val="0"/>
              <c:delete val="1"/>
              <c:extLst>
                <c:ext xmlns:c15="http://schemas.microsoft.com/office/drawing/2012/chart" uri="{CE6537A1-D6FC-4f65-9D91-7224C49458BB}">
                  <c15:layout>
                    <c:manualLayout>
                      <c:w val="9.4367417677642979E-2"/>
                      <c:h val="0.12824118625955011"/>
                    </c:manualLayout>
                  </c15:layout>
                </c:ext>
                <c:ext xmlns:c16="http://schemas.microsoft.com/office/drawing/2014/chart" uri="{C3380CC4-5D6E-409C-BE32-E72D297353CC}">
                  <c16:uniqueId val="{00000004-7C37-4870-86D7-CB6B943517DE}"/>
                </c:ext>
              </c:extLst>
            </c:dLbl>
            <c:dLbl>
              <c:idx val="1"/>
              <c:layout>
                <c:manualLayout>
                  <c:x val="-5.1993067590987908E-2"/>
                  <c:y val="-4.3889131093589731E-2"/>
                </c:manualLayout>
              </c:layout>
              <c:tx>
                <c:rich>
                  <a:bodyPr/>
                  <a:lstStyle/>
                  <a:p>
                    <a:r>
                      <a:rPr lang="en-US" sz="2400"/>
                      <a:t>B</a:t>
                    </a:r>
                  </a:p>
                </c:rich>
              </c:tx>
              <c:showLegendKey val="0"/>
              <c:showVal val="1"/>
              <c:showCatName val="0"/>
              <c:showSerName val="0"/>
              <c:showPercent val="0"/>
              <c:showBubbleSize val="0"/>
              <c:extLst>
                <c:ext xmlns:c15="http://schemas.microsoft.com/office/drawing/2012/chart" uri="{CE6537A1-D6FC-4f65-9D91-7224C49458BB}">
                  <c15:layout>
                    <c:manualLayout>
                      <c:w val="6.3279896013864814E-2"/>
                      <c:h val="8.09758250171463E-2"/>
                    </c:manualLayout>
                  </c15:layout>
                  <c15:showDataLabelsRange val="0"/>
                </c:ext>
                <c:ext xmlns:c16="http://schemas.microsoft.com/office/drawing/2014/chart" uri="{C3380CC4-5D6E-409C-BE32-E72D297353CC}">
                  <c16:uniqueId val="{00000005-7C37-4870-86D7-CB6B943517DE}"/>
                </c:ext>
              </c:extLst>
            </c:dLbl>
            <c:dLbl>
              <c:idx val="2"/>
              <c:layout>
                <c:manualLayout>
                  <c:x val="-4.7086477708484016E-2"/>
                  <c:y val="-1.1282278945381721E-2"/>
                </c:manualLayout>
              </c:layout>
              <c:tx>
                <c:rich>
                  <a:bodyPr/>
                  <a:lstStyle/>
                  <a:p>
                    <a:r>
                      <a:rPr lang="en-US" sz="1200"/>
                      <a:t>Marginal Cost</a:t>
                    </a:r>
                  </a:p>
                </c:rich>
              </c:tx>
              <c:dLblPos val="r"/>
              <c:showLegendKey val="0"/>
              <c:showVal val="1"/>
              <c:showCatName val="0"/>
              <c:showSerName val="0"/>
              <c:showPercent val="0"/>
              <c:showBubbleSize val="0"/>
              <c:extLst>
                <c:ext xmlns:c15="http://schemas.microsoft.com/office/drawing/2012/chart" uri="{CE6537A1-D6FC-4f65-9D91-7224C49458BB}">
                  <c15:layout>
                    <c:manualLayout>
                      <c:w val="0.26098455901417872"/>
                      <c:h val="7.9958210827967904E-2"/>
                    </c:manualLayout>
                  </c15:layout>
                  <c15:showDataLabelsRange val="0"/>
                </c:ext>
                <c:ext xmlns:c16="http://schemas.microsoft.com/office/drawing/2014/chart" uri="{C3380CC4-5D6E-409C-BE32-E72D297353CC}">
                  <c16:uniqueId val="{00000006-7C37-4870-86D7-CB6B943517DE}"/>
                </c:ext>
              </c:extLst>
            </c:dLbl>
            <c:dLbl>
              <c:idx val="3"/>
              <c:layout>
                <c:manualLayout>
                  <c:x val="-2.5996533795493854E-2"/>
                  <c:y val="1.3291721384253031E-7"/>
                </c:manualLayout>
              </c:layout>
              <c:tx>
                <c:rich>
                  <a:bodyPr/>
                  <a:lstStyle/>
                  <a:p>
                    <a:r>
                      <a:rPr lang="en-US"/>
                      <a:t>Marginal Cost</a:t>
                    </a:r>
                  </a:p>
                </c:rich>
              </c:tx>
              <c:showLegendKey val="0"/>
              <c:showVal val="1"/>
              <c:showCatName val="0"/>
              <c:showSerName val="0"/>
              <c:showPercent val="0"/>
              <c:showBubbleSize val="0"/>
              <c:extLst>
                <c:ext xmlns:c15="http://schemas.microsoft.com/office/drawing/2012/chart" uri="{CE6537A1-D6FC-4f65-9D91-7224C49458BB}">
                  <c15:layout>
                    <c:manualLayout>
                      <c:w val="0.14202772963604854"/>
                      <c:h val="0.13499338072275063"/>
                    </c:manualLayout>
                  </c15:layout>
                  <c15:showDataLabelsRange val="0"/>
                </c:ext>
                <c:ext xmlns:c16="http://schemas.microsoft.com/office/drawing/2014/chart" uri="{C3380CC4-5D6E-409C-BE32-E72D297353CC}">
                  <c16:uniqueId val="{00000007-7C37-4870-86D7-CB6B943517DE}"/>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Sheet1!$D$2:$D$6</c:f>
              <c:numCache>
                <c:formatCode>General</c:formatCode>
                <c:ptCount val="5"/>
                <c:pt idx="0">
                  <c:v>0</c:v>
                </c:pt>
                <c:pt idx="1">
                  <c:v>3</c:v>
                </c:pt>
                <c:pt idx="2">
                  <c:v>6</c:v>
                </c:pt>
              </c:numCache>
            </c:numRef>
          </c:yVal>
          <c:smooth val="1"/>
          <c:extLst>
            <c:ext xmlns:c16="http://schemas.microsoft.com/office/drawing/2014/chart" uri="{C3380CC4-5D6E-409C-BE32-E72D297353CC}">
              <c16:uniqueId val="{00000008-7C37-4870-86D7-CB6B943517DE}"/>
            </c:ext>
          </c:extLst>
        </c:ser>
        <c:ser>
          <c:idx val="3"/>
          <c:order val="3"/>
          <c:tx>
            <c:strRef>
              <c:f>Sheet1!$E$1</c:f>
              <c:strCache>
                <c:ptCount val="1"/>
                <c:pt idx="0">
                  <c:v>Minimum Wage</c:v>
                </c:pt>
              </c:strCache>
            </c:strRef>
          </c:tx>
          <c:spPr>
            <a:ln w="19050" cap="rnd">
              <a:solidFill>
                <a:srgbClr val="C00000"/>
              </a:solidFill>
              <a:round/>
            </a:ln>
            <a:effectLst/>
          </c:spPr>
          <c:marker>
            <c:symbol val="none"/>
          </c:marker>
          <c:dLbls>
            <c:dLbl>
              <c:idx val="0"/>
              <c:layout>
                <c:manualLayout>
                  <c:x val="-0.13081679503340859"/>
                  <c:y val="1.1084946344747174E-2"/>
                </c:manualLayout>
              </c:layout>
              <c:tx>
                <c:rich>
                  <a:bodyPr/>
                  <a:lstStyle/>
                  <a:p>
                    <a:r>
                      <a:rPr lang="en-US" sz="1200"/>
                      <a:t>(W/P)* = (W</a:t>
                    </a:r>
                    <a:r>
                      <a:rPr lang="en-US" sz="1200" baseline="-25000"/>
                      <a:t>mw</a:t>
                    </a:r>
                    <a:r>
                      <a:rPr lang="en-US" sz="1200"/>
                      <a:t>/P)</a:t>
                    </a:r>
                  </a:p>
                </c:rich>
              </c:tx>
              <c:dLblPos val="r"/>
              <c:showLegendKey val="0"/>
              <c:showVal val="1"/>
              <c:showCatName val="0"/>
              <c:showSerName val="0"/>
              <c:showPercent val="0"/>
              <c:showBubbleSize val="0"/>
              <c:extLst>
                <c:ext xmlns:c15="http://schemas.microsoft.com/office/drawing/2012/chart" uri="{CE6537A1-D6FC-4f65-9D91-7224C49458BB}">
                  <c15:layout>
                    <c:manualLayout>
                      <c:w val="0.12086226335110173"/>
                      <c:h val="0.19310693855575745"/>
                    </c:manualLayout>
                  </c15:layout>
                  <c15:showDataLabelsRange val="0"/>
                </c:ext>
                <c:ext xmlns:c16="http://schemas.microsoft.com/office/drawing/2014/chart" uri="{C3380CC4-5D6E-409C-BE32-E72D297353CC}">
                  <c16:uniqueId val="{0000000F-7C37-4870-86D7-CB6B943517DE}"/>
                </c:ext>
              </c:extLst>
            </c:dLbl>
            <c:dLbl>
              <c:idx val="1"/>
              <c:layout>
                <c:manualLayout>
                  <c:x val="0.12842372985439213"/>
                  <c:y val="-4.5067043442662172E-2"/>
                </c:manualLayout>
              </c:layout>
              <c:tx>
                <c:rich>
                  <a:bodyPr/>
                  <a:lstStyle/>
                  <a:p>
                    <a:r>
                      <a:rPr lang="en-US" sz="2400"/>
                      <a:t>C</a:t>
                    </a:r>
                  </a:p>
                </c:rich>
              </c:tx>
              <c:dLblPos val="r"/>
              <c:showLegendKey val="0"/>
              <c:showVal val="1"/>
              <c:showCatName val="0"/>
              <c:showSerName val="0"/>
              <c:showPercent val="0"/>
              <c:showBubbleSize val="0"/>
              <c:extLst>
                <c:ext xmlns:c15="http://schemas.microsoft.com/office/drawing/2012/chart" uri="{CE6537A1-D6FC-4f65-9D91-7224C49458BB}">
                  <c15:layout>
                    <c:manualLayout>
                      <c:w val="6.48021602369028E-2"/>
                      <c:h val="0.12275749967262767"/>
                    </c:manualLayout>
                  </c15:layout>
                  <c15:showDataLabelsRange val="0"/>
                </c:ext>
                <c:ext xmlns:c16="http://schemas.microsoft.com/office/drawing/2014/chart" uri="{C3380CC4-5D6E-409C-BE32-E72D297353CC}">
                  <c16:uniqueId val="{00000009-7C37-4870-86D7-CB6B943517DE}"/>
                </c:ext>
              </c:extLst>
            </c:dLbl>
            <c:dLbl>
              <c:idx val="4"/>
              <c:layout>
                <c:manualLayout>
                  <c:x val="-6.9466677490056097E-2"/>
                  <c:y val="-5.3861363483410855E-2"/>
                </c:manualLayout>
              </c:layout>
              <c:tx>
                <c:rich>
                  <a:bodyPr/>
                  <a:lstStyle/>
                  <a:p>
                    <a:r>
                      <a:rPr lang="en-US" sz="1200"/>
                      <a:t>Minimum wage</a:t>
                    </a:r>
                  </a:p>
                </c:rich>
              </c:tx>
              <c:dLblPos val="r"/>
              <c:showLegendKey val="0"/>
              <c:showVal val="1"/>
              <c:showCatName val="0"/>
              <c:showSerName val="0"/>
              <c:showPercent val="0"/>
              <c:showBubbleSize val="0"/>
              <c:extLst>
                <c:ext xmlns:c15="http://schemas.microsoft.com/office/drawing/2012/chart" uri="{CE6537A1-D6FC-4f65-9D91-7224C49458BB}">
                  <c15:layout>
                    <c:manualLayout>
                      <c:w val="0.2391005937092088"/>
                      <c:h val="7.9958237264540807E-2"/>
                    </c:manualLayout>
                  </c15:layout>
                  <c15:showDataLabelsRange val="0"/>
                </c:ext>
                <c:ext xmlns:c16="http://schemas.microsoft.com/office/drawing/2014/chart" uri="{C3380CC4-5D6E-409C-BE32-E72D297353CC}">
                  <c16:uniqueId val="{0000000A-7C37-4870-86D7-CB6B943517DE}"/>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Sheet1!$A$2:$A$6</c:f>
              <c:numCache>
                <c:formatCode>General</c:formatCode>
                <c:ptCount val="5"/>
                <c:pt idx="0">
                  <c:v>0</c:v>
                </c:pt>
                <c:pt idx="1">
                  <c:v>1</c:v>
                </c:pt>
                <c:pt idx="2">
                  <c:v>2</c:v>
                </c:pt>
                <c:pt idx="3">
                  <c:v>3</c:v>
                </c:pt>
                <c:pt idx="4">
                  <c:v>4</c:v>
                </c:pt>
              </c:numCache>
            </c:numRef>
          </c:xVal>
          <c:yVal>
            <c:numRef>
              <c:f>Sheet1!$E$2:$E$6</c:f>
              <c:numCache>
                <c:formatCode>General</c:formatCode>
                <c:ptCount val="5"/>
                <c:pt idx="0">
                  <c:v>2</c:v>
                </c:pt>
                <c:pt idx="1">
                  <c:v>2</c:v>
                </c:pt>
                <c:pt idx="2">
                  <c:v>2</c:v>
                </c:pt>
                <c:pt idx="3">
                  <c:v>2</c:v>
                </c:pt>
                <c:pt idx="4">
                  <c:v>2</c:v>
                </c:pt>
              </c:numCache>
            </c:numRef>
          </c:yVal>
          <c:smooth val="1"/>
          <c:extLst>
            <c:ext xmlns:c16="http://schemas.microsoft.com/office/drawing/2014/chart" uri="{C3380CC4-5D6E-409C-BE32-E72D297353CC}">
              <c16:uniqueId val="{0000000B-7C37-4870-86D7-CB6B943517DE}"/>
            </c:ext>
          </c:extLst>
        </c:ser>
        <c:ser>
          <c:idx val="4"/>
          <c:order val="4"/>
          <c:tx>
            <c:strRef>
              <c:f>Sheet1!$F$1</c:f>
              <c:strCache>
                <c:ptCount val="1"/>
                <c:pt idx="0">
                  <c:v>Monopsonist</c:v>
                </c:pt>
              </c:strCache>
            </c:strRef>
          </c:tx>
          <c:spPr>
            <a:ln w="19050" cap="rnd">
              <a:solidFill>
                <a:schemeClr val="tx1"/>
              </a:solidFill>
              <a:prstDash val="sysDot"/>
              <a:round/>
            </a:ln>
            <a:effectLst/>
          </c:spPr>
          <c:marker>
            <c:symbol val="none"/>
          </c:marker>
          <c:dLbls>
            <c:dLbl>
              <c:idx val="0"/>
              <c:layout>
                <c:manualLayout>
                  <c:x val="-0.13431537552651279"/>
                  <c:y val="8.6112120600309577E-3"/>
                </c:manualLayout>
              </c:layout>
              <c:tx>
                <c:rich>
                  <a:bodyPr/>
                  <a:lstStyle/>
                  <a:p>
                    <a:r>
                      <a:rPr lang="en-US" sz="1200"/>
                      <a:t>(W/P)</a:t>
                    </a:r>
                    <a:r>
                      <a:rPr lang="en-US" sz="1200" baseline="-25000"/>
                      <a:t>mono</a:t>
                    </a:r>
                  </a:p>
                </c:rich>
              </c:tx>
              <c:showLegendKey val="0"/>
              <c:showVal val="1"/>
              <c:showCatName val="0"/>
              <c:showSerName val="0"/>
              <c:showPercent val="0"/>
              <c:showBubbleSize val="0"/>
              <c:extLst>
                <c:ext xmlns:c15="http://schemas.microsoft.com/office/drawing/2012/chart" uri="{CE6537A1-D6FC-4f65-9D91-7224C49458BB}">
                  <c15:layout>
                    <c:manualLayout>
                      <c:w val="0.13169413101712801"/>
                      <c:h val="0.13187347735379229"/>
                    </c:manualLayout>
                  </c15:layout>
                  <c15:showDataLabelsRange val="0"/>
                </c:ext>
                <c:ext xmlns:c16="http://schemas.microsoft.com/office/drawing/2014/chart" uri="{C3380CC4-5D6E-409C-BE32-E72D297353CC}">
                  <c16:uniqueId val="{0000000E-7C37-4870-86D7-CB6B943517DE}"/>
                </c:ext>
              </c:extLst>
            </c:dLbl>
            <c:dLbl>
              <c:idx val="1"/>
              <c:layout>
                <c:manualLayout>
                  <c:x val="-4.5493934142114383E-2"/>
                  <c:y val="3.3761105233216543E-2"/>
                </c:manualLayout>
              </c:layout>
              <c:tx>
                <c:rich>
                  <a:bodyPr/>
                  <a:lstStyle/>
                  <a:p>
                    <a:r>
                      <a:rPr lang="en-US" sz="2400"/>
                      <a:t>A</a:t>
                    </a:r>
                  </a:p>
                </c:rich>
              </c:tx>
              <c:showLegendKey val="0"/>
              <c:showVal val="1"/>
              <c:showCatName val="0"/>
              <c:showSerName val="0"/>
              <c:showPercent val="0"/>
              <c:showBubbleSize val="0"/>
              <c:extLst>
                <c:ext xmlns:c15="http://schemas.microsoft.com/office/drawing/2012/chart" uri="{CE6537A1-D6FC-4f65-9D91-7224C49458BB}">
                  <c15:layout>
                    <c:manualLayout>
                      <c:w val="8.3535528596187181E-2"/>
                      <c:h val="0.10798460286994846"/>
                    </c:manualLayout>
                  </c15:layout>
                  <c15:showDataLabelsRange val="0"/>
                </c:ext>
                <c:ext xmlns:c16="http://schemas.microsoft.com/office/drawing/2014/chart" uri="{C3380CC4-5D6E-409C-BE32-E72D297353CC}">
                  <c16:uniqueId val="{00000010-7C37-4870-86D7-CB6B943517DE}"/>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0</c:v>
                </c:pt>
                <c:pt idx="1">
                  <c:v>1</c:v>
                </c:pt>
                <c:pt idx="2">
                  <c:v>2</c:v>
                </c:pt>
                <c:pt idx="3">
                  <c:v>3</c:v>
                </c:pt>
                <c:pt idx="4">
                  <c:v>4</c:v>
                </c:pt>
              </c:numCache>
            </c:numRef>
          </c:xVal>
          <c:yVal>
            <c:numRef>
              <c:f>Sheet1!$F$2:$F$6</c:f>
              <c:numCache>
                <c:formatCode>General</c:formatCode>
                <c:ptCount val="5"/>
                <c:pt idx="0">
                  <c:v>1</c:v>
                </c:pt>
                <c:pt idx="1">
                  <c:v>1</c:v>
                </c:pt>
              </c:numCache>
            </c:numRef>
          </c:yVal>
          <c:smooth val="1"/>
          <c:extLst>
            <c:ext xmlns:c16="http://schemas.microsoft.com/office/drawing/2014/chart" uri="{C3380CC4-5D6E-409C-BE32-E72D297353CC}">
              <c16:uniqueId val="{0000000D-7C37-4870-86D7-CB6B943517DE}"/>
            </c:ext>
          </c:extLst>
        </c:ser>
        <c:dLbls>
          <c:showLegendKey val="0"/>
          <c:showVal val="0"/>
          <c:showCatName val="0"/>
          <c:showSerName val="0"/>
          <c:showPercent val="0"/>
          <c:showBubbleSize val="0"/>
        </c:dLbls>
        <c:axId val="1858217855"/>
        <c:axId val="160181119"/>
      </c:scatterChart>
      <c:valAx>
        <c:axId val="185821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sz="1200"/>
                  <a:t>Employment (N)</a:t>
                </a:r>
              </a:p>
            </c:rich>
          </c:tx>
          <c:layout>
            <c:manualLayout>
              <c:xMode val="edge"/>
              <c:yMode val="edge"/>
              <c:x val="0.79566212693950522"/>
              <c:y val="0.910540866726567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0181119"/>
        <c:crosses val="autoZero"/>
        <c:crossBetween val="midCat"/>
      </c:valAx>
      <c:valAx>
        <c:axId val="160181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dk1"/>
                    </a:solidFill>
                    <a:latin typeface="+mn-lt"/>
                    <a:ea typeface="+mn-ea"/>
                    <a:cs typeface="+mn-cs"/>
                  </a:defRPr>
                </a:pPr>
                <a:r>
                  <a:rPr lang="en-US" sz="1200"/>
                  <a:t>Real wage (W/P)</a:t>
                </a:r>
              </a:p>
            </c:rich>
          </c:tx>
          <c:layout>
            <c:manualLayout>
              <c:xMode val="edge"/>
              <c:yMode val="edge"/>
              <c:x val="9.6091854497569254E-3"/>
              <c:y val="0.11991789487852482"/>
            </c:manualLayout>
          </c:layout>
          <c:overlay val="0"/>
          <c:spPr>
            <a:noFill/>
            <a:ln>
              <a:noFill/>
            </a:ln>
            <a:effectLst/>
          </c:spPr>
          <c:txPr>
            <a:bodyPr rot="0" spcFirstLastPara="1" vertOverflow="ellipsis"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0"/>
        <c:majorTickMark val="none"/>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58217855"/>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E115-3ECC-4B28-8D7F-CE569D4E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18846</TotalTime>
  <Pages>42</Pages>
  <Words>9951</Words>
  <Characters>56721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dc:creator>
  <cp:keywords/>
  <dc:description/>
  <cp:lastModifiedBy>David Mo</cp:lastModifiedBy>
  <cp:revision>1989</cp:revision>
  <cp:lastPrinted>2023-07-12T23:39:00Z</cp:lastPrinted>
  <dcterms:created xsi:type="dcterms:W3CDTF">2021-04-23T01:08:00Z</dcterms:created>
  <dcterms:modified xsi:type="dcterms:W3CDTF">2023-12-12T02:15:00Z</dcterms:modified>
</cp:coreProperties>
</file>