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A5F"/>
          <w:sz w:val="48"/>
          <w:szCs w:val="48"/>
        </w:rPr>
        <w:t xml:space="preserve">IES Rebuild Evaluation</w:t>
      </w:r>
    </w:p>
    <w:p>
      <w:pPr>
        <w:spacing w:after="40"/>
      </w:pPr>
      <w:r>
        <w:rPr>
          <w:color w:val="2E75B6"/>
          <w:sz w:val="24"/>
          <w:szCs w:val="24"/>
        </w:rPr>
        <w:t xml:space="preserve">Migrating the Jarvis agent architecture to a model-agnostic framework</w:t>
      </w:r>
    </w:p>
    <w:p>
      <w:pPr>
        <w:pBdr>
          <w:bottom w:val="single" w:color="2E75B6" w:sz="8" w:space="4"/>
        </w:pBdr>
        <w:spacing w:after="40"/>
      </w:pPr>
      <w:r>
        <w:rPr>
          <w:color w:val="555555"/>
          <w:sz w:val="18"/>
          <w:szCs w:val="18"/>
        </w:rPr>
        <w:t xml:space="preserve">Personal technical evaluation  |  Prepared for David O'Hara  |  June 25, 2026</w:t>
      </w:r>
    </w:p>
    <w:p>
      <w:pPr>
        <w:spacing w:after="200"/>
      </w:pPr>
    </w:p>
    <w:p>
      <w:pPr>
        <w:pBdr>
          <w:bottom w:val="single" w:color="2E75B6" w:sz="12" w:space="4"/>
        </w:pBdr>
        <w:shd w:fill="D5E8F0" w:val="clear"/>
        <w:spacing w:after="80" w:before="80"/>
      </w:pPr>
      <w:r>
        <w:rPr>
          <w:b/>
          <w:bCs/>
          <w:color w:val="1F3A5F"/>
          <w:sz w:val="22"/>
          <w:szCs w:val="22"/>
        </w:rPr>
        <w:t xml:space="preserve">Bottom line up front</w:t>
      </w:r>
    </w:p>
    <w:p>
      <w:pPr>
        <w:spacing w:after="160"/>
      </w:pPr>
      <w:r>
        <w:t xml:space="preserve">The valuable IP in IES is the </w:t>
      </w:r>
      <w:r>
        <w:rPr>
          <w:b/>
          <w:bCs/>
        </w:rPr>
        <w:t xml:space="preserve">knowledge architecture</w:t>
      </w:r>
      <w:r>
        <w:t xml:space="preserve"> — not the runtime. The orchestration logic currently lives in markdown prose that a model re-interprets on every boot, which is exactly what makes it non-deterministic, untestable, single-user, and locked to one runtime. Those concepts are highly replicable as code. The recommended target is a </w:t>
      </w:r>
      <w:r>
        <w:rPr>
          <w:b/>
          <w:bCs/>
        </w:rPr>
        <w:t xml:space="preserve">hybrid: LangGraph</w:t>
      </w:r>
      <w:r>
        <w:t xml:space="preserve"> as the durable orchestration backbone, </w:t>
      </w:r>
      <w:r>
        <w:rPr>
          <w:b/>
          <w:bCs/>
        </w:rPr>
        <w:t xml:space="preserve">Pydantic AI</w:t>
      </w:r>
      <w:r>
        <w:t xml:space="preserve"> for typed leaf agents, </w:t>
      </w:r>
      <w:r>
        <w:rPr>
          <w:b/>
          <w:bCs/>
        </w:rPr>
        <w:t xml:space="preserve">LiteLLM</w:t>
      </w:r>
      <w:r>
        <w:t xml:space="preserve"> for true model-agnosticism, Postgres for state, and Langfuse for observability. A reliable single-user core is feasible in roughly 8–12 calendar weeks with a 2–3 person team; full parity in ~4–5 months. The real cost is not the framework — it is trading a zero-ops markdown system for a real software project with a database, deployment, and maintenance obligations.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The real problem</w:t>
      </w:r>
    </w:p>
    <w:p>
      <w:pPr>
        <w:spacing w:after="160"/>
      </w:pPr>
      <w:r>
        <w:t xml:space="preserve">What IES is today is a working specification for an executive agent system, expressed as a markdown OS that Claude Code/Cowork interprets at runtime. The conceptual model is genuinely good: a Master router, specialist agents with defined portfolios (Chief, Chase, Quinn, Shep, Harper, Rigby), a layered memory system, skills as gated procedures, an evolution system that separates system-owned from personal content, an error-tracking feedback loop, and workflow state machines.</w:t>
      </w:r>
    </w:p>
    <w:p>
      <w:pPr>
        <w:spacing w:after="160"/>
      </w:pPr>
      <w:r>
        <w:rPr>
          <w:b/>
          <w:bCs/>
        </w:rPr>
        <w:t xml:space="preserve">None of that is Claude Code. </w:t>
      </w:r>
      <w:r>
        <w:t xml:space="preserve">Claude Code is simply the engine currently reading those files. That is the baggage. Because the orchestration lives in prose, every behavior depends on a model re-reading and re-deciding each session. The four stated goals — reliability/determinism, scale/multi-user, portability/model-agnosticism, and extensibility — are all blocked by that single architectural fact.</w:t>
      </w:r>
    </w:p>
    <w:p>
      <w:pPr>
        <w:spacing w:after="160"/>
      </w:pPr>
      <w:r>
        <w:t xml:space="preserve">So the question is not “CrewAI or LangChain.” It is: </w:t>
      </w:r>
      <w:r>
        <w:rPr>
          <w:i/>
          <w:iCs/>
        </w:rPr>
        <w:t xml:space="preserve">which substrate lets these concepts be encoded as durable, testable, model-agnostic code, while keeping prose only where prose is genuinely the right representation</w:t>
      </w:r>
      <w:r>
        <w:t xml:space="preserve"> (identity, voice, the personal knowledge layer).</w:t>
      </w:r>
    </w:p>
    <w:p>
      <w:pPr>
        <w:pStyle w:val="Heading1"/>
      </w:pPr>
      <w:r>
        <w:t xml:space="preserve">2. Framework landscape (June 2026)</w:t>
      </w:r>
    </w:p>
    <w:p>
      <w:pPr>
        <w:spacing w:after="160"/>
      </w:pPr>
      <w:r>
        <w:t xml:space="preserve">The space shifted materially in the last six months. The relevant facts for a model-agnostic, reliability-first rebuild: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2400"/>
        <w:gridCol w:w="1700"/>
        <w:gridCol w:w="2360"/>
      </w:tblGrid>
      <w:tr>
        <w:trPr>
          <w:tblHeader/>
        </w:trPr>
        <w:tc>
          <w:tcPr>
            <w:tcW w:type="dxa" w:w="15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Framework</w:t>
            </w:r>
          </w:p>
        </w:tc>
        <w:tc>
          <w:tcPr>
            <w:tcW w:type="dxa" w:w="1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Model-agnostic</w:t>
            </w:r>
          </w:p>
        </w:tc>
        <w:tc>
          <w:tcPr>
            <w:tcW w:type="dxa" w:w="2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State / durability</w:t>
            </w:r>
          </w:p>
        </w:tc>
        <w:tc>
          <w:tcPr>
            <w:tcW w:type="dxa" w:w="17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License</w:t>
            </w:r>
          </w:p>
        </w:tc>
        <w:tc>
          <w:tcPr>
            <w:tcW w:type="dxa" w:w="23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Fit for IES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LangGraph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Yes (25+ providers)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First-class checkpointing, durable execution, pause/resume/branch/rollback</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MIT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Strong — orchestration backbone</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Pydantic AI 1.0</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Yes (25+ providers)</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Lighter; linear agents; type-safe at dev time</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MIT</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Strong — leaf agents &amp; skills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CrewAI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Yes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No built-in checkpointing; coarse error handling</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MIT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Weak — fails reliability bar</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OpenAI Agents SDK</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No (OpenAI only)</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Built-in tracing/guardrails</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MIT</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Disqualified — not agnostic</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Google ADK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Gemini-first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Early; Vertex-backed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Open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Disqualified — not agnostic</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AutoGen / AG2</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Yes</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Maintenance mode (AG2 fork maturing); 20+ calls/interaction</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MIT</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Weak — cost &amp; momentum</w:t>
            </w:r>
          </w:p>
        </w:tc>
      </w:tr>
    </w:tbl>
    <w:p>
      <w:pPr>
        <w:spacing w:after="120"/>
      </w:pPr>
    </w:p>
    <w:p>
      <w:pPr>
        <w:spacing w:after="160"/>
      </w:pPr>
      <w:r>
        <w:rPr>
          <w:b/>
          <w:bCs/>
        </w:rPr>
        <w:t xml:space="preserve">LangGraph</w:t>
      </w:r>
      <w:r>
        <w:t xml:space="preserve"> is the production standard for stateful, auditable agentic systems and has the largest verified enterprise deployment list (JPMorgan, Uber, BlackRock, Replit). Its abstraction — agents as nodes, conditional edges as routing, shared typed state persisted at each step — maps almost one-to-one onto IES. The cost is verbosity and a learning curve.</w:t>
      </w:r>
    </w:p>
    <w:p>
      <w:pPr>
        <w:spacing w:after="160"/>
      </w:pPr>
      <w:r>
        <w:rPr>
          <w:b/>
          <w:bCs/>
        </w:rPr>
        <w:t xml:space="preserve">Pydantic AI</w:t>
      </w:r>
      <w:r>
        <w:t xml:space="preserve"> reached 1.0 in April 2026 and is the default for type-safe agents: it catches agent-logic errors at development time and shows lower P95 latency and fewer errors under load than heavier stacks. It is MIT-licensed, so there is no cost or commercial restriction to ship it to a client. It is optimized for linear input→tools→structured-output agents — not top-level branching orchestration, which is why it sits at the leaf and LangGraph owns the branching. (The Sustainable Use License that the same vendor applies to its Logfire observability product does not touch the framework; confirm with legal before any client ship regardless.)</w:t>
      </w:r>
    </w:p>
    <w:p>
      <w:pPr>
        <w:spacing w:after="160"/>
      </w:pPr>
      <w:r>
        <w:rPr>
          <w:b/>
          <w:bCs/>
        </w:rPr>
        <w:t xml:space="preserve">CrewAI</w:t>
      </w:r>
      <w:r>
        <w:t xml:space="preserve"> is the fastest prototype path but has no built-in checkpointing and coarse error handling — a direct conflict with the reliability requirement. The vendor SDKs (OpenAI, Google) are disqualified by the fully-model-agnostic mandate.</w:t>
      </w:r>
    </w:p>
    <w:p>
      <w:pPr>
        <w:spacing w:after="160"/>
      </w:pPr>
      <w:r>
        <w:rPr>
          <w:b/>
          <w:bCs/>
        </w:rPr>
        <w:t xml:space="preserve">LiteLLM</w:t>
      </w:r>
      <w:r>
        <w:t xml:space="preserve"> is the load-bearing piece for model-agnosticism: a router that sits beneath any framework and lets you swap or route models per task without touching business logic. </w:t>
      </w:r>
      <w:r>
        <w:rPr>
          <w:b/>
          <w:bCs/>
        </w:rPr>
        <w:t xml:space="preserve">Langfuse</w:t>
      </w:r>
      <w:r>
        <w:t xml:space="preserve"> (or LangSmith) supplies the observability layer IES has none of today.</w:t>
      </w:r>
    </w:p>
    <w:p>
      <w:pPr>
        <w:pStyle w:val="Heading1"/>
      </w:pPr>
      <w:r>
        <w:t xml:space="preserve">3. Recommendation: a hybrid, not a single framework</w:t>
      </w:r>
    </w:p>
    <w:p>
      <w:pPr>
        <w:spacing w:after="160"/>
      </w:pPr>
      <w:r>
        <w:t xml:space="preserve">No single framework is the answer. The strongest architecture pairs a durable orchestration core with typed leaf agents and a model router beneath both:</w:t>
      </w:r>
    </w:p>
    <w:p>
      <w:pPr>
        <w:pStyle w:val="ListParagraph"/>
        <w:numPr>
          <w:ilvl w:val="0"/>
          <w:numId w:val="2"/>
        </w:numPr>
        <w:spacing w:after="60"/>
      </w:pPr>
      <w:r>
        <w:rPr>
          <w:b/>
          <w:bCs/>
        </w:rPr>
        <w:t xml:space="preserve">LangGraph</w:t>
      </w:r>
      <w:r>
        <w:t xml:space="preserve"> — orchestration backbone. Master routing, workflow state machines, durable execution, audit trail. This is where reliability, scale, and portability come from.</w:t>
      </w:r>
    </w:p>
    <w:p>
      <w:pPr>
        <w:pStyle w:val="ListParagraph"/>
        <w:numPr>
          <w:ilvl w:val="0"/>
          <w:numId w:val="2"/>
        </w:numPr>
        <w:spacing w:after="60"/>
      </w:pPr>
      <w:r>
        <w:rPr>
          <w:b/>
          <w:bCs/>
        </w:rPr>
        <w:t xml:space="preserve">Pydantic AI</w:t>
      </w:r>
      <w:r>
        <w:t xml:space="preserve"> — leaf-level specialist agents and skills with typed inputs/outputs and fast iteration. MIT-licensed, so it ships to clients with no commercial restriction. LangGraph's prebuilt agents cover the same ground if you prefer a single framework; the tradeoff is weaker output typing, not licensing.</w:t>
      </w:r>
    </w:p>
    <w:p>
      <w:pPr>
        <w:pStyle w:val="ListParagraph"/>
        <w:numPr>
          <w:ilvl w:val="0"/>
          <w:numId w:val="2"/>
        </w:numPr>
        <w:spacing w:after="60"/>
      </w:pPr>
      <w:r>
        <w:rPr>
          <w:b/>
          <w:bCs/>
        </w:rPr>
        <w:t xml:space="preserve">LiteLLM</w:t>
      </w:r>
      <w:r>
        <w:t xml:space="preserve"> — model router beneath everything for true model-agnosticism and per-task routing.</w:t>
      </w:r>
    </w:p>
    <w:p>
      <w:pPr>
        <w:pStyle w:val="ListParagraph"/>
        <w:numPr>
          <w:ilvl w:val="0"/>
          <w:numId w:val="2"/>
        </w:numPr>
        <w:spacing w:after="60"/>
      </w:pPr>
      <w:r>
        <w:rPr>
          <w:b/>
          <w:bCs/>
        </w:rPr>
        <w:t xml:space="preserve">Postgres + pgvector</w:t>
      </w:r>
      <w:r>
        <w:t xml:space="preserve"> — typed state and memory. Keep markdown only where prose is the right representation: identity, voice, personal knowledge.</w:t>
      </w:r>
    </w:p>
    <w:p>
      <w:pPr>
        <w:pStyle w:val="ListParagraph"/>
        <w:numPr>
          <w:ilvl w:val="0"/>
          <w:numId w:val="2"/>
        </w:numPr>
        <w:spacing w:after="60"/>
      </w:pPr>
      <w:r>
        <w:rPr>
          <w:b/>
          <w:bCs/>
        </w:rPr>
        <w:t xml:space="preserve">Langfuse</w:t>
      </w:r>
      <w:r>
        <w:t xml:space="preserve"> — OpenTelemetry-native observability, eval traces, and the data backbone for the error-tracking loop.</w:t>
      </w:r>
    </w:p>
    <w:p>
      <w:pPr>
        <w:spacing w:after="160"/>
      </w:pPr>
      <w:r>
        <w:t xml:space="preserve">This follows the standard production pattern: prototype the topology in a readable framework, then harden the production path in LangGraph. </w:t>
      </w:r>
      <w:r>
        <w:rPr>
          <w:b/>
          <w:bCs/>
        </w:rPr>
        <w:t xml:space="preserve">You have already done the prototype — IES itself is the working spec.</w:t>
      </w:r>
    </w:p>
    <w:p>
      <w:pPr>
        <w:pStyle w:val="Heading1"/>
      </w:pPr>
      <w:r>
        <w:t xml:space="preserve">4. Concept-by-concept replication</w:t>
      </w:r>
    </w:p>
    <w:p>
      <w:pPr>
        <w:spacing w:after="160"/>
      </w:pPr>
      <w:r>
        <w:t xml:space="preserve">Every load-bearing IES concept has a clean target. None is research-grade; all are well-trodden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1300"/>
        <w:gridCol w:w="3260"/>
      </w:tblGrid>
      <w:tr>
        <w:trPr>
          <w:tblHeader/>
        </w:trPr>
        <w:tc>
          <w:tcPr>
            <w:tcW w:type="dxa" w:w="21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IES concept</w:t>
            </w:r>
          </w:p>
        </w:tc>
        <w:tc>
          <w:tcPr>
            <w:tcW w:type="dxa" w:w="27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Replicates as</w:t>
            </w:r>
          </w:p>
        </w:tc>
        <w:tc>
          <w:tcPr>
            <w:tcW w:type="dxa" w:w="13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Difficulty</w:t>
            </w:r>
          </w:p>
        </w:tc>
        <w:tc>
          <w:tcPr>
            <w:tcW w:type="dxa" w:w="32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Notes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Master router</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LangGraph supervisor + conditional edges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Easy</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Routing rules become typed edges, not prose</w:t>
            </w:r>
          </w:p>
        </w:tc>
      </w:tr>
      <w:tr>
        <w:tc>
          <w:tcPr>
            <w:tcW w:type="dxa" w:w="2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Specialist agents</w:t>
            </w:r>
          </w:p>
        </w:tc>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Subgraphs / Pydantic AI agents</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Easy</w:t>
            </w:r>
          </w:p>
        </w:tc>
        <w:tc>
          <w:tcPr>
            <w:tcW w:type="dxa" w:w="3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One agent = one subgraph or typed agent</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Skills (gated procedures)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Typed tools with validation guards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Easy–Med</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Pre-flight gates become code preconditions</w:t>
            </w:r>
          </w:p>
        </w:tc>
      </w:tr>
      <w:tr>
        <w:tc>
          <w:tcPr>
            <w:tcW w:type="dxa" w:w="2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Memory layers</w:t>
            </w:r>
          </w:p>
        </w:tc>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Postgres + pgvector, typed schemas</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Medium</w:t>
            </w:r>
          </w:p>
        </w:tc>
        <w:tc>
          <w:tcPr>
            <w:tcW w:type="dxa" w:w="3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Working/episodic/semantic/personal as tables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Workflow state machines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LangGraph graphs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Easy</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Native fit; state.yaml → graph state</w:t>
            </w:r>
          </w:p>
        </w:tc>
      </w:tr>
      <w:tr>
        <w:tc>
          <w:tcPr>
            <w:tcW w:type="dxa" w:w="2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Evolution system</w:t>
            </w:r>
          </w:p>
        </w:tc>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Versioned deploys; config vs DB rows</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Medium</w:t>
            </w:r>
          </w:p>
        </w:tc>
        <w:tc>
          <w:tcPr>
            <w:tcW w:type="dxa" w:w="3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system/personal split → code vs tenant data</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Error-tracking loop</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Structured eval traces in Langfuse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Medium</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Corrections become labeled eval datapoints</w:t>
            </w:r>
          </w:p>
        </w:tc>
      </w:tr>
      <w:tr>
        <w:tc>
          <w:tcPr>
            <w:tcW w:type="dxa" w:w="2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Connector resolution</w:t>
            </w:r>
          </w:p>
        </w:tc>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Tool registry + LiteLLM</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Medium</w:t>
            </w:r>
          </w:p>
        </w:tc>
        <w:tc>
          <w:tcPr>
            <w:tcW w:type="dxa" w:w="3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INTEGRATIONS.md → capability registry</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Jarvis voice/persona</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System prompt + eval suite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Easy</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Pin behavior with regression evals</w:t>
            </w:r>
          </w:p>
        </w:tc>
      </w:tr>
    </w:tbl>
    <w:p>
      <w:pPr>
        <w:spacing w:after="120"/>
      </w:pPr>
    </w:p>
    <w:p>
      <w:pPr>
        <w:spacing w:after="160"/>
      </w:pPr>
      <w:r>
        <w:rPr>
          <w:b/>
          <w:bCs/>
        </w:rPr>
        <w:t xml:space="preserve">What is gained: </w:t>
      </w:r>
      <w:r>
        <w:t xml:space="preserve">deterministic routing, typed state, testability, audit trails, model-swapping, multi-user readiness, and observability.</w:t>
      </w:r>
    </w:p>
    <w:p>
      <w:pPr>
        <w:spacing w:after="160"/>
      </w:pPr>
      <w:r>
        <w:rPr>
          <w:b/>
          <w:bCs/>
        </w:rPr>
        <w:t xml:space="preserve">What is lost: </w:t>
      </w:r>
      <w:r>
        <w:t xml:space="preserve">the zero-ops simplicity of “it’s just markdown in a git repo.” Editing behavior stops being “edit a prose file” and becomes “edit code, run tests, deploy.” That is the trade you are explicitly choosing.</w:t>
      </w:r>
    </w:p>
    <w:p>
      <w:pPr>
        <w:pStyle w:val="Heading1"/>
      </w:pPr>
      <w:r>
        <w:t xml:space="preserve">5. Evidence: what the error log proves</w:t>
      </w:r>
    </w:p>
    <w:p>
      <w:pPr>
        <w:spacing w:after="160"/>
      </w:pPr>
      <w:r>
        <w:t xml:space="preserve">This is not theoretical. The IES error-tracking system holds ~197 logged corrections (149 current entries plus 48 compacted from April). Categorizing them by failure mode shows that </w:t>
      </w:r>
      <w:r>
        <w:rPr>
          <w:b/>
          <w:bCs/>
        </w:rPr>
        <w:t xml:space="preserve">over half are architectural — designed out by the rebuild — while the rest are judgment failures the rebuild enables you to fight but does not fix on its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900"/>
        <w:gridCol w:w="1700"/>
        <w:gridCol w:w="4460"/>
      </w:tblGrid>
      <w:tr>
        <w:trPr>
          <w:tblHeader/>
        </w:trPr>
        <w:tc>
          <w:tcPr>
            <w:tcW w:type="dxa" w:w="23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Failure mode</w:t>
            </w:r>
          </w:p>
        </w:tc>
        <w:tc>
          <w:tcPr>
            <w:tcW w:type="dxa" w:w="9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~Count</w:t>
            </w:r>
          </w:p>
        </w:tc>
        <w:tc>
          <w:tcPr>
            <w:tcW w:type="dxa" w:w="17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Rebuild verdict</w:t>
            </w:r>
          </w:p>
        </w:tc>
        <w:tc>
          <w:tcPr>
            <w:tcW w:type="dxa" w:w="44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Why</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protocol-skip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64</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Eliminated</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Gates and routing become code preconditions and typed edges, not prose rules to remember</w:t>
            </w:r>
          </w:p>
        </w:tc>
      </w:tr>
      <w:tr>
        <w:tc>
          <w:tcPr>
            <w:tcW w:type="dxa" w:w="2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stale-cache</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11</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Eliminated</w:t>
            </w:r>
          </w:p>
        </w:tc>
        <w:tc>
          <w:tcPr>
            <w:tcW w:type="dxa" w:w="4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Typed state + live reads end the “pulled once at boot, trusted all session” bug</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wrong-tool / tool-ignorance / auth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9</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Mostly fixed</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Connector resolution becomes a typed registry; read-only tools fail at the type boundary</w:t>
            </w:r>
          </w:p>
        </w:tc>
      </w:tr>
      <w:tr>
        <w:tc>
          <w:tcPr>
            <w:tcW w:type="dxa" w:w="2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format-violation (paths, branding)</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10</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Mostly fixed</w:t>
            </w:r>
          </w:p>
        </w:tc>
        <w:tc>
          <w:tcPr>
            <w:tcW w:type="dxa" w:w="4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Output routing becomes validated parameters, not recalled convention</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lazy-search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9</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Partially fixed</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“N strategies before not-found” enforced as a tool wrapper</w:t>
            </w:r>
          </w:p>
        </w:tc>
      </w:tr>
      <w:tr>
        <w:tc>
          <w:tcPr>
            <w:tcW w:type="dxa" w:w="2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surfaced-resolved-item</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3</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Fixed</w:t>
            </w:r>
          </w:p>
        </w:tc>
        <w:tc>
          <w:tcPr>
            <w:tcW w:type="dxa" w:w="4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Resolved-loop state in Postgres prevents closed items re-surfacing</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wrong-assumption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41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NOT fixed</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Judgment failure — needs evals + model routing, not structure</w:t>
            </w:r>
          </w:p>
        </w:tc>
      </w:tr>
      <w:tr>
        <w:tc>
          <w:tcPr>
            <w:tcW w:type="dxa" w:w="2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sloppy-read / bad-inference / hallucination</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9</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NOT fixed</w:t>
            </w:r>
          </w:p>
        </w:tc>
        <w:tc>
          <w:tcPr>
            <w:tcW w:type="dxa" w:w="4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Model reasoning quality; a graph engine does not read more carefully</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over-engineering / scope-creep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3</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NOT fixed (may worsen)</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Code invites more elaborate solutions than markdown</w:t>
            </w:r>
          </w:p>
        </w:tc>
      </w:tr>
    </w:tbl>
    <w:p>
      <w:pPr>
        <w:spacing w:after="120"/>
      </w:pPr>
    </w:p>
    <w:p>
      <w:pPr>
        <w:spacing w:after="160"/>
      </w:pPr>
      <w:r>
        <w:rPr>
          <w:b/>
          <w:bCs/>
        </w:rPr>
        <w:t xml:space="preserve">Roughly 100 of ~197 errors are structural</w:t>
      </w:r>
      <w:r>
        <w:t xml:space="preserve"> — led by protocol-skip, the single largest bucket, which is the system having a documented rule and not following it. Today those rules live in prose a model is supposed to re-read each session; compliance is probabilistic. The repeat-offender pattern in the log proves it: the same hidden-directory miss was logged 3+ times with the note “no further occurrences are acceptable,” and it recurred. Prose reminds; code enforces.</w:t>
      </w:r>
    </w:p>
    <w:p>
      <w:pPr>
        <w:spacing w:after="160"/>
      </w:pPr>
      <w:r>
        <w:rPr>
          <w:b/>
          <w:bCs/>
        </w:rPr>
        <w:t xml:space="preserve">The other ~55 errors are judgment failures. </w:t>
      </w:r>
      <w:r>
        <w:t xml:space="preserve">These are exactly why the eval dataset and per-task model routing are not optional add-ons but core scope. Today there is no way to catch a wrong-assumption regression except waiting for it to recur and logging it after the fact. That is the gap the eval suite closes.</w:t>
      </w:r>
    </w:p>
    <w:p>
      <w:pPr>
        <w:spacing w:after="160"/>
      </w:pPr>
      <w:r>
        <w:rPr>
          <w:b/>
          <w:bCs/>
        </w:rPr>
        <w:t xml:space="preserve">The decisive point: </w:t>
      </w:r>
      <w:r>
        <w:t xml:space="preserve">the error log is not just the argument for the rebuild — it is the acceptance test for it. Every entry becomes a test case, so a fix stays fixed instead of recurring next month.</w:t>
      </w:r>
    </w:p>
    <w:p>
      <w:pPr>
        <w:pStyle w:val="Heading1"/>
      </w:pPr>
      <w:r>
        <w:t xml:space="preserve">6. What leaving Cowork costs (and what it does not)</w:t>
      </w:r>
    </w:p>
    <w:p>
      <w:pPr>
        <w:spacing w:after="160"/>
      </w:pPr>
      <w:r>
        <w:t xml:space="preserve">Today IES does not just run on Cowork — it lives inside it. Cowork is the conversational surface, the connector host, and the bridge to local apps. A rebuild must replace the platform, not only the agent logic. An honest accounting, after separating genuine platform features from commodity work that only looked like a loss: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5460"/>
      </w:tblGrid>
      <w:tr>
        <w:trPr>
          <w:tblHeader/>
        </w:trPr>
        <w:tc>
          <w:tcPr>
            <w:tcW w:type="dxa" w:w="26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Cowork capability</w:t>
            </w:r>
          </w:p>
        </w:tc>
        <w:tc>
          <w:tcPr>
            <w:tcW w:type="dxa" w:w="13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Real loss?</w:t>
            </w:r>
          </w:p>
        </w:tc>
        <w:tc>
          <w:tcPr>
            <w:tcW w:type="dxa" w:w="54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Replacement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Chat UI / desktop app</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Partial</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Build or adopt a streaming chat front-end. Days, not weeks, with current scaffolding — but real work that does not improve the agent</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MCP connector hosting</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No</w:t>
            </w:r>
          </w:p>
        </w:tc>
        <w:tc>
          <w:tcPr>
            <w:tcW w:type="dxa" w:w="5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MCP is an open protocol; any host is a client. You inherit only the token/auth lifecycle, which is plumbing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Document generation (docx/pptx/xlsx/pdf)</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No</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These are libraries (docx, python-pptx, openpyxl, LibreOffice). Run anywhere</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Branded output (improving-brand)</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No</w:t>
            </w:r>
          </w:p>
        </w:tc>
        <w:tc>
          <w:tcPr>
            <w:tcW w:type="dxa" w:w="5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A template and stylesheet, not a runtime feature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Scheduled tasks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No</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Cron is a solved problem</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Live artifacts</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No</w:t>
            </w:r>
          </w:p>
        </w:tc>
        <w:tc>
          <w:tcPr>
            <w:tcW w:type="dxa" w:w="5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A small web view hitting your own API</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Local-first / privacy guarantee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Yes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A server-deployed, DB-backed system inverts SYSTEM.md's first principle. This is a deliberate posture change, not a feature to rebuild</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Mac-native app control</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Yes (conditional)</w:t>
            </w:r>
          </w:p>
        </w:tc>
        <w:tc>
          <w:tcPr>
            <w:tcW w:type="dxa" w:w="5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Bound to local macOS execution, not to Cowork. Survives only if the agent runs on the Mac, or via a local sidecar (see Section 7)</w:t>
            </w:r>
          </w:p>
        </w:tc>
      </w:tr>
    </w:tbl>
    <w:p>
      <w:pPr>
        <w:spacing w:after="120"/>
      </w:pPr>
    </w:p>
    <w:p>
      <w:pPr>
        <w:spacing w:after="160"/>
      </w:pPr>
      <w:r>
        <w:rPr>
          <w:b/>
          <w:bCs/>
        </w:rPr>
        <w:t xml:space="preserve">The corrected conclusion: </w:t>
      </w:r>
      <w:r>
        <w:t xml:space="preserve">most of what first looked like a Cowork loss is replaceable commodity work. The two genuine items are the local-first privacy posture and Mac-native app control — and the second is really a question of </w:t>
      </w:r>
      <w:r>
        <w:rPr>
          <w:i/>
          <w:iCs/>
        </w:rPr>
        <w:t xml:space="preserve">where the agent process runs</w:t>
      </w:r>
      <w:r>
        <w:t xml:space="preserve">, not which framework it uses.</w:t>
      </w:r>
    </w:p>
    <w:p>
      <w:pPr>
        <w:pStyle w:val="Heading1"/>
      </w:pPr>
      <w:r>
        <w:t xml:space="preserve">7. Server vs local: bucketing every IES capability</w:t>
      </w:r>
    </w:p>
    <w:p>
      <w:pPr>
        <w:spacing w:after="160"/>
      </w:pPr>
      <w:r>
        <w:t xml:space="preserve">The decisive architectural question is not “CrewAI or LangGraph” — it is “does the agent run on the Mac or on a server?” That single choice determines whether the Mac integrations are a non-issue or a hard wall. Auditing what IES actually touches (~100 skills in .claude/skills, the workflows, and INTEGRATIONS.md) shows that the answer is far more favorable to a server than first assumed.</w:t>
      </w:r>
    </w:p>
    <w:p>
      <w:pPr>
        <w:pStyle w:val="Heading2"/>
      </w:pPr>
      <w:r>
        <w:t xml:space="preserve">Works in server mode unchanged</w:t>
      </w:r>
    </w:p>
    <w:p>
      <w:pPr>
        <w:spacing w:after="160"/>
      </w:pPr>
      <w:r>
        <w:t xml:space="preserve">Most of IES is already network- or cloud-backed and ports directly: all MCP connectors (M365 mail/calendar/SharePoint, Obsidian, Clay, WHOOP, Invintory, Plaud); Dynamics CRM (web API); the agent brain itself (routing, memory, skills, evolution, error/eval systems); document generation; </w:t>
      </w:r>
      <w:r>
        <w:rPr>
          <w:b/>
          <w:bCs/>
        </w:rPr>
        <w:t xml:space="preserve">reMarkable sync</w:t>
      </w:r>
      <w:r>
        <w:t xml:space="preserve"> (rmapi is a cloud CLI, not local); Reddit monitor (public API); scheduled tasks and artifacts; and OneDrive files (the cloud is the source of truth — a server uses Graph API instead of the local mount).</w:t>
      </w:r>
    </w:p>
    <w:p>
      <w:pPr>
        <w:pStyle w:val="Heading2"/>
      </w:pPr>
      <w:r>
        <w:t xml:space="preserve">Genuinely local-only — and the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Capability</w:t>
            </w:r>
          </w:p>
        </w:tc>
        <w:tc>
          <w:tcPr>
            <w:tcW w:type="dxa" w:w="2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Why local</w:t>
            </w:r>
          </w:p>
        </w:tc>
        <w:tc>
          <w:tcPr>
            <w:tcW w:type="dxa" w:w="45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Server alternative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OmniFocus (incl. task-creation gate)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No cloud API; osascript only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Local sidecar exposes OmniFocus over an API the server calls. The one real residue</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Power BI extraction</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Drives logged-in browser to scrape visuals</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Power BI REST API / query the dataset directly — more reliable than scraping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Slack (master-slack)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Drives a local process via Desktop Commander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Slack has a first-class API/MCP; the local approach is the workaround</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Grammarly polish</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Drives the Grammarly web app</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Grammarly API or a server-side grammar/style pass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Photos tagging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osascript / local Photos SQLite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Periodic local sidecar job; or limited iCloud API</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Peekaboo (screen capture / UI automation)</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Acts on the physical machine</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No true server equivalent — but it is a fallback for apps with no API; use the API instead</w:t>
            </w:r>
          </w:p>
        </w:tc>
      </w:tr>
    </w:tbl>
    <w:p>
      <w:pPr>
        <w:spacing w:after="120"/>
      </w:pPr>
    </w:p>
    <w:p>
      <w:pPr>
        <w:spacing w:after="160"/>
      </w:pPr>
      <w:r>
        <w:rPr>
          <w:b/>
          <w:bCs/>
        </w:rPr>
        <w:t xml:space="preserve">Two corrections worth stating plainly. </w:t>
      </w:r>
      <w:r>
        <w:t xml:space="preserve">First, iMessage — cited early as the unanswerable local-only case — is </w:t>
      </w:r>
      <w:r>
        <w:rPr>
          <w:b/>
          <w:bCs/>
        </w:rPr>
        <w:t xml:space="preserve">not used by IES at all</w:t>
      </w:r>
      <w:r>
        <w:t xml:space="preserve"> (INTEGRATIONS.md: “Phone / Texts — Not accessible by Jarvis”). Second, several “local” capabilities are local because of a workaround, not because the outcome requires local execution; for Power BI, Slack, and Grammarly the server path is actually more reliable than today's screen-scraping, which would retire a chunk of the tool-misuse error class.</w:t>
      </w:r>
    </w:p>
    <w:p>
      <w:pPr>
        <w:spacing w:after="160"/>
      </w:pPr>
      <w:r>
        <w:rPr>
          <w:b/>
          <w:bCs/>
        </w:rPr>
        <w:t xml:space="preserve">The resolution pattern: a thin local sidecar. </w:t>
      </w:r>
      <w:r>
        <w:t xml:space="preserve">A small always-on process on the Mac exposes the genuinely local capabilities (OmniFocus, Photos) over an API the server calls. This is the standard answer to exactly this problem and is one of the smaller line items in the rebuild. Net: server mode works for ~90% of IES directly, improves several scraped integrations, and leaves a small sidecar to bridge OmniFocus and a couple of Mac-local data sources. The bigger casualty is the local-first </w:t>
      </w:r>
      <w:r>
        <w:rPr>
          <w:i/>
          <w:iCs/>
        </w:rPr>
        <w:t xml:space="preserve">privacy</w:t>
      </w:r>
      <w:r>
        <w:t xml:space="preserve"> posture, not the capability set — and that is the tradeoff to decide deliberately.</w:t>
      </w:r>
    </w:p>
    <w:p>
      <w:pPr>
        <w:pStyle w:val="Heading1"/>
      </w:pPr>
      <w:r>
        <w:t xml:space="preserve">8. Multi-tenancy and capability sharing</w:t>
      </w:r>
    </w:p>
    <w:p>
      <w:pPr>
        <w:spacing w:after="160"/>
      </w:pPr>
      <w:r>
        <w:t xml:space="preserve">If IES is meant to serve more than one person, multi-tenancy is the path forward — and it is a solved problem. Standard tenant isolation (row-level security in Postgres, per-tenant config, scoped connector credentials) is well-trodden infrastructure, not novel engineering. Choosing the server target is what unlocks it; the local-sidecar pattern from Section 7 still bridges each user's Mac-local capabilities.</w:t>
      </w:r>
    </w:p>
    <w:p>
      <w:pPr>
        <w:spacing w:after="160"/>
      </w:pPr>
      <w:r>
        <w:rPr>
          <w:b/>
          <w:bCs/>
        </w:rPr>
        <w:t xml:space="preserve">Capability sharing improves markedly. </w:t>
      </w:r>
      <w:r>
        <w:t xml:space="preserve">Today, sharing a new skill or workflow happens through the evolution-package flow — effective, but essentially file distribution. In a multi-tenant system, a capability built once is published to a shared registry and any tenant adopts it instantly, with versioning and rollback handled centrally. This is a strictly better distribution model than copying packages between installs.</w:t>
      </w:r>
    </w:p>
    <w:p>
      <w:pPr>
        <w:spacing w:after="160"/>
      </w:pPr>
      <w:r>
        <w:rPr>
          <w:b/>
          <w:bCs/>
        </w:rPr>
        <w:t xml:space="preserve">Keep the evolution concept — it becomes the tenancy boundary. </w:t>
      </w:r>
      <w:r>
        <w:t xml:space="preserve">The system-owned vs. user-owned split (the &lt;!-- system --&gt; / &lt;!-- personal --&gt; markers) is one of the strongest concepts in IES and must carry forward. In a multi-tenant architecture it maps cleanly and powerfully: </w:t>
      </w:r>
      <w:r>
        <w:rPr>
          <w:b/>
          <w:bCs/>
        </w:rPr>
        <w:t xml:space="preserve">system-owned = shared code and config deployed to all tenants; user-owned = per-tenant data.</w:t>
      </w:r>
      <w:r>
        <w:t xml:space="preserve"> The same boundary that protects personalization during evolutions today becomes the line between the shared platform and tenant-private state. The concept does not just survive the rebuild — it becomes load-bearing infrastructure.</w:t>
      </w:r>
    </w:p>
    <w:p>
      <w:pPr>
        <w:pStyle w:val="Heading1"/>
      </w:pPr>
      <w:r>
        <w:t xml:space="preserve">9. Resources &amp; feasibility (2–3 person team)</w:t>
      </w:r>
    </w:p>
    <w:p>
      <w:pPr>
        <w:spacing w:after="160"/>
      </w:pPr>
      <w:r>
        <w:t xml:space="preserve">Estimates assume a small team — two strong Python/agent engineers plus a part-time architect/lead (you or a senior) for design and review. Calendar weeks assume parallelization across the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1900"/>
        <w:gridCol w:w="1560"/>
      </w:tblGrid>
      <w:tr>
        <w:trPr>
          <w:tblHeader/>
        </w:trPr>
        <w:tc>
          <w:tcPr>
            <w:tcW w:type="dxa" w:w="19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Phase</w:t>
            </w:r>
          </w:p>
        </w:tc>
        <w:tc>
          <w:tcPr>
            <w:tcW w:type="dxa" w:w="40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Scope</w:t>
            </w:r>
          </w:p>
        </w:tc>
        <w:tc>
          <w:tcPr>
            <w:tcW w:type="dxa" w:w="19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Calendar time</w:t>
            </w:r>
          </w:p>
        </w:tc>
        <w:tc>
          <w:tcPr>
            <w:tcW w:type="dxa" w:w="15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Team load</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0. Foundations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Repo, LiteLLM router, Postgres schema, Langfuse, CI/eval harness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2–3 weeks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2 eng + lead</w:t>
            </w:r>
          </w:p>
        </w:tc>
      </w:tr>
      <w:tr>
        <w:tc>
          <w:tcPr>
            <w:tcW w:type="dxa" w:w="1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0b. Eval dataset</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Convert ~197 error entries into structured pass/fail test cases (the acceptance test)</w:t>
            </w:r>
          </w:p>
        </w:tc>
        <w:tc>
          <w:tcPr>
            <w:tcW w:type="dxa" w:w="1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1–1.5 weeks</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1 eng + lead</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1. Core orchestration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Master router + 2–3 agents + 1 workflow, durable execution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3–4 weeks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2 eng</w:t>
            </w:r>
          </w:p>
        </w:tc>
      </w:tr>
      <w:tr>
        <w:tc>
          <w:tcPr>
            <w:tcW w:type="dxa" w:w="1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2. Memory + skills</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Memory layers, typed skills with gates, connector registry</w:t>
            </w:r>
          </w:p>
        </w:tc>
        <w:tc>
          <w:tcPr>
            <w:tcW w:type="dxa" w:w="1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3–4 weeks</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2 eng</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2b. Local sidecar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Mac sidecar bridging OmniFocus + Photos to the server over an API</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1–2 weeks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1 eng</w:t>
            </w:r>
          </w:p>
        </w:tc>
      </w:tr>
      <w:tr>
        <w:tc>
          <w:tcPr>
            <w:tcW w:type="dxa" w:w="1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2c. Front-end</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Streaming chat UI / desktop surface (or adopt existing)</w:t>
            </w:r>
          </w:p>
        </w:tc>
        <w:tc>
          <w:tcPr>
            <w:tcW w:type="dxa" w:w="1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1–2 weeks</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1 eng</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3. Parity + evolution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Remaining agents, evolution/versioning, error-loop, voice evals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4–6 weeks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2 eng + lead</w:t>
            </w:r>
          </w:p>
        </w:tc>
      </w:tr>
      <w:tr>
        <w:tc>
          <w:tcPr>
            <w:tcW w:type="dxa" w:w="1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4. Multi-tenancy (optional)</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Tenant isolation (RLS), shared capability registry, infra</w:t>
            </w:r>
          </w:p>
        </w:tc>
        <w:tc>
          <w:tcPr>
            <w:tcW w:type="dxa" w:w="1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+8–12 weeks</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19"/>
                <w:szCs w:val="19"/>
              </w:rPr>
              <w:t xml:space="preserve">2–3 eng</w:t>
            </w:r>
          </w:p>
        </w:tc>
      </w:tr>
    </w:tbl>
    <w:p>
      <w:pPr>
        <w:spacing w:after="120"/>
      </w:pPr>
    </w:p>
    <w:p>
      <w:pPr>
        <w:spacing w:after="160"/>
      </w:pPr>
      <w:r>
        <w:t xml:space="preserve">The eval dataset (Phase 0b) runs in parallel with foundations — one engineer mining the error log while the other stands up the substrate — so it adds roughly half a week of net calendar time, not a full phase. It is non-negotiable scope: it is the only objective way to prove which logged failures the rebuild actually eliminates.</w:t>
      </w:r>
    </w:p>
    <w:p>
      <w:pPr>
        <w:spacing w:after="160"/>
      </w:pPr>
      <w:r>
        <w:t xml:space="preserve">The sidecar and front-end (Phases 2b/2c) run in parallel with the memory/skills work, so they add little net calendar time. The local sidecar is what makes the server target compatible with the Mac-only capabilities from Section 7.</w:t>
      </w:r>
    </w:p>
    <w:p>
      <w:pPr>
        <w:spacing w:after="160"/>
      </w:pPr>
      <w:r>
        <w:rPr>
          <w:b/>
          <w:bCs/>
        </w:rPr>
        <w:t xml:space="preserve">Reliable single-user core (Phases 0–2): </w:t>
      </w:r>
      <w:r>
        <w:t xml:space="preserve">~9–13 calendar weeks. </w:t>
      </w:r>
      <w:r>
        <w:rPr>
          <w:b/>
          <w:bCs/>
        </w:rPr>
        <w:t xml:space="preserve">Full single-user parity (through Phase 3): </w:t>
      </w:r>
      <w:r>
        <w:t xml:space="preserve">~4–5 months. </w:t>
      </w:r>
      <w:r>
        <w:rPr>
          <w:b/>
          <w:bCs/>
        </w:rPr>
        <w:t xml:space="preserve">Multi-tenant / productized: </w:t>
      </w:r>
      <w:r>
        <w:t xml:space="preserve">add roughly a quarter on top — tenant isolation is standard infrastructure, not novel work.</w:t>
      </w:r>
    </w:p>
    <w:p>
      <w:pPr>
        <w:spacing w:after="160"/>
      </w:pPr>
      <w:r>
        <w:rPr>
          <w:b/>
          <w:bCs/>
        </w:rPr>
        <w:t xml:space="preserve">Skills needed: </w:t>
      </w:r>
      <w:r>
        <w:t xml:space="preserve">strong Python, LangGraph state-machine design, async/durable execution, Postgres + vector search, prompt/eval engineering, and basic platform/devops for the multi-user phase.</w:t>
      </w:r>
    </w:p>
    <w:p>
      <w:pPr>
        <w:spacing w:after="160"/>
      </w:pPr>
      <w:r>
        <w:rPr>
          <w:b/>
          <w:bCs/>
        </w:rPr>
        <w:t xml:space="preserve">Ongoing cost: </w:t>
      </w:r>
      <w:r>
        <w:t xml:space="preserve">this becomes software you own. Budget for dependency upgrades (these frameworks move monthly), eval maintenance, and infra. The markdown system has near-zero ops; this does not.</w:t>
      </w:r>
    </w:p>
    <w:p>
      <w:pPr>
        <w:pStyle w:val="Heading1"/>
      </w:pPr>
      <w:r>
        <w:t xml:space="preserve">10. Game plan (strangler-fig migration)</w:t>
      </w:r>
    </w:p>
    <w:p>
      <w:pPr>
        <w:spacing w:after="160"/>
      </w:pPr>
      <w:r>
        <w:t xml:space="preserve">Do not rewrite IES in one shot. Run the new core alongside the existing markdown system and migrate capability by capability, retiring the old path only once the new one has eval-verified parity.</w:t>
      </w:r>
    </w:p>
    <w:p>
      <w:pPr>
        <w:pStyle w:val="ListParagraph"/>
        <w:numPr>
          <w:ilvl w:val="0"/>
          <w:numId w:val="3"/>
        </w:numPr>
        <w:spacing w:after="80"/>
      </w:pPr>
      <w:r>
        <w:rPr>
          <w:b/>
          <w:bCs/>
        </w:rPr>
        <w:t xml:space="preserve">Stand up the substrate. </w:t>
      </w:r>
      <w:r>
        <w:t xml:space="preserve">LiteLLM + Postgres + Langfuse + an eval harness before any agent logic. Establish the test discipline first.</w:t>
      </w:r>
    </w:p>
    <w:p>
      <w:pPr>
        <w:pStyle w:val="ListParagraph"/>
        <w:numPr>
          <w:ilvl w:val="0"/>
          <w:numId w:val="3"/>
        </w:numPr>
        <w:spacing w:after="80"/>
      </w:pPr>
      <w:r>
        <w:rPr>
          <w:b/>
          <w:bCs/>
        </w:rPr>
        <w:t xml:space="preserve">Port one vertical slice end-to-end. </w:t>
      </w:r>
      <w:r>
        <w:t xml:space="preserve">Pick the daily briefing (Chief). Implement Master→Chief→memory→output as a LangGraph flow with full traces. Prove the pattern on something you use every day.</w:t>
      </w:r>
    </w:p>
    <w:p>
      <w:pPr>
        <w:pStyle w:val="ListParagraph"/>
        <w:numPr>
          <w:ilvl w:val="0"/>
          <w:numId w:val="3"/>
        </w:numPr>
        <w:spacing w:after="80"/>
      </w:pPr>
      <w:r>
        <w:rPr>
          <w:b/>
          <w:bCs/>
        </w:rPr>
        <w:t xml:space="preserve">Build the eval suite from the error log (do this in Phase 0). </w:t>
      </w:r>
      <w:r>
        <w:t xml:space="preserve">The ~197 existing error-tracking entries are a ready-made regression dataset. Convert each into a structured, machine-runnable test case: a scenario, the correct behavior, and a pass/fail assertion, tagged by failure mode. Group them so you can report parity per class — e.g. “all 64 protocol-skip cases now pass by construction.” This is built before agent logic, not after, because it is the acceptance test the migration is measured against and the harness every later phase runs green before shipping.</w:t>
      </w:r>
    </w:p>
    <w:p>
      <w:pPr>
        <w:pStyle w:val="ListParagraph"/>
        <w:numPr>
          <w:ilvl w:val="0"/>
          <w:numId w:val="3"/>
        </w:numPr>
        <w:spacing w:after="80"/>
      </w:pPr>
      <w:r>
        <w:rPr>
          <w:b/>
          <w:bCs/>
        </w:rPr>
        <w:t xml:space="preserve">Migrate agents one at a time. </w:t>
      </w:r>
      <w:r>
        <w:t xml:space="preserve">Each agent ships only when its evals are green. Keep the markdown version live as fallback during cutover.</w:t>
      </w:r>
    </w:p>
    <w:p>
      <w:pPr>
        <w:pStyle w:val="ListParagraph"/>
        <w:numPr>
          <w:ilvl w:val="0"/>
          <w:numId w:val="3"/>
        </w:numPr>
        <w:spacing w:after="80"/>
      </w:pPr>
      <w:r>
        <w:rPr>
          <w:b/>
          <w:bCs/>
        </w:rPr>
        <w:t xml:space="preserve">Encode the evolution split in code. </w:t>
      </w:r>
      <w:r>
        <w:t xml:space="preserve">system-owned behavior becomes versioned code/config; personal content becomes tenant data. This is what unlocks extensibility cleanly.</w:t>
      </w:r>
    </w:p>
    <w:p>
      <w:pPr>
        <w:pStyle w:val="ListParagraph"/>
        <w:numPr>
          <w:ilvl w:val="0"/>
          <w:numId w:val="3"/>
        </w:numPr>
        <w:spacing w:after="80"/>
      </w:pPr>
      <w:r>
        <w:rPr>
          <w:b/>
          <w:bCs/>
        </w:rPr>
        <w:t xml:space="preserve">Decide on multi-user last. </w:t>
      </w:r>
      <w:r>
        <w:t xml:space="preserve">Only after single-user parity is solid. It is a separate product decision with its own cost, not a continuation of the core build.</w:t>
      </w:r>
    </w:p>
    <w:p>
      <w:pPr>
        <w:pStyle w:val="Heading1"/>
      </w:pPr>
      <w:r>
        <w:t xml:space="preserve">11. Risks &amp; honest caveats</w:t>
      </w:r>
    </w:p>
    <w:p>
      <w:pPr>
        <w:pStyle w:val="ListParagraph"/>
        <w:numPr>
          <w:ilvl w:val="0"/>
          <w:numId w:val="2"/>
        </w:numPr>
        <w:spacing w:after="60"/>
      </w:pPr>
      <w:r>
        <w:rPr>
          <w:b/>
          <w:bCs/>
        </w:rPr>
        <w:t xml:space="preserve">Scope creep into a product. </w:t>
      </w:r>
      <w:r>
        <w:t xml:space="preserve">The single biggest risk. “Replicate IES” quietly becomes “build a platform.” Hold the single-user line until parity is proven.</w:t>
      </w:r>
    </w:p>
    <w:p>
      <w:pPr>
        <w:pStyle w:val="ListParagraph"/>
        <w:numPr>
          <w:ilvl w:val="0"/>
          <w:numId w:val="2"/>
        </w:numPr>
        <w:spacing w:after="60"/>
      </w:pPr>
      <w:r>
        <w:rPr>
          <w:b/>
          <w:bCs/>
        </w:rPr>
        <w:t xml:space="preserve">Framework churn. </w:t>
      </w:r>
      <w:r>
        <w:t xml:space="preserve">LangGraph and Pydantic AI ship breaking-ish changes frequently. Pin versions; budget upgrade time.</w:t>
      </w:r>
    </w:p>
    <w:p>
      <w:pPr>
        <w:pStyle w:val="ListParagraph"/>
        <w:numPr>
          <w:ilvl w:val="0"/>
          <w:numId w:val="2"/>
        </w:numPr>
        <w:spacing w:after="60"/>
      </w:pPr>
      <w:r>
        <w:rPr>
          <w:b/>
          <w:bCs/>
        </w:rPr>
        <w:t xml:space="preserve">Dependency licensing. </w:t>
      </w:r>
      <w:r>
        <w:t xml:space="preserve">Core stack is permissive (LangGraph, Pydantic AI, LiteLLM all MIT), so client distribution carries no license cost. The one thing to verify before any client ship is that no observability dependency pulls in a non-permissive license — keep observability on OpenTelemetry plus self-hosted Langfuse rather than the vendor's Sustainable-Use-licensed Logfire. Have legal confirm the dependency tree before external distribution.</w:t>
      </w:r>
    </w:p>
    <w:p>
      <w:pPr>
        <w:pStyle w:val="ListParagraph"/>
        <w:numPr>
          <w:ilvl w:val="0"/>
          <w:numId w:val="2"/>
        </w:numPr>
        <w:spacing w:after="60"/>
      </w:pPr>
      <w:r>
        <w:rPr>
          <w:b/>
          <w:bCs/>
        </w:rPr>
        <w:t xml:space="preserve">Loss of edit-by-prose agility. </w:t>
      </w:r>
      <w:r>
        <w:t xml:space="preserve">Today you change behavior by editing a file. Post-migration that becomes a code+test+deploy cycle — more robust, less immediate.</w:t>
      </w:r>
    </w:p>
    <w:p>
      <w:pPr>
        <w:pStyle w:val="ListParagraph"/>
        <w:numPr>
          <w:ilvl w:val="0"/>
          <w:numId w:val="2"/>
        </w:numPr>
        <w:spacing w:after="60"/>
      </w:pPr>
      <w:r>
        <w:rPr>
          <w:b/>
          <w:bCs/>
        </w:rPr>
        <w:t xml:space="preserve">Maintenance reality. </w:t>
      </w:r>
      <w:r>
        <w:t xml:space="preserve">You are trading a near-zero-ops system for one with a database, deployment, and dependency obligations. That is the true price of shedding the runtime baggage.</w:t>
      </w:r>
    </w:p>
    <w:p>
      <w:pPr>
        <w:spacing w:before="200"/>
      </w:pPr>
      <w:r>
        <w:rPr>
          <w:b/>
          <w:bCs/>
          <w:color w:val="1F3A5F"/>
        </w:rPr>
        <w:t xml:space="preserve">Recommendation: </w:t>
      </w:r>
      <w:r>
        <w:t xml:space="preserve">proceed with a Phase 0–1 spike on the daily-briefing slice using LangGraph + LiteLLM + Langfuse. It validates feasibility and effort against your real workload at low cost, before committing to full parity.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jc w:val="center"/>
    </w:pPr>
    <w:r>
      <w:rPr>
        <w:color w:val="555555"/>
        <w:sz w:val="16"/>
        <w:szCs w:val="16"/>
      </w:rPr>
      <w:t xml:space="preserve">IES Rebuild Evaluation  ·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A5F"/>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IES Rebuild Evaluation</dc:title>
  <dc:creator>David O'Hara</dc:creator>
  <cp:lastModifiedBy>Un-named</cp:lastModifiedBy>
  <cp:revision>1</cp:revision>
  <dcterms:created xsi:type="dcterms:W3CDTF">2026-06-25T22:52:43.232Z</dcterms:created>
  <dcterms:modified xsi:type="dcterms:W3CDTF">2026-06-25T22:52:43.232Z</dcterms:modified>
</cp:coreProperties>
</file>

<file path=docProps/custom.xml><?xml version="1.0" encoding="utf-8"?>
<Properties xmlns="http://schemas.openxmlformats.org/officeDocument/2006/custom-properties" xmlns:vt="http://schemas.openxmlformats.org/officeDocument/2006/docPropsVTypes"/>
</file>