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p>
    <w:p>
      <w:pPr>
        <w:pBdr>
          <w:bottom w:val="single" w:color="005596" w:sz="6" w:space="12"/>
        </w:pBdr>
      </w:pPr>
    </w:p>
    <w:p>
      <w:pPr>
        <w:spacing w:before="200" w:after="200"/>
      </w:pPr>
    </w:p>
    <w:p>
      <w:pPr>
        <w:spacing w:after="80"/>
        <w:jc w:val="left"/>
      </w:pPr>
      <w:r>
        <w:rPr>
          <w:rFonts w:ascii="Poppins" w:cs="Poppins" w:eastAsia="Poppins" w:hAnsi="Poppins"/>
          <w:b/>
          <w:bCs/>
          <w:color w:val="005596"/>
          <w:sz w:val="60"/>
          <w:szCs w:val="60"/>
        </w:rPr>
        <w:t xml:space="preserve">AI Implementation</w:t>
      </w:r>
    </w:p>
    <w:p>
      <w:pPr>
        <w:spacing w:after="200"/>
        <w:jc w:val="left"/>
      </w:pPr>
      <w:r>
        <w:rPr>
          <w:rFonts w:ascii="Poppins" w:cs="Poppins" w:eastAsia="Poppins" w:hAnsi="Poppins"/>
          <w:b/>
          <w:bCs/>
          <w:color w:val="005596"/>
          <w:sz w:val="60"/>
          <w:szCs w:val="60"/>
        </w:rPr>
        <w:t xml:space="preserve">Project Plan</w:t>
      </w:r>
    </w:p>
    <w:p>
      <w:pPr>
        <w:spacing w:before="120" w:after="120"/>
      </w:pPr>
    </w:p>
    <w:p>
      <w:pPr>
        <w:spacing w:after="60"/>
      </w:pPr>
      <w:r>
        <w:rPr>
          <w:rFonts w:ascii="Khula" w:cs="Khula" w:eastAsia="Khula" w:hAnsi="Khula"/>
          <w:color w:val="2C3E50"/>
          <w:sz w:val="28"/>
          <w:szCs w:val="28"/>
        </w:rPr>
        <w:t xml:space="preserve">Prepared for Steve Hall</w:t>
      </w:r>
    </w:p>
    <w:p>
      <w:pPr>
        <w:spacing w:after="60"/>
      </w:pPr>
      <w:r>
        <w:rPr>
          <w:rFonts w:ascii="Khula" w:cs="Khula" w:eastAsia="Khula" w:hAnsi="Khula"/>
          <w:color w:val="666666"/>
          <w:sz w:val="24"/>
          <w:szCs w:val="24"/>
        </w:rPr>
        <w:t xml:space="preserve">February 2026</w:t>
      </w:r>
    </w:p>
    <w:p>
      <w:pPr>
        <w:spacing w:before="600" w:after="600"/>
      </w:pPr>
    </w:p>
    <w:p>
      <w:pPr>
        <w:pBdr>
          <w:top w:val="single" w:color="5BC2A7" w:sz="6" w:space="12"/>
        </w:pBdr>
      </w:pPr>
    </w:p>
    <w:p>
      <w:pPr>
        <w:spacing w:before="80" w:after="80"/>
      </w:pPr>
    </w:p>
    <w:p>
      <w:r>
        <w:rPr>
          <w:rFonts w:ascii="Poppins" w:cs="Poppins" w:eastAsia="Poppins" w:hAnsi="Poppins"/>
          <w:b/>
          <w:bCs/>
          <w:color w:val="F5BB41"/>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Bdr>
          <w:bottom w:val="single" w:color="005596" w:sz="3" w:space="6"/>
        </w:pBdr>
        <w:spacing w:before="360" w:after="60"/>
      </w:pPr>
      <w:r>
        <w:rPr>
          <w:rFonts w:ascii="Poppins" w:cs="Poppins" w:eastAsia="Poppins" w:hAnsi="Poppins"/>
          <w:b/>
          <w:bCs/>
          <w:color w:val="005596"/>
          <w:sz w:val="36"/>
          <w:szCs w:val="36"/>
        </w:rPr>
        <w:t xml:space="preserve">Executive Summary</w:t>
      </w:r>
    </w:p>
    <w:p>
      <w:pPr>
        <w:spacing w:before="60" w:after="60"/>
      </w:pPr>
    </w:p>
    <w:p>
      <w:pPr>
        <w:spacing w:before="60" w:after="80" w:line="312"/>
      </w:pPr>
      <w:r>
        <w:rPr>
          <w:rFonts w:ascii="Khula" w:cs="Khula" w:eastAsia="Khula" w:hAnsi="Khula"/>
          <w:color w:val="333333"/>
          <w:sz w:val="22"/>
          <w:szCs w:val="22"/>
        </w:rPr>
        <w:t xml:space="preserve">This plan outlines a phased AI implementation strategy for Steve Hall’s portfolio of businesses, including automotive dealerships (Denver Bentley, Honda of Paris), an auto finance company, and his foundation’s content operations. The approach delivers immediate productivity wins while building toward sophisticated strategic agents.</w:t>
      </w:r>
    </w:p>
    <w:p>
      <w:pPr>
        <w:spacing w:before="60" w:after="80" w:line="312"/>
      </w:pPr>
      <w:r>
        <w:rPr>
          <w:rFonts w:ascii="Khula" w:cs="Khula" w:eastAsia="Khula" w:hAnsi="Khula"/>
          <w:color w:val="333333"/>
          <w:sz w:val="22"/>
          <w:szCs w:val="22"/>
        </w:rPr>
        <w:t xml:space="preserve">The baseline platform is the “Improving Executive System” (IES)—a proven AI-powered executive operating system. It connects to email, calendar, task management, and documents to create a unified command center. Each phase extends this foundation with domain-specific agents and data integrations.</w:t>
      </w:r>
    </w:p>
    <w:p>
      <w:pPr>
        <w:spacing w:before="60" w:after="80" w:line="312"/>
      </w:pPr>
      <w:r>
        <w:rPr>
          <w:rFonts w:ascii="Khula" w:cs="Khula" w:eastAsia="Khula" w:hAnsi="Khula"/>
          <w:color w:val="333333"/>
          <w:sz w:val="22"/>
          <w:szCs w:val="22"/>
        </w:rPr>
        <w:t xml:space="preserve">Steve’s existing Google Workspace environment (Gmail, Google Calendar, Google Drive) provides a strong integration foundation, reducing Phase 0 discovery scope and accelerating the initial deployment.</w:t>
      </w:r>
    </w:p>
    <w:p>
      <w:pPr>
        <w:spacing w:before="60" w:after="60"/>
      </w:pPr>
    </w:p>
    <w:p>
      <w:pPr>
        <w:pStyle w:val="Heading2"/>
        <w:spacing w:before="280" w:after="120"/>
      </w:pPr>
      <w:r>
        <w:rPr>
          <w:rFonts w:ascii="Poppins" w:cs="Poppins" w:eastAsia="Poppins" w:hAnsi="Poppins"/>
          <w:b/>
          <w:bCs/>
          <w:color w:val="2C3E50"/>
          <w:sz w:val="26"/>
          <w:szCs w:val="26"/>
        </w:rPr>
        <w:t xml:space="preserve">At a Glance</w:t>
      </w:r>
    </w:p>
    <w:p>
      <w:pPr>
        <w:pStyle w:val="ListParagraph"/>
        <w:numPr>
          <w:ilvl w:val="0"/>
          <w:numId w:val="2"/>
        </w:numPr>
        <w:spacing w:before="40" w:after="40" w:line="300"/>
      </w:pPr>
      <w:r>
        <w:rPr>
          <w:rFonts w:ascii="Khula" w:cs="Khula" w:eastAsia="Khula" w:hAnsi="Khula"/>
          <w:b/>
          <w:bCs/>
          <w:color w:val="2C3E50"/>
          <w:sz w:val="22"/>
          <w:szCs w:val="22"/>
        </w:rPr>
        <w:t xml:space="preserve">12 use cases </w:t>
      </w:r>
      <w:r>
        <w:rPr>
          <w:rFonts w:ascii="Khula" w:cs="Khula" w:eastAsia="Khula" w:hAnsi="Khula"/>
          <w:color w:val="333333"/>
          <w:sz w:val="22"/>
          <w:szCs w:val="22"/>
        </w:rPr>
        <w:t xml:space="preserve">identified across Steve’s portfolio</w:t>
      </w:r>
    </w:p>
    <w:p>
      <w:pPr>
        <w:pStyle w:val="ListParagraph"/>
        <w:numPr>
          <w:ilvl w:val="0"/>
          <w:numId w:val="2"/>
        </w:numPr>
        <w:spacing w:before="40" w:after="40" w:line="300"/>
      </w:pPr>
      <w:r>
        <w:rPr>
          <w:rFonts w:ascii="Khula" w:cs="Khula" w:eastAsia="Khula" w:hAnsi="Khula"/>
          <w:b/>
          <w:bCs/>
          <w:color w:val="2C3E50"/>
          <w:sz w:val="22"/>
          <w:szCs w:val="22"/>
        </w:rPr>
        <w:t xml:space="preserve">5 phases </w:t>
      </w:r>
      <w:r>
        <w:rPr>
          <w:rFonts w:ascii="Khula" w:cs="Khula" w:eastAsia="Khula" w:hAnsi="Khula"/>
          <w:color w:val="333333"/>
          <w:sz w:val="22"/>
          <w:szCs w:val="22"/>
        </w:rPr>
        <w:t xml:space="preserve">ordered simplest to most complex</w:t>
      </w:r>
    </w:p>
    <w:p>
      <w:pPr>
        <w:pStyle w:val="ListParagraph"/>
        <w:numPr>
          <w:ilvl w:val="0"/>
          <w:numId w:val="2"/>
        </w:numPr>
        <w:spacing w:before="40" w:after="40" w:line="300"/>
      </w:pPr>
      <w:r>
        <w:rPr>
          <w:rFonts w:ascii="Khula" w:cs="Khula" w:eastAsia="Khula" w:hAnsi="Khula"/>
          <w:b/>
          <w:bCs/>
          <w:color w:val="2C3E50"/>
          <w:sz w:val="22"/>
          <w:szCs w:val="22"/>
        </w:rPr>
        <w:t xml:space="preserve">Google Workspace </w:t>
      </w:r>
      <w:r>
        <w:rPr>
          <w:rFonts w:ascii="Khula" w:cs="Khula" w:eastAsia="Khula" w:hAnsi="Khula"/>
          <w:color w:val="333333"/>
          <w:sz w:val="22"/>
          <w:szCs w:val="22"/>
        </w:rPr>
        <w:t xml:space="preserve">already established as the core platform—reduces integration effort</w:t>
      </w:r>
    </w:p>
    <w:p>
      <w:pPr>
        <w:pStyle w:val="ListParagraph"/>
        <w:numPr>
          <w:ilvl w:val="0"/>
          <w:numId w:val="2"/>
        </w:numPr>
        <w:spacing w:before="40" w:after="40" w:line="300"/>
      </w:pPr>
      <w:r>
        <w:rPr>
          <w:rFonts w:ascii="Khula" w:cs="Khula" w:eastAsia="Khula" w:hAnsi="Khula"/>
          <w:b/>
          <w:bCs/>
          <w:color w:val="2C3E50"/>
          <w:sz w:val="22"/>
          <w:szCs w:val="22"/>
        </w:rPr>
        <w:t xml:space="preserve">Phase 0 (Data Discovery) </w:t>
      </w:r>
      <w:r>
        <w:rPr>
          <w:rFonts w:ascii="Khula" w:cs="Khula" w:eastAsia="Khula" w:hAnsi="Khula"/>
          <w:color w:val="333333"/>
          <w:sz w:val="22"/>
          <w:szCs w:val="22"/>
        </w:rPr>
        <w:t xml:space="preserve">maps business-specific systems beyond Google</w:t>
      </w:r>
    </w:p>
    <w:p>
      <w:pPr>
        <w:pStyle w:val="ListParagraph"/>
        <w:numPr>
          <w:ilvl w:val="0"/>
          <w:numId w:val="2"/>
        </w:numPr>
        <w:spacing w:before="40" w:after="40" w:line="300"/>
      </w:pPr>
      <w:r>
        <w:rPr>
          <w:rFonts w:ascii="Khula" w:cs="Khula" w:eastAsia="Khula" w:hAnsi="Khula"/>
          <w:b/>
          <w:bCs/>
          <w:color w:val="2C3E50"/>
          <w:sz w:val="22"/>
          <w:szCs w:val="22"/>
        </w:rPr>
        <w:t xml:space="preserve">Custom connectors and tooling </w:t>
      </w:r>
      <w:r>
        <w:rPr>
          <w:rFonts w:ascii="Khula" w:cs="Khula" w:eastAsia="Khula" w:hAnsi="Khula"/>
          <w:color w:val="333333"/>
          <w:sz w:val="22"/>
          <w:szCs w:val="22"/>
        </w:rPr>
        <w:t xml:space="preserve">required for DMS, financial systems, and market data</w:t>
      </w:r>
    </w:p>
    <w:p>
      <w:pPr>
        <w:pStyle w:val="ListParagraph"/>
        <w:numPr>
          <w:ilvl w:val="0"/>
          <w:numId w:val="2"/>
        </w:numPr>
        <w:spacing w:before="40" w:after="40" w:line="300"/>
      </w:pPr>
      <w:r>
        <w:rPr>
          <w:rFonts w:ascii="Khula" w:cs="Khula" w:eastAsia="Khula" w:hAnsi="Khula"/>
          <w:b/>
          <w:bCs/>
          <w:color w:val="2C3E50"/>
          <w:sz w:val="22"/>
          <w:szCs w:val="22"/>
        </w:rPr>
        <w:t xml:space="preserve">3–4 weeks total </w:t>
      </w:r>
      <w:r>
        <w:rPr>
          <w:rFonts w:ascii="Khula" w:cs="Khula" w:eastAsia="Khula" w:hAnsi="Khula"/>
          <w:color w:val="333333"/>
          <w:sz w:val="22"/>
          <w:szCs w:val="22"/>
        </w:rPr>
        <w:t xml:space="preserve">with parallel execution across phases</w:t>
      </w:r>
    </w:p>
    <w:p>
      <w:pPr>
        <w:pStyle w:val="ListParagraph"/>
        <w:numPr>
          <w:ilvl w:val="0"/>
          <w:numId w:val="2"/>
        </w:numPr>
        <w:spacing w:before="40" w:after="40" w:line="300"/>
      </w:pPr>
      <w:r>
        <w:rPr>
          <w:rFonts w:ascii="Khula" w:cs="Khula" w:eastAsia="Khula" w:hAnsi="Khula"/>
          <w:b/>
          <w:bCs/>
          <w:color w:val="2C3E50"/>
          <w:sz w:val="22"/>
          <w:szCs w:val="22"/>
        </w:rPr>
        <w:t xml:space="preserve">Standalone value each phase </w:t>
      </w:r>
      <w:r>
        <w:rPr>
          <w:rFonts w:ascii="Khula" w:cs="Khula" w:eastAsia="Khula" w:hAnsi="Khula"/>
          <w:color w:val="333333"/>
          <w:sz w:val="22"/>
          <w:szCs w:val="22"/>
        </w:rPr>
        <w:t xml:space="preserve">— Steve sees ROI from the first few days</w:t>
      </w:r>
    </w:p>
    <w:p>
      <w:r>
        <w:br w:type="page"/>
      </w:r>
    </w:p>
    <w:p>
      <w:pPr>
        <w:pStyle w:val="Heading1"/>
        <w:pBdr>
          <w:bottom w:val="single" w:color="005596" w:sz="3" w:space="6"/>
        </w:pBdr>
        <w:spacing w:before="360" w:after="60"/>
      </w:pPr>
      <w:r>
        <w:rPr>
          <w:rFonts w:ascii="Poppins" w:cs="Poppins" w:eastAsia="Poppins" w:hAnsi="Poppins"/>
          <w:b/>
          <w:bCs/>
          <w:color w:val="005596"/>
          <w:sz w:val="36"/>
          <w:szCs w:val="36"/>
        </w:rPr>
        <w:t xml:space="preserve">Phase 0: Data Discovery &amp; Integration Architecture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single" w:color="005596" w:sz="1"/>
              <w:left w:val="single" w:color="005596" w:sz="1"/>
              <w:bottom w:val="single" w:color="005596" w:sz="1"/>
              <w:right w:val="single" w:color="005596" w:sz="1"/>
            </w:tcBorders>
            <w:shd w:fill="005596" w:val="clear"/>
            <w:tcMar>
              <w:top w:type="dxa" w:w="100"/>
              <w:left w:type="dxa" w:w="160"/>
              <w:bottom w:type="dxa" w:w="100"/>
              <w:right w:type="dxa" w:w="120"/>
            </w:tcMar>
          </w:tcPr>
          <w:p>
            <w:r>
              <w:rPr>
                <w:rFonts w:ascii="Poppins" w:cs="Poppins" w:eastAsia="Poppins" w:hAnsi="Poppins"/>
                <w:b/>
                <w:bCs/>
                <w:color w:val="FFFFFF"/>
                <w:sz w:val="24"/>
                <w:szCs w:val="24"/>
              </w:rPr>
              <w:t xml:space="preserve">Phase 0: </w:t>
            </w:r>
            <w:r>
              <w:rPr>
                <w:rFonts w:ascii="Poppins" w:cs="Poppins" w:eastAsia="Poppins" w:hAnsi="Poppins"/>
                <w:color w:val="FFFFFF"/>
                <w:sz w:val="24"/>
                <w:szCs w:val="24"/>
              </w:rPr>
              <w:t xml:space="preserve">Data Discovery</w:t>
            </w:r>
          </w:p>
        </w:tc>
        <w:tc>
          <w:tcPr>
            <w:tcW w:type="dxa" w:w="3560"/>
            <w:tcBorders>
              <w:top w:val="single" w:color="005596" w:sz="1"/>
              <w:left w:val="single" w:color="005596" w:sz="1"/>
              <w:bottom w:val="single" w:color="005596" w:sz="1"/>
              <w:right w:val="single" w:color="005596" w:sz="1"/>
            </w:tcBorders>
            <w:shd w:fill="4597D3" w:val="clear"/>
            <w:tcMar>
              <w:top w:type="dxa" w:w="100"/>
              <w:left w:type="dxa" w:w="120"/>
              <w:bottom w:type="dxa" w:w="100"/>
              <w:right w:type="dxa" w:w="160"/>
            </w:tcMar>
          </w:tcPr>
          <w:p>
            <w:pPr>
              <w:jc w:val="right"/>
            </w:pPr>
            <w:r>
              <w:rPr>
                <w:rFonts w:ascii="Khula" w:cs="Khula" w:eastAsia="Khula" w:hAnsi="Khula"/>
                <w:b/>
                <w:bCs/>
                <w:color w:val="FFFFFF"/>
                <w:sz w:val="20"/>
                <w:szCs w:val="20"/>
              </w:rPr>
              <w:t xml:space="preserve">Days 1–4 | Foundation</w:t>
            </w:r>
          </w:p>
        </w:tc>
      </w:tr>
    </w:tbl>
    <w:p>
      <w:pPr>
        <w:spacing w:before="120" w:after="120"/>
      </w:pPr>
    </w:p>
    <w:p>
      <w:pPr>
        <w:spacing w:before="60" w:after="80" w:line="312"/>
      </w:pPr>
      <w:r>
        <w:rPr>
          <w:rFonts w:ascii="Khula" w:cs="Khula" w:eastAsia="Khula" w:hAnsi="Khula"/>
          <w:color w:val="333333"/>
          <w:sz w:val="22"/>
          <w:szCs w:val="22"/>
        </w:rPr>
        <w:t xml:space="preserve">Before building any agents, we need to understand where Steve’s data lives beyond Google Workspace—specifically business-specific systems, financial platforms, and market data sources. Google integrations (Gmail, Calendar, Drive) are already solved; this phase focuses on the gaps.</w:t>
      </w:r>
    </w:p>
    <w:p>
      <w:pPr>
        <w:pStyle w:val="Heading2"/>
        <w:spacing w:before="280" w:after="120"/>
      </w:pPr>
      <w:r>
        <w:rPr>
          <w:rFonts w:ascii="Poppins" w:cs="Poppins" w:eastAsia="Poppins" w:hAnsi="Poppins"/>
          <w:b/>
          <w:bCs/>
          <w:color w:val="2C3E50"/>
          <w:sz w:val="26"/>
          <w:szCs w:val="26"/>
        </w:rPr>
        <w:t xml:space="preserve">Objectives</w:t>
      </w:r>
    </w:p>
    <w:p>
      <w:pPr>
        <w:pStyle w:val="ListParagraph"/>
        <w:numPr>
          <w:ilvl w:val="0"/>
          <w:numId w:val="2"/>
        </w:numPr>
        <w:spacing w:before="40" w:after="40" w:line="300"/>
      </w:pPr>
      <w:r>
        <w:rPr>
          <w:rFonts w:ascii="Khula" w:cs="Khula" w:eastAsia="Khula" w:hAnsi="Khula"/>
          <w:color w:val="333333"/>
          <w:sz w:val="22"/>
          <w:szCs w:val="22"/>
        </w:rPr>
        <w:t xml:space="preserve">Map all data sources across portfolio companies and personal operations</w:t>
      </w:r>
    </w:p>
    <w:p>
      <w:pPr>
        <w:pStyle w:val="ListParagraph"/>
        <w:numPr>
          <w:ilvl w:val="0"/>
          <w:numId w:val="2"/>
        </w:numPr>
        <w:spacing w:before="40" w:after="40" w:line="300"/>
      </w:pPr>
      <w:r>
        <w:rPr>
          <w:rFonts w:ascii="Khula" w:cs="Khula" w:eastAsia="Khula" w:hAnsi="Khula"/>
          <w:color w:val="333333"/>
          <w:sz w:val="22"/>
          <w:szCs w:val="22"/>
        </w:rPr>
        <w:t xml:space="preserve">Assess API availability, authentication methods, and data formats</w:t>
      </w:r>
    </w:p>
    <w:p>
      <w:pPr>
        <w:pStyle w:val="ListParagraph"/>
        <w:numPr>
          <w:ilvl w:val="0"/>
          <w:numId w:val="2"/>
        </w:numPr>
        <w:spacing w:before="40" w:after="40" w:line="300"/>
      </w:pPr>
      <w:r>
        <w:rPr>
          <w:rFonts w:ascii="Khula" w:cs="Khula" w:eastAsia="Khula" w:hAnsi="Khula"/>
          <w:color w:val="333333"/>
          <w:sz w:val="22"/>
          <w:szCs w:val="22"/>
        </w:rPr>
        <w:t xml:space="preserve">Identify gaps where custom connectors or ETL pipelines are needed</w:t>
      </w:r>
    </w:p>
    <w:p>
      <w:pPr>
        <w:pStyle w:val="ListParagraph"/>
        <w:numPr>
          <w:ilvl w:val="0"/>
          <w:numId w:val="2"/>
        </w:numPr>
        <w:spacing w:before="40" w:after="40" w:line="300"/>
      </w:pPr>
      <w:r>
        <w:rPr>
          <w:rFonts w:ascii="Khula" w:cs="Khula" w:eastAsia="Khula" w:hAnsi="Khula"/>
          <w:color w:val="333333"/>
          <w:sz w:val="22"/>
          <w:szCs w:val="22"/>
        </w:rPr>
        <w:t xml:space="preserve">Establish secure data access architecture with appropriate permissions</w:t>
      </w:r>
    </w:p>
    <w:p>
      <w:pPr>
        <w:pStyle w:val="ListParagraph"/>
        <w:numPr>
          <w:ilvl w:val="0"/>
          <w:numId w:val="2"/>
        </w:numPr>
        <w:spacing w:before="40" w:after="40" w:line="300"/>
      </w:pPr>
      <w:r>
        <w:rPr>
          <w:rFonts w:ascii="Khula" w:cs="Khula" w:eastAsia="Khula" w:hAnsi="Khula"/>
          <w:color w:val="333333"/>
          <w:sz w:val="22"/>
          <w:szCs w:val="22"/>
        </w:rPr>
        <w:t xml:space="preserve">Produce a Data Landscape Map and Integration Roadmap</w:t>
      </w:r>
    </w:p>
    <w:p>
      <w:pPr>
        <w:pStyle w:val="Heading2"/>
        <w:spacing w:before="280" w:after="120"/>
      </w:pPr>
      <w:r>
        <w:rPr>
          <w:rFonts w:ascii="Poppins" w:cs="Poppins" w:eastAsia="Poppins" w:hAnsi="Poppins"/>
          <w:b/>
          <w:bCs/>
          <w:color w:val="2C3E50"/>
          <w:sz w:val="26"/>
          <w:szCs w:val="26"/>
        </w:rPr>
        <w:t xml:space="preserve">Discovery Areas</w:t>
      </w:r>
    </w:p>
    <w:p>
      <w:pPr>
        <w:spacing w:before="200" w:after="80"/>
      </w:pPr>
      <w:r>
        <w:rPr>
          <w:rFonts w:ascii="Poppins" w:cs="Poppins" w:eastAsia="Poppins" w:hAnsi="Poppins"/>
          <w:b/>
          <w:bCs/>
          <w:color w:val="4597D3"/>
          <w:sz w:val="22"/>
          <w:szCs w:val="22"/>
        </w:rPr>
        <w:t xml:space="preserve">Already Established (Google Workspace)</w:t>
      </w:r>
    </w:p>
    <w:p>
      <w:pPr>
        <w:pStyle w:val="ListParagraph"/>
        <w:numPr>
          <w:ilvl w:val="0"/>
          <w:numId w:val="2"/>
        </w:numPr>
        <w:spacing w:before="40" w:after="40" w:line="300"/>
      </w:pPr>
      <w:r>
        <w:rPr>
          <w:rFonts w:ascii="Khula" w:cs="Khula" w:eastAsia="Khula" w:hAnsi="Khula"/>
          <w:color w:val="333333"/>
          <w:sz w:val="22"/>
          <w:szCs w:val="22"/>
        </w:rPr>
        <w:t xml:space="preserve">Gmail — email integration, sent mail corpus for voice training</w:t>
      </w:r>
    </w:p>
    <w:p>
      <w:pPr>
        <w:pStyle w:val="ListParagraph"/>
        <w:numPr>
          <w:ilvl w:val="0"/>
          <w:numId w:val="2"/>
        </w:numPr>
        <w:spacing w:before="40" w:after="40" w:line="300"/>
      </w:pPr>
      <w:r>
        <w:rPr>
          <w:rFonts w:ascii="Khula" w:cs="Khula" w:eastAsia="Khula" w:hAnsi="Khula"/>
          <w:color w:val="333333"/>
          <w:sz w:val="22"/>
          <w:szCs w:val="22"/>
        </w:rPr>
        <w:t xml:space="preserve">Google Calendar — scheduling, meeting context, availability</w:t>
      </w:r>
    </w:p>
    <w:p>
      <w:pPr>
        <w:pStyle w:val="ListParagraph"/>
        <w:numPr>
          <w:ilvl w:val="0"/>
          <w:numId w:val="2"/>
        </w:numPr>
        <w:spacing w:before="40" w:after="40" w:line="300"/>
      </w:pPr>
      <w:r>
        <w:rPr>
          <w:rFonts w:ascii="Khula" w:cs="Khula" w:eastAsia="Khula" w:hAnsi="Khula"/>
          <w:color w:val="333333"/>
          <w:sz w:val="22"/>
          <w:szCs w:val="22"/>
        </w:rPr>
        <w:t xml:space="preserve">Google Drive — document storage, board decks, strategic briefs</w:t>
      </w:r>
    </w:p>
    <w:p>
      <w:pPr>
        <w:pStyle w:val="ListParagraph"/>
        <w:numPr>
          <w:ilvl w:val="0"/>
          <w:numId w:val="2"/>
        </w:numPr>
        <w:spacing w:before="40" w:after="40" w:line="300"/>
      </w:pPr>
      <w:r>
        <w:rPr>
          <w:rFonts w:ascii="Khula" w:cs="Khula" w:eastAsia="Khula" w:hAnsi="Khula"/>
          <w:color w:val="333333"/>
          <w:sz w:val="22"/>
          <w:szCs w:val="22"/>
        </w:rPr>
        <w:t xml:space="preserve">Google Contacts — relationship mapping, communication patterns</w:t>
      </w:r>
    </w:p>
    <w:p>
      <w:pPr>
        <w:spacing w:before="200" w:after="80"/>
      </w:pPr>
      <w:r>
        <w:rPr>
          <w:rFonts w:ascii="Poppins" w:cs="Poppins" w:eastAsia="Poppins" w:hAnsi="Poppins"/>
          <w:b/>
          <w:bCs/>
          <w:color w:val="4597D3"/>
          <w:sz w:val="22"/>
          <w:szCs w:val="22"/>
        </w:rPr>
        <w:t xml:space="preserve">Business &amp; Financial Systems (Discovery Needed)</w:t>
      </w:r>
    </w:p>
    <w:p>
      <w:pPr>
        <w:pStyle w:val="ListParagraph"/>
        <w:numPr>
          <w:ilvl w:val="0"/>
          <w:numId w:val="2"/>
        </w:numPr>
        <w:spacing w:before="40" w:after="40" w:line="300"/>
      </w:pPr>
      <w:r>
        <w:rPr>
          <w:rFonts w:ascii="Khula" w:cs="Khula" w:eastAsia="Khula" w:hAnsi="Khula"/>
          <w:color w:val="333333"/>
          <w:sz w:val="22"/>
          <w:szCs w:val="22"/>
        </w:rPr>
        <w:t xml:space="preserve">Dealer Management System (DMS)—which platform? Reynolds &amp; Reynolds, CDK, Tekion?</w:t>
      </w:r>
    </w:p>
    <w:p>
      <w:pPr>
        <w:pStyle w:val="ListParagraph"/>
        <w:numPr>
          <w:ilvl w:val="0"/>
          <w:numId w:val="2"/>
        </w:numPr>
        <w:spacing w:before="40" w:after="40" w:line="300"/>
      </w:pPr>
      <w:r>
        <w:rPr>
          <w:rFonts w:ascii="Khula" w:cs="Khula" w:eastAsia="Khula" w:hAnsi="Khula"/>
          <w:color w:val="333333"/>
          <w:sz w:val="22"/>
          <w:szCs w:val="22"/>
        </w:rPr>
        <w:t xml:space="preserve">Accounting/ERP systems across dealerships and auto finance company</w:t>
      </w:r>
    </w:p>
    <w:p>
      <w:pPr>
        <w:pStyle w:val="ListParagraph"/>
        <w:numPr>
          <w:ilvl w:val="0"/>
          <w:numId w:val="2"/>
        </w:numPr>
        <w:spacing w:before="40" w:after="40" w:line="300"/>
      </w:pPr>
      <w:r>
        <w:rPr>
          <w:rFonts w:ascii="Khula" w:cs="Khula" w:eastAsia="Khula" w:hAnsi="Khula"/>
          <w:color w:val="333333"/>
          <w:sz w:val="22"/>
          <w:szCs w:val="22"/>
        </w:rPr>
        <w:t xml:space="preserve">Auto finance loan management and portfolio systems</w:t>
      </w:r>
    </w:p>
    <w:p>
      <w:pPr>
        <w:pStyle w:val="ListParagraph"/>
        <w:numPr>
          <w:ilvl w:val="0"/>
          <w:numId w:val="2"/>
        </w:numPr>
        <w:spacing w:before="40" w:after="40" w:line="300"/>
      </w:pPr>
      <w:r>
        <w:rPr>
          <w:rFonts w:ascii="Khula" w:cs="Khula" w:eastAsia="Khula" w:hAnsi="Khula"/>
          <w:color w:val="333333"/>
          <w:sz w:val="22"/>
          <w:szCs w:val="22"/>
        </w:rPr>
        <w:t xml:space="preserve">Acquisition target financial data—how is it received and stored?</w:t>
      </w:r>
    </w:p>
    <w:p>
      <w:pPr>
        <w:spacing w:before="200" w:after="80"/>
      </w:pPr>
      <w:r>
        <w:rPr>
          <w:rFonts w:ascii="Poppins" w:cs="Poppins" w:eastAsia="Poppins" w:hAnsi="Poppins"/>
          <w:b/>
          <w:bCs/>
          <w:color w:val="4597D3"/>
          <w:sz w:val="22"/>
          <w:szCs w:val="22"/>
        </w:rPr>
        <w:t xml:space="preserve">Market &amp; Intelligence Data</w:t>
      </w:r>
    </w:p>
    <w:p>
      <w:pPr>
        <w:pStyle w:val="ListParagraph"/>
        <w:numPr>
          <w:ilvl w:val="0"/>
          <w:numId w:val="2"/>
        </w:numPr>
        <w:spacing w:before="40" w:after="40" w:line="300"/>
      </w:pPr>
      <w:r>
        <w:rPr>
          <w:rFonts w:ascii="Khula" w:cs="Khula" w:eastAsia="Khula" w:hAnsi="Khula"/>
          <w:color w:val="333333"/>
          <w:sz w:val="22"/>
          <w:szCs w:val="22"/>
        </w:rPr>
        <w:t xml:space="preserve">Quarterly earnings call sources (SEC EDGAR, Bloomberg, FactSet?)</w:t>
      </w:r>
    </w:p>
    <w:p>
      <w:pPr>
        <w:pStyle w:val="ListParagraph"/>
        <w:numPr>
          <w:ilvl w:val="0"/>
          <w:numId w:val="2"/>
        </w:numPr>
        <w:spacing w:before="40" w:after="40" w:line="300"/>
      </w:pPr>
      <w:r>
        <w:rPr>
          <w:rFonts w:ascii="Khula" w:cs="Khula" w:eastAsia="Khula" w:hAnsi="Khula"/>
          <w:color w:val="333333"/>
          <w:sz w:val="22"/>
          <w:szCs w:val="22"/>
        </w:rPr>
        <w:t xml:space="preserve">Automotive market data feeds (NADA, Kelley Blue Book, Cox Automotive?)</w:t>
      </w:r>
    </w:p>
    <w:p>
      <w:pPr>
        <w:pStyle w:val="ListParagraph"/>
        <w:numPr>
          <w:ilvl w:val="0"/>
          <w:numId w:val="2"/>
        </w:numPr>
        <w:spacing w:before="40" w:after="40" w:line="300"/>
      </w:pPr>
      <w:r>
        <w:rPr>
          <w:rFonts w:ascii="Khula" w:cs="Khula" w:eastAsia="Khula" w:hAnsi="Khula"/>
          <w:color w:val="333333"/>
          <w:sz w:val="22"/>
          <w:szCs w:val="22"/>
        </w:rPr>
        <w:t xml:space="preserve">Interest rate and economic data sources</w:t>
      </w:r>
    </w:p>
    <w:p>
      <w:pPr>
        <w:pStyle w:val="ListParagraph"/>
        <w:numPr>
          <w:ilvl w:val="0"/>
          <w:numId w:val="2"/>
        </w:numPr>
        <w:spacing w:before="40" w:after="40" w:line="300"/>
      </w:pPr>
      <w:r>
        <w:rPr>
          <w:rFonts w:ascii="Khula" w:cs="Khula" w:eastAsia="Khula" w:hAnsi="Khula"/>
          <w:color w:val="333333"/>
          <w:sz w:val="22"/>
          <w:szCs w:val="22"/>
        </w:rPr>
        <w:t xml:space="preserve">Competitor tracking—Sonic, Lithia, others?</w:t>
      </w:r>
    </w:p>
    <w:p>
      <w:pPr>
        <w:spacing w:before="200" w:after="80"/>
      </w:pPr>
      <w:r>
        <w:rPr>
          <w:rFonts w:ascii="Poppins" w:cs="Poppins" w:eastAsia="Poppins" w:hAnsi="Poppins"/>
          <w:b/>
          <w:bCs/>
          <w:color w:val="4597D3"/>
          <w:sz w:val="22"/>
          <w:szCs w:val="22"/>
        </w:rPr>
        <w:t xml:space="preserve">Content &amp; Operations</w:t>
      </w:r>
    </w:p>
    <w:p>
      <w:pPr>
        <w:pStyle w:val="ListParagraph"/>
        <w:numPr>
          <w:ilvl w:val="0"/>
          <w:numId w:val="2"/>
        </w:numPr>
        <w:spacing w:before="40" w:after="40" w:line="300"/>
      </w:pPr>
      <w:r>
        <w:rPr>
          <w:rFonts w:ascii="Khula" w:cs="Khula" w:eastAsia="Khula" w:hAnsi="Khula"/>
          <w:color w:val="333333"/>
          <w:sz w:val="22"/>
          <w:szCs w:val="22"/>
        </w:rPr>
        <w:t xml:space="preserve">Foundation website and content platforms</w:t>
      </w:r>
    </w:p>
    <w:p>
      <w:pPr>
        <w:pStyle w:val="ListParagraph"/>
        <w:numPr>
          <w:ilvl w:val="0"/>
          <w:numId w:val="2"/>
        </w:numPr>
        <w:spacing w:before="40" w:after="40" w:line="300"/>
      </w:pPr>
      <w:r>
        <w:rPr>
          <w:rFonts w:ascii="Khula" w:cs="Khula" w:eastAsia="Khula" w:hAnsi="Khula"/>
          <w:color w:val="333333"/>
          <w:sz w:val="22"/>
          <w:szCs w:val="22"/>
        </w:rPr>
        <w:t xml:space="preserve">Event management tools for Wisdom Dinners</w:t>
      </w:r>
    </w:p>
    <w:p>
      <w:pPr>
        <w:pStyle w:val="ListParagraph"/>
        <w:numPr>
          <w:ilvl w:val="0"/>
          <w:numId w:val="2"/>
        </w:numPr>
        <w:spacing w:before="40" w:after="40" w:line="300"/>
      </w:pPr>
      <w:r>
        <w:rPr>
          <w:rFonts w:ascii="Khula" w:cs="Khula" w:eastAsia="Khula" w:hAnsi="Khula"/>
          <w:color w:val="333333"/>
          <w:sz w:val="22"/>
          <w:szCs w:val="22"/>
        </w:rPr>
        <w:t xml:space="preserve">Contractor communication for Dallas renovation</w:t>
      </w:r>
    </w:p>
    <w:p>
      <w:pPr>
        <w:pStyle w:val="Heading2"/>
        <w:spacing w:before="280" w:after="120"/>
      </w:pPr>
      <w:r>
        <w:rPr>
          <w:rFonts w:ascii="Poppins" w:cs="Poppins" w:eastAsia="Poppins" w:hAnsi="Poppins"/>
          <w:b/>
          <w:bCs/>
          <w:color w:val="2C3E50"/>
          <w:sz w:val="26"/>
          <w:szCs w:val="26"/>
        </w:rPr>
        <w:t xml:space="preserve">Deliverables</w:t>
      </w:r>
    </w:p>
    <w:p>
      <w:pPr>
        <w:pStyle w:val="ListParagraph"/>
        <w:numPr>
          <w:ilvl w:val="0"/>
          <w:numId w:val="2"/>
        </w:numPr>
        <w:spacing w:before="40" w:after="40" w:line="300"/>
      </w:pPr>
      <w:r>
        <w:rPr>
          <w:rFonts w:ascii="Khula" w:cs="Khula" w:eastAsia="Khula" w:hAnsi="Khula"/>
          <w:b/>
          <w:bCs/>
          <w:color w:val="2C3E50"/>
          <w:sz w:val="22"/>
          <w:szCs w:val="22"/>
        </w:rPr>
        <w:t xml:space="preserve">Data Landscape Map </w:t>
      </w:r>
      <w:r>
        <w:rPr>
          <w:rFonts w:ascii="Khula" w:cs="Khula" w:eastAsia="Khula" w:hAnsi="Khula"/>
          <w:color w:val="333333"/>
          <w:sz w:val="22"/>
          <w:szCs w:val="22"/>
        </w:rPr>
        <w:t xml:space="preserve">— visual diagram of all systems, data flows, and access methods</w:t>
      </w:r>
    </w:p>
    <w:p>
      <w:pPr>
        <w:pStyle w:val="ListParagraph"/>
        <w:numPr>
          <w:ilvl w:val="0"/>
          <w:numId w:val="2"/>
        </w:numPr>
        <w:spacing w:before="40" w:after="40" w:line="300"/>
      </w:pPr>
      <w:r>
        <w:rPr>
          <w:rFonts w:ascii="Khula" w:cs="Khula" w:eastAsia="Khula" w:hAnsi="Khula"/>
          <w:b/>
          <w:bCs/>
          <w:color w:val="2C3E50"/>
          <w:sz w:val="22"/>
          <w:szCs w:val="22"/>
        </w:rPr>
        <w:t xml:space="preserve">Integration Feasibility Matrix </w:t>
      </w:r>
      <w:r>
        <w:rPr>
          <w:rFonts w:ascii="Khula" w:cs="Khula" w:eastAsia="Khula" w:hAnsi="Khula"/>
          <w:color w:val="333333"/>
          <w:sz w:val="22"/>
          <w:szCs w:val="22"/>
        </w:rPr>
        <w:t xml:space="preserve">— each source rated by API availability, effort, and priority</w:t>
      </w:r>
    </w:p>
    <w:p>
      <w:pPr>
        <w:pStyle w:val="ListParagraph"/>
        <w:numPr>
          <w:ilvl w:val="0"/>
          <w:numId w:val="2"/>
        </w:numPr>
        <w:spacing w:before="40" w:after="40" w:line="300"/>
      </w:pPr>
      <w:r>
        <w:rPr>
          <w:rFonts w:ascii="Khula" w:cs="Khula" w:eastAsia="Khula" w:hAnsi="Khula"/>
          <w:b/>
          <w:bCs/>
          <w:color w:val="2C3E50"/>
          <w:sz w:val="22"/>
          <w:szCs w:val="22"/>
        </w:rPr>
        <w:t xml:space="preserve">Connector Development Backlog </w:t>
      </w:r>
      <w:r>
        <w:rPr>
          <w:rFonts w:ascii="Khula" w:cs="Khula" w:eastAsia="Khula" w:hAnsi="Khula"/>
          <w:color w:val="333333"/>
          <w:sz w:val="22"/>
          <w:szCs w:val="22"/>
        </w:rPr>
        <w:t xml:space="preserve">— prioritized list of custom integrations needed</w:t>
      </w:r>
    </w:p>
    <w:p>
      <w:pPr>
        <w:pStyle w:val="ListParagraph"/>
        <w:numPr>
          <w:ilvl w:val="0"/>
          <w:numId w:val="2"/>
        </w:numPr>
        <w:spacing w:before="40" w:after="40" w:line="300"/>
      </w:pPr>
      <w:r>
        <w:rPr>
          <w:rFonts w:ascii="Khula" w:cs="Khula" w:eastAsia="Khula" w:hAnsi="Khula"/>
          <w:b/>
          <w:bCs/>
          <w:color w:val="2C3E50"/>
          <w:sz w:val="22"/>
          <w:szCs w:val="22"/>
        </w:rPr>
        <w:t xml:space="preserve">Security &amp; Access Architecture </w:t>
      </w:r>
      <w:r>
        <w:rPr>
          <w:rFonts w:ascii="Khula" w:cs="Khula" w:eastAsia="Khula" w:hAnsi="Khula"/>
          <w:color w:val="333333"/>
          <w:sz w:val="22"/>
          <w:szCs w:val="22"/>
        </w:rPr>
        <w:t xml:space="preserve">— authentication strategy, data handling policies</w:t>
      </w:r>
    </w:p>
    <w:p>
      <w:r>
        <w:br w:type="page"/>
      </w:r>
    </w:p>
    <w:p>
      <w:pPr>
        <w:pStyle w:val="Heading1"/>
        <w:pBdr>
          <w:bottom w:val="single" w:color="005596" w:sz="3" w:space="6"/>
        </w:pBdr>
        <w:spacing w:before="360" w:after="60"/>
      </w:pPr>
      <w:r>
        <w:rPr>
          <w:rFonts w:ascii="Poppins" w:cs="Poppins" w:eastAsia="Poppins" w:hAnsi="Poppins"/>
          <w:b/>
          <w:bCs/>
          <w:color w:val="005596"/>
          <w:sz w:val="36"/>
          <w:szCs w:val="36"/>
        </w:rPr>
        <w:t xml:space="preserve">Phase 1: Executive Operating System Foundation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single" w:color="005596" w:sz="1"/>
              <w:left w:val="single" w:color="005596" w:sz="1"/>
              <w:bottom w:val="single" w:color="005596" w:sz="1"/>
              <w:right w:val="single" w:color="005596" w:sz="1"/>
            </w:tcBorders>
            <w:shd w:fill="005596" w:val="clear"/>
            <w:tcMar>
              <w:top w:type="dxa" w:w="100"/>
              <w:left w:type="dxa" w:w="160"/>
              <w:bottom w:type="dxa" w:w="100"/>
              <w:right w:type="dxa" w:w="120"/>
            </w:tcMar>
          </w:tcPr>
          <w:p>
            <w:r>
              <w:rPr>
                <w:rFonts w:ascii="Poppins" w:cs="Poppins" w:eastAsia="Poppins" w:hAnsi="Poppins"/>
                <w:b/>
                <w:bCs/>
                <w:color w:val="FFFFFF"/>
                <w:sz w:val="24"/>
                <w:szCs w:val="24"/>
              </w:rPr>
              <w:t xml:space="preserve">Phase 1: </w:t>
            </w:r>
            <w:r>
              <w:rPr>
                <w:rFonts w:ascii="Poppins" w:cs="Poppins" w:eastAsia="Poppins" w:hAnsi="Poppins"/>
                <w:color w:val="FFFFFF"/>
                <w:sz w:val="24"/>
                <w:szCs w:val="24"/>
              </w:rPr>
              <w:t xml:space="preserve">Executive OS</w:t>
            </w:r>
          </w:p>
        </w:tc>
        <w:tc>
          <w:tcPr>
            <w:tcW w:type="dxa" w:w="3560"/>
            <w:tcBorders>
              <w:top w:val="single" w:color="005596" w:sz="1"/>
              <w:left w:val="single" w:color="005596" w:sz="1"/>
              <w:bottom w:val="single" w:color="005596" w:sz="1"/>
              <w:right w:val="single" w:color="005596" w:sz="1"/>
            </w:tcBorders>
            <w:shd w:fill="4597D3" w:val="clear"/>
            <w:tcMar>
              <w:top w:type="dxa" w:w="100"/>
              <w:left w:type="dxa" w:w="120"/>
              <w:bottom w:type="dxa" w:w="100"/>
              <w:right w:type="dxa" w:w="160"/>
            </w:tcMar>
          </w:tcPr>
          <w:p>
            <w:pPr>
              <w:jc w:val="right"/>
            </w:pPr>
            <w:r>
              <w:rPr>
                <w:rFonts w:ascii="Khula" w:cs="Khula" w:eastAsia="Khula" w:hAnsi="Khula"/>
                <w:b/>
                <w:bCs/>
                <w:color w:val="FFFFFF"/>
                <w:sz w:val="20"/>
                <w:szCs w:val="20"/>
              </w:rPr>
              <w:t xml:space="preserve">Days 3–7 | Low Complexity</w:t>
            </w:r>
          </w:p>
        </w:tc>
      </w:tr>
    </w:tbl>
    <w:p>
      <w:pPr>
        <w:spacing w:before="120" w:after="120"/>
      </w:pPr>
    </w:p>
    <w:p>
      <w:pPr>
        <w:spacing w:before="60" w:after="80" w:line="312"/>
      </w:pPr>
      <w:r>
        <w:rPr>
          <w:rFonts w:ascii="Khula" w:cs="Khula" w:eastAsia="Khula" w:hAnsi="Khula"/>
          <w:color w:val="333333"/>
          <w:sz w:val="22"/>
          <w:szCs w:val="22"/>
        </w:rPr>
        <w:t xml:space="preserve">Stand up the core AI executive system—the “Steve Hall Command Center.” Built on Google Workspace integrations, this provides immediate daily value and becomes the platform for everything else.</w:t>
      </w:r>
    </w:p>
    <w:p>
      <w:pPr>
        <w:spacing w:before="60" w:after="60"/>
      </w:pPr>
    </w:p>
    <w:p>
      <w:pPr>
        <w:pStyle w:val="Heading2"/>
        <w:spacing w:before="280" w:after="120"/>
      </w:pPr>
      <w:r>
        <w:rPr>
          <w:rFonts w:ascii="Poppins" w:cs="Poppins" w:eastAsia="Poppins" w:hAnsi="Poppins"/>
          <w:b/>
          <w:bCs/>
          <w:color w:val="2C3E50"/>
          <w:sz w:val="26"/>
          <w:szCs w:val="26"/>
        </w:rPr>
        <w:t xml:space="preserve">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005596" w:sz="1"/>
              <w:left w:val="single" w:color="005596" w:sz="1"/>
              <w:bottom w:val="single" w:color="005596" w:sz="1"/>
              <w:right w:val="single" w:color="005596" w:sz="1"/>
            </w:tcBorders>
            <w:shd w:fill="005596" w:val="clear"/>
            <w:tcMar>
              <w:top w:type="dxa" w:w="60"/>
              <w:left w:type="dxa" w:w="120"/>
              <w:bottom w:type="dxa" w:w="60"/>
              <w:right w:type="dxa" w:w="120"/>
            </w:tcMar>
          </w:tcPr>
          <w:p>
            <w:r>
              <w:rPr>
                <w:rFonts w:ascii="Poppins" w:cs="Poppins" w:eastAsia="Poppins" w:hAnsi="Poppins"/>
                <w:b/>
                <w:bCs/>
                <w:color w:val="FFFFFF"/>
                <w:sz w:val="20"/>
                <w:szCs w:val="20"/>
              </w:rPr>
              <w:t xml:space="preserve">Use Case</w:t>
            </w:r>
          </w:p>
        </w:tc>
        <w:tc>
          <w:tcPr>
            <w:tcW w:type="dxa" w:w="4360"/>
            <w:tcBorders>
              <w:top w:val="single" w:color="005596" w:sz="1"/>
              <w:left w:val="single" w:color="005596" w:sz="1"/>
              <w:bottom w:val="single" w:color="005596" w:sz="1"/>
              <w:right w:val="single" w:color="005596" w:sz="1"/>
            </w:tcBorders>
            <w:shd w:fill="005596" w:val="clear"/>
            <w:tcMar>
              <w:top w:type="dxa" w:w="60"/>
              <w:left w:type="dxa" w:w="120"/>
              <w:bottom w:type="dxa" w:w="60"/>
              <w:right w:type="dxa" w:w="120"/>
            </w:tcMar>
          </w:tcPr>
          <w:p>
            <w:r>
              <w:rPr>
                <w:rFonts w:ascii="Poppins" w:cs="Poppins" w:eastAsia="Poppins" w:hAnsi="Poppins"/>
                <w:b/>
                <w:bCs/>
                <w:color w:val="FFFFFF"/>
                <w:sz w:val="20"/>
                <w:szCs w:val="20"/>
              </w:rPr>
              <w:t xml:space="preserve">Description</w:t>
            </w:r>
          </w:p>
        </w:tc>
        <w:tc>
          <w:tcPr>
            <w:tcW w:type="dxa" w:w="2400"/>
            <w:tcBorders>
              <w:top w:val="single" w:color="005596" w:sz="1"/>
              <w:left w:val="single" w:color="005596" w:sz="1"/>
              <w:bottom w:val="single" w:color="005596" w:sz="1"/>
              <w:right w:val="single" w:color="005596" w:sz="1"/>
            </w:tcBorders>
            <w:shd w:fill="005596" w:val="clear"/>
            <w:tcMar>
              <w:top w:type="dxa" w:w="60"/>
              <w:left w:type="dxa" w:w="120"/>
              <w:bottom w:type="dxa" w:w="60"/>
              <w:right w:type="dxa" w:w="120"/>
            </w:tcMar>
          </w:tcPr>
          <w:p>
            <w:r>
              <w:rPr>
                <w:rFonts w:ascii="Poppins" w:cs="Poppins" w:eastAsia="Poppins" w:hAnsi="Poppins"/>
                <w:b/>
                <w:bCs/>
                <w:color w:val="FFFFFF"/>
                <w:sz w:val="20"/>
                <w:szCs w:val="20"/>
              </w:rPr>
              <w:t xml:space="preserve">Data Required</w:t>
            </w:r>
          </w:p>
        </w:tc>
      </w:tr>
      <w:tr>
        <w:tc>
          <w:tcPr>
            <w:tcW w:type="dxa" w:w="260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Khula" w:cs="Khula" w:eastAsia="Khula" w:hAnsi="Khula"/>
                <w:b/>
                <w:bCs/>
                <w:color w:val="2C3E50"/>
                <w:sz w:val="20"/>
                <w:szCs w:val="20"/>
              </w:rPr>
              <w:t xml:space="preserve">Email Response Generation</w:t>
            </w:r>
          </w:p>
        </w:tc>
        <w:tc>
          <w:tcPr>
            <w:tcW w:type="dxa" w:w="436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pPr>
              <w:spacing w:line="260"/>
            </w:pPr>
            <w:r>
              <w:rPr>
                <w:rFonts w:ascii="Khula" w:cs="Khula" w:eastAsia="Khula" w:hAnsi="Khula"/>
                <w:color w:val="333333"/>
                <w:sz w:val="20"/>
                <w:szCs w:val="20"/>
              </w:rPr>
              <w:t xml:space="preserve">AI drafts email responses in Steve’s voice and tone. Reviews, edits, sends. Learns preferences over time.</w:t>
            </w:r>
          </w:p>
        </w:tc>
        <w:tc>
          <w:tcPr>
            <w:tcW w:type="dxa" w:w="240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pPr>
              <w:spacing w:line="260"/>
            </w:pPr>
            <w:r>
              <w:rPr>
                <w:rFonts w:ascii="Khula" w:cs="Khula" w:eastAsia="Khula" w:hAnsi="Khula"/>
                <w:color w:val="666666"/>
                <w:sz w:val="20"/>
                <w:szCs w:val="20"/>
              </w:rPr>
              <w:t xml:space="preserve">Gmail accounts, sent mail history for voice training</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Khula" w:cs="Khula" w:eastAsia="Khula" w:hAnsi="Khula"/>
                <w:b/>
                <w:bCs/>
                <w:color w:val="2C3E50"/>
                <w:sz w:val="20"/>
                <w:szCs w:val="20"/>
              </w:rPr>
              <w:t xml:space="preserve">To-Do Follow-Up</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60"/>
            </w:pPr>
            <w:r>
              <w:rPr>
                <w:rFonts w:ascii="Khula" w:cs="Khula" w:eastAsia="Khula" w:hAnsi="Khula"/>
                <w:color w:val="333333"/>
                <w:sz w:val="20"/>
                <w:szCs w:val="20"/>
              </w:rPr>
              <w:t xml:space="preserve">Tracks pending items, sends reminders, flags overdue tasks. Replaces manual list management.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60"/>
            </w:pPr>
            <w:r>
              <w:rPr>
                <w:rFonts w:ascii="Khula" w:cs="Khula" w:eastAsia="Khula" w:hAnsi="Khula"/>
                <w:color w:val="666666"/>
                <w:sz w:val="20"/>
                <w:szCs w:val="20"/>
              </w:rPr>
              <w:t xml:space="preserve">Current task lists, email commitments, calendar actions</w:t>
            </w:r>
          </w:p>
        </w:tc>
      </w:tr>
      <w:tr>
        <w:tc>
          <w:tcPr>
            <w:tcW w:type="dxa" w:w="260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Khula" w:cs="Khula" w:eastAsia="Khula" w:hAnsi="Khula"/>
                <w:b/>
                <w:bCs/>
                <w:color w:val="2C3E50"/>
                <w:sz w:val="20"/>
                <w:szCs w:val="20"/>
              </w:rPr>
              <w:t xml:space="preserve">Voice-to-Draft</w:t>
            </w:r>
          </w:p>
        </w:tc>
        <w:tc>
          <w:tcPr>
            <w:tcW w:type="dxa" w:w="436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pPr>
              <w:spacing w:line="260"/>
            </w:pPr>
            <w:r>
              <w:rPr>
                <w:rFonts w:ascii="Khula" w:cs="Khula" w:eastAsia="Khula" w:hAnsi="Khula"/>
                <w:color w:val="333333"/>
                <w:sz w:val="20"/>
                <w:szCs w:val="20"/>
              </w:rPr>
              <w:t xml:space="preserve">Dictate strategy thoughts via voice memo; AI produces polished first draft of white papers and memos.</w:t>
            </w:r>
          </w:p>
        </w:tc>
        <w:tc>
          <w:tcPr>
            <w:tcW w:type="dxa" w:w="240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pPr>
              <w:spacing w:line="260"/>
            </w:pPr>
            <w:r>
              <w:rPr>
                <w:rFonts w:ascii="Khula" w:cs="Khula" w:eastAsia="Khula" w:hAnsi="Khula"/>
                <w:color w:val="666666"/>
                <w:sz w:val="20"/>
                <w:szCs w:val="20"/>
              </w:rPr>
              <w:t xml:space="preserve">Voice recording input, document templates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Khula" w:cs="Khula" w:eastAsia="Khula" w:hAnsi="Khula"/>
                <w:b/>
                <w:bCs/>
                <w:color w:val="2C3E50"/>
                <w:sz w:val="20"/>
                <w:szCs w:val="20"/>
              </w:rPr>
              <w:t xml:space="preserve">Calendar &amp; Scheduling</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60"/>
            </w:pPr>
            <w:r>
              <w:rPr>
                <w:rFonts w:ascii="Khula" w:cs="Khula" w:eastAsia="Khula" w:hAnsi="Khula"/>
                <w:color w:val="333333"/>
                <w:sz w:val="20"/>
                <w:szCs w:val="20"/>
              </w:rPr>
              <w:t xml:space="preserve">Manages scheduling conflicts, meeting prep, morning briefings with day’s priorities.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60"/>
            </w:pPr>
            <w:r>
              <w:rPr>
                <w:rFonts w:ascii="Khula" w:cs="Khula" w:eastAsia="Khula" w:hAnsi="Khula"/>
                <w:color w:val="666666"/>
                <w:sz w:val="20"/>
                <w:szCs w:val="20"/>
              </w:rPr>
              <w:t xml:space="preserve">Google Calendar, contacts, meeting context</w:t>
            </w:r>
          </w:p>
        </w:tc>
      </w:tr>
    </w:tbl>
    <w:p>
      <w:pPr>
        <w:spacing w:before="120" w:after="120"/>
      </w:pPr>
    </w:p>
    <w:p>
      <w:pPr>
        <w:pStyle w:val="Heading2"/>
        <w:spacing w:before="280" w:after="120"/>
      </w:pPr>
      <w:r>
        <w:rPr>
          <w:rFonts w:ascii="Poppins" w:cs="Poppins" w:eastAsia="Poppins" w:hAnsi="Poppins"/>
          <w:b/>
          <w:bCs/>
          <w:color w:val="2C3E50"/>
          <w:sz w:val="26"/>
          <w:szCs w:val="26"/>
        </w:rPr>
        <w:t xml:space="preserve">Implementation Approach</w:t>
      </w:r>
    </w:p>
    <w:p>
      <w:pPr>
        <w:pStyle w:val="ListParagraph"/>
        <w:numPr>
          <w:ilvl w:val="0"/>
          <w:numId w:val="2"/>
        </w:numPr>
        <w:spacing w:before="40" w:after="40" w:line="300"/>
      </w:pPr>
      <w:r>
        <w:rPr>
          <w:rFonts w:ascii="Khula" w:cs="Khula" w:eastAsia="Khula" w:hAnsi="Khula"/>
          <w:color w:val="333333"/>
          <w:sz w:val="22"/>
          <w:szCs w:val="22"/>
        </w:rPr>
        <w:t xml:space="preserve">Deploy IES platform with Google Workspace integrations (Gmail, Calendar, Drive)</w:t>
      </w:r>
    </w:p>
    <w:p>
      <w:pPr>
        <w:pStyle w:val="ListParagraph"/>
        <w:numPr>
          <w:ilvl w:val="0"/>
          <w:numId w:val="2"/>
        </w:numPr>
        <w:spacing w:before="40" w:after="40" w:line="300"/>
      </w:pPr>
      <w:r>
        <w:rPr>
          <w:rFonts w:ascii="Khula" w:cs="Khula" w:eastAsia="Khula" w:hAnsi="Khula"/>
          <w:color w:val="333333"/>
          <w:sz w:val="22"/>
          <w:szCs w:val="22"/>
        </w:rPr>
        <w:t xml:space="preserve">Build voice capture workflow (phone dictation → transcription → AI draft)</w:t>
      </w:r>
    </w:p>
    <w:p>
      <w:pPr>
        <w:pStyle w:val="ListParagraph"/>
        <w:numPr>
          <w:ilvl w:val="0"/>
          <w:numId w:val="2"/>
        </w:numPr>
        <w:spacing w:before="40" w:after="40" w:line="300"/>
      </w:pPr>
      <w:r>
        <w:rPr>
          <w:rFonts w:ascii="Khula" w:cs="Khula" w:eastAsia="Khula" w:hAnsi="Khula"/>
          <w:color w:val="333333"/>
          <w:sz w:val="22"/>
          <w:szCs w:val="22"/>
        </w:rPr>
        <w:t xml:space="preserve">Train AI on Steve’s communication style using sent email corpus</w:t>
      </w:r>
    </w:p>
    <w:p>
      <w:pPr>
        <w:pStyle w:val="ListParagraph"/>
        <w:numPr>
          <w:ilvl w:val="0"/>
          <w:numId w:val="2"/>
        </w:numPr>
        <w:spacing w:before="40" w:after="40" w:line="300"/>
      </w:pPr>
      <w:r>
        <w:rPr>
          <w:rFonts w:ascii="Khula" w:cs="Khula" w:eastAsia="Khula" w:hAnsi="Khula"/>
          <w:color w:val="333333"/>
          <w:sz w:val="22"/>
          <w:szCs w:val="22"/>
        </w:rPr>
        <w:t xml:space="preserve">Configure morning briefing routine and end-of-day review</w:t>
      </w:r>
    </w:p>
    <w:p>
      <w:pPr>
        <w:pStyle w:val="ListParagraph"/>
        <w:numPr>
          <w:ilvl w:val="0"/>
          <w:numId w:val="2"/>
        </w:numPr>
        <w:spacing w:before="40" w:after="40" w:line="300"/>
      </w:pPr>
      <w:r>
        <w:rPr>
          <w:rFonts w:ascii="Khula" w:cs="Khula" w:eastAsia="Khula" w:hAnsi="Khula"/>
          <w:color w:val="333333"/>
          <w:sz w:val="22"/>
          <w:szCs w:val="22"/>
        </w:rPr>
        <w:t xml:space="preserve">2-week onboarding period with daily tuning</w:t>
      </w:r>
    </w:p>
    <w:p>
      <w:pPr>
        <w:pStyle w:val="Heading2"/>
        <w:spacing w:before="280" w:after="120"/>
      </w:pPr>
      <w:r>
        <w:rPr>
          <w:rFonts w:ascii="Poppins" w:cs="Poppins" w:eastAsia="Poppins" w:hAnsi="Poppins"/>
          <w:b/>
          <w:bCs/>
          <w:color w:val="2C3E50"/>
          <w:sz w:val="26"/>
          <w:szCs w:val="26"/>
        </w:rPr>
        <w:t xml:space="preserve">Success Criteria</w:t>
      </w:r>
    </w:p>
    <w:p>
      <w:pPr>
        <w:pStyle w:val="ListParagraph"/>
        <w:numPr>
          <w:ilvl w:val="0"/>
          <w:numId w:val="2"/>
        </w:numPr>
        <w:spacing w:before="40" w:after="40" w:line="300"/>
      </w:pPr>
      <w:r>
        <w:rPr>
          <w:rFonts w:ascii="Khula" w:cs="Khula" w:eastAsia="Khula" w:hAnsi="Khula"/>
          <w:color w:val="333333"/>
          <w:sz w:val="22"/>
          <w:szCs w:val="22"/>
        </w:rPr>
        <w:t xml:space="preserve">Steve uses the system daily for email triage and response drafting</w:t>
      </w:r>
    </w:p>
    <w:p>
      <w:pPr>
        <w:pStyle w:val="ListParagraph"/>
        <w:numPr>
          <w:ilvl w:val="0"/>
          <w:numId w:val="2"/>
        </w:numPr>
        <w:spacing w:before="40" w:after="40" w:line="300"/>
      </w:pPr>
      <w:r>
        <w:rPr>
          <w:rFonts w:ascii="Khula" w:cs="Khula" w:eastAsia="Khula" w:hAnsi="Khula"/>
          <w:color w:val="333333"/>
          <w:sz w:val="22"/>
          <w:szCs w:val="22"/>
        </w:rPr>
        <w:t xml:space="preserve">At least 50% of routine emails handled with AI-assisted drafts</w:t>
      </w:r>
    </w:p>
    <w:p>
      <w:pPr>
        <w:pStyle w:val="ListParagraph"/>
        <w:numPr>
          <w:ilvl w:val="0"/>
          <w:numId w:val="2"/>
        </w:numPr>
        <w:spacing w:before="40" w:after="40" w:line="300"/>
      </w:pPr>
      <w:r>
        <w:rPr>
          <w:rFonts w:ascii="Khula" w:cs="Khula" w:eastAsia="Khula" w:hAnsi="Khula"/>
          <w:color w:val="333333"/>
          <w:sz w:val="22"/>
          <w:szCs w:val="22"/>
        </w:rPr>
        <w:t xml:space="preserve">Voice-to-draft workflow operational for white paper content</w:t>
      </w:r>
    </w:p>
    <w:p>
      <w:pPr>
        <w:pStyle w:val="ListParagraph"/>
        <w:numPr>
          <w:ilvl w:val="0"/>
          <w:numId w:val="2"/>
        </w:numPr>
        <w:spacing w:before="40" w:after="40" w:line="300"/>
      </w:pPr>
      <w:r>
        <w:rPr>
          <w:rFonts w:ascii="Khula" w:cs="Khula" w:eastAsia="Khula" w:hAnsi="Khula"/>
          <w:color w:val="333333"/>
          <w:sz w:val="22"/>
          <w:szCs w:val="22"/>
        </w:rPr>
        <w:t xml:space="preserve">Morning briefing delivered automatically by 6:00 AM</w:t>
      </w:r>
    </w:p>
    <w:p>
      <w:r>
        <w:br w:type="page"/>
      </w:r>
    </w:p>
    <w:p>
      <w:pPr>
        <w:pStyle w:val="Heading1"/>
        <w:pBdr>
          <w:bottom w:val="single" w:color="005596" w:sz="3" w:space="6"/>
        </w:pBdr>
        <w:spacing w:before="360" w:after="60"/>
      </w:pPr>
      <w:r>
        <w:rPr>
          <w:rFonts w:ascii="Poppins" w:cs="Poppins" w:eastAsia="Poppins" w:hAnsi="Poppins"/>
          <w:b/>
          <w:bCs/>
          <w:color w:val="005596"/>
          <w:sz w:val="36"/>
          <w:szCs w:val="36"/>
        </w:rPr>
        <w:t xml:space="preserve">Phase 2: Communication Intelligence, Content &amp; Research</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single" w:color="005596" w:sz="1"/>
              <w:left w:val="single" w:color="005596" w:sz="1"/>
              <w:bottom w:val="single" w:color="005596" w:sz="1"/>
              <w:right w:val="single" w:color="005596" w:sz="1"/>
            </w:tcBorders>
            <w:shd w:fill="005596" w:val="clear"/>
            <w:tcMar>
              <w:top w:type="dxa" w:w="100"/>
              <w:left w:type="dxa" w:w="160"/>
              <w:bottom w:type="dxa" w:w="100"/>
              <w:right w:type="dxa" w:w="120"/>
            </w:tcMar>
          </w:tcPr>
          <w:p>
            <w:r>
              <w:rPr>
                <w:rFonts w:ascii="Poppins" w:cs="Poppins" w:eastAsia="Poppins" w:hAnsi="Poppins"/>
                <w:b/>
                <w:bCs/>
                <w:color w:val="FFFFFF"/>
                <w:sz w:val="24"/>
                <w:szCs w:val="24"/>
              </w:rPr>
              <w:t xml:space="preserve">Phase 2: </w:t>
            </w:r>
            <w:r>
              <w:rPr>
                <w:rFonts w:ascii="Poppins" w:cs="Poppins" w:eastAsia="Poppins" w:hAnsi="Poppins"/>
                <w:color w:val="FFFFFF"/>
                <w:sz w:val="24"/>
                <w:szCs w:val="24"/>
              </w:rPr>
              <w:t xml:space="preserve">Intel, Content &amp; Research</w:t>
            </w:r>
          </w:p>
        </w:tc>
        <w:tc>
          <w:tcPr>
            <w:tcW w:type="dxa" w:w="3560"/>
            <w:tcBorders>
              <w:top w:val="single" w:color="005596" w:sz="1"/>
              <w:left w:val="single" w:color="005596" w:sz="1"/>
              <w:bottom w:val="single" w:color="005596" w:sz="1"/>
              <w:right w:val="single" w:color="005596" w:sz="1"/>
            </w:tcBorders>
            <w:shd w:fill="4597D3" w:val="clear"/>
            <w:tcMar>
              <w:top w:type="dxa" w:w="100"/>
              <w:left w:type="dxa" w:w="120"/>
              <w:bottom w:type="dxa" w:w="100"/>
              <w:right w:type="dxa" w:w="160"/>
            </w:tcMar>
          </w:tcPr>
          <w:p>
            <w:pPr>
              <w:jc w:val="right"/>
            </w:pPr>
            <w:r>
              <w:rPr>
                <w:rFonts w:ascii="Khula" w:cs="Khula" w:eastAsia="Khula" w:hAnsi="Khula"/>
                <w:b/>
                <w:bCs/>
                <w:color w:val="FFFFFF"/>
                <w:sz w:val="20"/>
                <w:szCs w:val="20"/>
              </w:rPr>
              <w:t xml:space="preserve">Weeks 2–3 | Medium-High</w:t>
            </w:r>
          </w:p>
        </w:tc>
      </w:tr>
    </w:tbl>
    <w:p>
      <w:pPr>
        <w:spacing w:before="120" w:after="120"/>
      </w:pPr>
    </w:p>
    <w:p>
      <w:pPr>
        <w:spacing w:before="60" w:after="80" w:line="312"/>
      </w:pPr>
      <w:r>
        <w:rPr>
          <w:rFonts w:ascii="Khula" w:cs="Khula" w:eastAsia="Khula" w:hAnsi="Khula"/>
          <w:color w:val="333333"/>
          <w:sz w:val="22"/>
          <w:szCs w:val="22"/>
        </w:rPr>
        <w:t xml:space="preserve">This phase extends the executive OS in two directions simultaneously: deep email analytics and operational automation, plus content creation and market intelligence agents. Both draw from the same Google Workspace foundation and share connector infrastructure.</w:t>
      </w:r>
    </w:p>
    <w:p>
      <w:pPr>
        <w:spacing w:before="60" w:after="60"/>
      </w:pPr>
    </w:p>
    <w:p>
      <w:pPr>
        <w:pStyle w:val="Heading2"/>
        <w:spacing w:before="280" w:after="120"/>
      </w:pPr>
      <w:r>
        <w:rPr>
          <w:rFonts w:ascii="Poppins" w:cs="Poppins" w:eastAsia="Poppins" w:hAnsi="Poppins"/>
          <w:b/>
          <w:bCs/>
          <w:color w:val="2C3E50"/>
          <w:sz w:val="26"/>
          <w:szCs w:val="26"/>
        </w:rPr>
        <w:t xml:space="preserve">Communication Intelligence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005596" w:sz="1"/>
              <w:left w:val="single" w:color="005596" w:sz="1"/>
              <w:bottom w:val="single" w:color="005596" w:sz="1"/>
              <w:right w:val="single" w:color="005596" w:sz="1"/>
            </w:tcBorders>
            <w:shd w:fill="005596" w:val="clear"/>
            <w:tcMar>
              <w:top w:type="dxa" w:w="60"/>
              <w:left w:type="dxa" w:w="120"/>
              <w:bottom w:type="dxa" w:w="60"/>
              <w:right w:type="dxa" w:w="120"/>
            </w:tcMar>
          </w:tcPr>
          <w:p>
            <w:r>
              <w:rPr>
                <w:rFonts w:ascii="Poppins" w:cs="Poppins" w:eastAsia="Poppins" w:hAnsi="Poppins"/>
                <w:b/>
                <w:bCs/>
                <w:color w:val="FFFFFF"/>
                <w:sz w:val="20"/>
                <w:szCs w:val="20"/>
              </w:rPr>
              <w:t xml:space="preserve">Use Case</w:t>
            </w:r>
          </w:p>
        </w:tc>
        <w:tc>
          <w:tcPr>
            <w:tcW w:type="dxa" w:w="4360"/>
            <w:tcBorders>
              <w:top w:val="single" w:color="005596" w:sz="1"/>
              <w:left w:val="single" w:color="005596" w:sz="1"/>
              <w:bottom w:val="single" w:color="005596" w:sz="1"/>
              <w:right w:val="single" w:color="005596" w:sz="1"/>
            </w:tcBorders>
            <w:shd w:fill="005596" w:val="clear"/>
            <w:tcMar>
              <w:top w:type="dxa" w:w="60"/>
              <w:left w:type="dxa" w:w="120"/>
              <w:bottom w:type="dxa" w:w="60"/>
              <w:right w:type="dxa" w:w="120"/>
            </w:tcMar>
          </w:tcPr>
          <w:p>
            <w:r>
              <w:rPr>
                <w:rFonts w:ascii="Poppins" w:cs="Poppins" w:eastAsia="Poppins" w:hAnsi="Poppins"/>
                <w:b/>
                <w:bCs/>
                <w:color w:val="FFFFFF"/>
                <w:sz w:val="20"/>
                <w:szCs w:val="20"/>
              </w:rPr>
              <w:t xml:space="preserve">Description</w:t>
            </w:r>
          </w:p>
        </w:tc>
        <w:tc>
          <w:tcPr>
            <w:tcW w:type="dxa" w:w="2400"/>
            <w:tcBorders>
              <w:top w:val="single" w:color="005596" w:sz="1"/>
              <w:left w:val="single" w:color="005596" w:sz="1"/>
              <w:bottom w:val="single" w:color="005596" w:sz="1"/>
              <w:right w:val="single" w:color="005596" w:sz="1"/>
            </w:tcBorders>
            <w:shd w:fill="005596" w:val="clear"/>
            <w:tcMar>
              <w:top w:type="dxa" w:w="60"/>
              <w:left w:type="dxa" w:w="120"/>
              <w:bottom w:type="dxa" w:w="60"/>
              <w:right w:type="dxa" w:w="120"/>
            </w:tcMar>
          </w:tcPr>
          <w:p>
            <w:r>
              <w:rPr>
                <w:rFonts w:ascii="Poppins" w:cs="Poppins" w:eastAsia="Poppins" w:hAnsi="Poppins"/>
                <w:b/>
                <w:bCs/>
                <w:color w:val="FFFFFF"/>
                <w:sz w:val="20"/>
                <w:szCs w:val="20"/>
              </w:rPr>
              <w:t xml:space="preserve">Data Required</w:t>
            </w:r>
          </w:p>
        </w:tc>
      </w:tr>
      <w:tr>
        <w:tc>
          <w:tcPr>
            <w:tcW w:type="dxa" w:w="260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Khula" w:cs="Khula" w:eastAsia="Khula" w:hAnsi="Khula"/>
                <w:b/>
                <w:bCs/>
                <w:color w:val="2C3E50"/>
                <w:sz w:val="20"/>
                <w:szCs w:val="20"/>
              </w:rPr>
              <w:t xml:space="preserve">Email &amp; Time Intelligence</w:t>
            </w:r>
          </w:p>
        </w:tc>
        <w:tc>
          <w:tcPr>
            <w:tcW w:type="dxa" w:w="436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pPr>
              <w:spacing w:line="260"/>
            </w:pPr>
            <w:r>
              <w:rPr>
                <w:rFonts w:ascii="Khula" w:cs="Khula" w:eastAsia="Khula" w:hAnsi="Khula"/>
                <w:color w:val="333333"/>
                <w:sz w:val="20"/>
                <w:szCs w:val="20"/>
              </w:rPr>
              <w:t xml:space="preserve">Analyze patterns: who Steve communicates with most, response times, topic distribution. Identify misallocated time vs. stated priorities.</w:t>
            </w:r>
          </w:p>
        </w:tc>
        <w:tc>
          <w:tcPr>
            <w:tcW w:type="dxa" w:w="240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pPr>
              <w:spacing w:line="260"/>
            </w:pPr>
            <w:r>
              <w:rPr>
                <w:rFonts w:ascii="Khula" w:cs="Khula" w:eastAsia="Khula" w:hAnsi="Khula"/>
                <w:color w:val="666666"/>
                <w:sz w:val="20"/>
                <w:szCs w:val="20"/>
              </w:rPr>
              <w:t xml:space="preserve">6–12 months Gmail history, Calendar, priority list</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Khula" w:cs="Khula" w:eastAsia="Khula" w:hAnsi="Khula"/>
                <w:b/>
                <w:bCs/>
                <w:color w:val="2C3E50"/>
                <w:sz w:val="20"/>
                <w:szCs w:val="20"/>
              </w:rPr>
              <w:t xml:space="preserve">Operator Coaching</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60"/>
            </w:pPr>
            <w:r>
              <w:rPr>
                <w:rFonts w:ascii="Khula" w:cs="Khula" w:eastAsia="Khula" w:hAnsi="Khula"/>
                <w:color w:val="333333"/>
                <w:sz w:val="20"/>
                <w:szCs w:val="20"/>
              </w:rPr>
              <w:t xml:space="preserve">AI prepares coaching briefs for portfolio company operators. Tracks commitments, surfaces patterns, suggests talking points.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60"/>
            </w:pPr>
            <w:r>
              <w:rPr>
                <w:rFonts w:ascii="Khula" w:cs="Khula" w:eastAsia="Khula" w:hAnsi="Khula"/>
                <w:color w:val="666666"/>
                <w:sz w:val="20"/>
                <w:szCs w:val="20"/>
              </w:rPr>
              <w:t xml:space="preserve">Operator email threads, meeting notes, KPI data</w:t>
            </w:r>
          </w:p>
        </w:tc>
      </w:tr>
      <w:tr>
        <w:tc>
          <w:tcPr>
            <w:tcW w:type="dxa" w:w="260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Khula" w:cs="Khula" w:eastAsia="Khula" w:hAnsi="Khula"/>
                <w:b/>
                <w:bCs/>
                <w:color w:val="2C3E50"/>
                <w:sz w:val="20"/>
                <w:szCs w:val="20"/>
              </w:rPr>
              <w:t xml:space="preserve">Wisdom Dinner Automation</w:t>
            </w:r>
          </w:p>
        </w:tc>
        <w:tc>
          <w:tcPr>
            <w:tcW w:type="dxa" w:w="436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pPr>
              <w:spacing w:line="260"/>
            </w:pPr>
            <w:r>
              <w:rPr>
                <w:rFonts w:ascii="Khula" w:cs="Khula" w:eastAsia="Khula" w:hAnsi="Khula"/>
                <w:color w:val="333333"/>
                <w:sz w:val="20"/>
                <w:szCs w:val="20"/>
              </w:rPr>
              <w:t xml:space="preserve">End-to-end event logistics: invitations, RSVPs, dietary preferences, seating, follow-ups.</w:t>
            </w:r>
          </w:p>
        </w:tc>
        <w:tc>
          <w:tcPr>
            <w:tcW w:type="dxa" w:w="240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pPr>
              <w:spacing w:line="260"/>
            </w:pPr>
            <w:r>
              <w:rPr>
                <w:rFonts w:ascii="Khula" w:cs="Khula" w:eastAsia="Khula" w:hAnsi="Khula"/>
                <w:color w:val="666666"/>
                <w:sz w:val="20"/>
                <w:szCs w:val="20"/>
              </w:rPr>
              <w:t xml:space="preserve">Google Contacts, venue info, event history</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Khula" w:cs="Khula" w:eastAsia="Khula" w:hAnsi="Khula"/>
                <w:b/>
                <w:bCs/>
                <w:color w:val="2C3E50"/>
                <w:sz w:val="20"/>
                <w:szCs w:val="20"/>
              </w:rPr>
              <w:t xml:space="preserve">Renovation Management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60"/>
            </w:pPr>
            <w:r>
              <w:rPr>
                <w:rFonts w:ascii="Khula" w:cs="Khula" w:eastAsia="Khula" w:hAnsi="Khula"/>
                <w:color w:val="333333"/>
                <w:sz w:val="20"/>
                <w:szCs w:val="20"/>
              </w:rPr>
              <w:t xml:space="preserve">Coordinate multi-contractor communication, track deliverables, flag delays, consolidate updates.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60"/>
            </w:pPr>
            <w:r>
              <w:rPr>
                <w:rFonts w:ascii="Khula" w:cs="Khula" w:eastAsia="Khula" w:hAnsi="Khula"/>
                <w:color w:val="666666"/>
                <w:sz w:val="20"/>
                <w:szCs w:val="20"/>
              </w:rPr>
              <w:t xml:space="preserve">Contractor contacts, project timeline, comms</w:t>
            </w:r>
          </w:p>
        </w:tc>
      </w:tr>
    </w:tbl>
    <w:p>
      <w:pPr>
        <w:spacing w:before="120" w:after="120"/>
      </w:pPr>
    </w:p>
    <w:p>
      <w:pPr>
        <w:pStyle w:val="Heading2"/>
        <w:spacing w:before="280" w:after="120"/>
      </w:pPr>
      <w:r>
        <w:rPr>
          <w:rFonts w:ascii="Poppins" w:cs="Poppins" w:eastAsia="Poppins" w:hAnsi="Poppins"/>
          <w:b/>
          <w:bCs/>
          <w:color w:val="2C3E50"/>
          <w:sz w:val="26"/>
          <w:szCs w:val="26"/>
        </w:rPr>
        <w:t xml:space="preserve">Content &amp; Research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005596" w:sz="1"/>
              <w:left w:val="single" w:color="005596" w:sz="1"/>
              <w:bottom w:val="single" w:color="005596" w:sz="1"/>
              <w:right w:val="single" w:color="005596" w:sz="1"/>
            </w:tcBorders>
            <w:shd w:fill="005596" w:val="clear"/>
            <w:tcMar>
              <w:top w:type="dxa" w:w="60"/>
              <w:left w:type="dxa" w:w="120"/>
              <w:bottom w:type="dxa" w:w="60"/>
              <w:right w:type="dxa" w:w="120"/>
            </w:tcMar>
          </w:tcPr>
          <w:p>
            <w:r>
              <w:rPr>
                <w:rFonts w:ascii="Poppins" w:cs="Poppins" w:eastAsia="Poppins" w:hAnsi="Poppins"/>
                <w:b/>
                <w:bCs/>
                <w:color w:val="FFFFFF"/>
                <w:sz w:val="20"/>
                <w:szCs w:val="20"/>
              </w:rPr>
              <w:t xml:space="preserve">Use Case</w:t>
            </w:r>
          </w:p>
        </w:tc>
        <w:tc>
          <w:tcPr>
            <w:tcW w:type="dxa" w:w="4360"/>
            <w:tcBorders>
              <w:top w:val="single" w:color="005596" w:sz="1"/>
              <w:left w:val="single" w:color="005596" w:sz="1"/>
              <w:bottom w:val="single" w:color="005596" w:sz="1"/>
              <w:right w:val="single" w:color="005596" w:sz="1"/>
            </w:tcBorders>
            <w:shd w:fill="005596" w:val="clear"/>
            <w:tcMar>
              <w:top w:type="dxa" w:w="60"/>
              <w:left w:type="dxa" w:w="120"/>
              <w:bottom w:type="dxa" w:w="60"/>
              <w:right w:type="dxa" w:w="120"/>
            </w:tcMar>
          </w:tcPr>
          <w:p>
            <w:r>
              <w:rPr>
                <w:rFonts w:ascii="Poppins" w:cs="Poppins" w:eastAsia="Poppins" w:hAnsi="Poppins"/>
                <w:b/>
                <w:bCs/>
                <w:color w:val="FFFFFF"/>
                <w:sz w:val="20"/>
                <w:szCs w:val="20"/>
              </w:rPr>
              <w:t xml:space="preserve">Description</w:t>
            </w:r>
          </w:p>
        </w:tc>
        <w:tc>
          <w:tcPr>
            <w:tcW w:type="dxa" w:w="2400"/>
            <w:tcBorders>
              <w:top w:val="single" w:color="005596" w:sz="1"/>
              <w:left w:val="single" w:color="005596" w:sz="1"/>
              <w:bottom w:val="single" w:color="005596" w:sz="1"/>
              <w:right w:val="single" w:color="005596" w:sz="1"/>
            </w:tcBorders>
            <w:shd w:fill="005596" w:val="clear"/>
            <w:tcMar>
              <w:top w:type="dxa" w:w="60"/>
              <w:left w:type="dxa" w:w="120"/>
              <w:bottom w:type="dxa" w:w="60"/>
              <w:right w:type="dxa" w:w="120"/>
            </w:tcMar>
          </w:tcPr>
          <w:p>
            <w:r>
              <w:rPr>
                <w:rFonts w:ascii="Poppins" w:cs="Poppins" w:eastAsia="Poppins" w:hAnsi="Poppins"/>
                <w:b/>
                <w:bCs/>
                <w:color w:val="FFFFFF"/>
                <w:sz w:val="20"/>
                <w:szCs w:val="20"/>
              </w:rPr>
              <w:t xml:space="preserve">Data Required</w:t>
            </w:r>
          </w:p>
        </w:tc>
      </w:tr>
      <w:tr>
        <w:tc>
          <w:tcPr>
            <w:tcW w:type="dxa" w:w="260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Khula" w:cs="Khula" w:eastAsia="Khula" w:hAnsi="Khula"/>
                <w:b/>
                <w:bCs/>
                <w:color w:val="2C3E50"/>
                <w:sz w:val="20"/>
                <w:szCs w:val="20"/>
              </w:rPr>
              <w:t xml:space="preserve">Foundation Content Engine</w:t>
            </w:r>
          </w:p>
        </w:tc>
        <w:tc>
          <w:tcPr>
            <w:tcW w:type="dxa" w:w="436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pPr>
              <w:spacing w:line="260"/>
            </w:pPr>
            <w:r>
              <w:rPr>
                <w:rFonts w:ascii="Khula" w:cs="Khula" w:eastAsia="Khula" w:hAnsi="Khula"/>
                <w:color w:val="333333"/>
                <w:sz w:val="20"/>
                <w:szCs w:val="20"/>
              </w:rPr>
              <w:t xml:space="preserve">Draft white papers, leadership covenants, and Stewardship Mandates in Steve’s voice. Manage editorial calendar and publication workflow.</w:t>
            </w:r>
          </w:p>
        </w:tc>
        <w:tc>
          <w:tcPr>
            <w:tcW w:type="dxa" w:w="240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pPr>
              <w:spacing w:line="260"/>
            </w:pPr>
            <w:r>
              <w:rPr>
                <w:rFonts w:ascii="Khula" w:cs="Khula" w:eastAsia="Khula" w:hAnsi="Khula"/>
                <w:color w:val="666666"/>
                <w:sz w:val="20"/>
                <w:szCs w:val="20"/>
              </w:rPr>
              <w:t xml:space="preserve">Existing publications, brand voice guide, mission docs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Khula" w:cs="Khula" w:eastAsia="Khula" w:hAnsi="Khula"/>
                <w:b/>
                <w:bCs/>
                <w:color w:val="2C3E50"/>
                <w:sz w:val="20"/>
                <w:szCs w:val="20"/>
              </w:rPr>
              <w:t xml:space="preserve">Market &amp; Competitive Intel</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60"/>
            </w:pPr>
            <w:r>
              <w:rPr>
                <w:rFonts w:ascii="Khula" w:cs="Khula" w:eastAsia="Khula" w:hAnsi="Khula"/>
                <w:color w:val="333333"/>
                <w:sz w:val="20"/>
                <w:szCs w:val="20"/>
              </w:rPr>
              <w:t xml:space="preserve">Track real-time shifts in automotive market, interest rate changes affecting auto finance, competitor moves by Sonic and Lithia.</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60"/>
            </w:pPr>
            <w:r>
              <w:rPr>
                <w:rFonts w:ascii="Khula" w:cs="Khula" w:eastAsia="Khula" w:hAnsi="Khula"/>
                <w:color w:val="666666"/>
                <w:sz w:val="20"/>
                <w:szCs w:val="20"/>
              </w:rPr>
              <w:t xml:space="preserve">Market feeds, SEC filings, news APIs</w:t>
            </w:r>
          </w:p>
        </w:tc>
      </w:tr>
      <w:tr>
        <w:tc>
          <w:tcPr>
            <w:tcW w:type="dxa" w:w="260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Khula" w:cs="Khula" w:eastAsia="Khula" w:hAnsi="Khula"/>
                <w:b/>
                <w:bCs/>
                <w:color w:val="2C3E50"/>
                <w:sz w:val="20"/>
                <w:szCs w:val="20"/>
              </w:rPr>
              <w:t xml:space="preserve">Sentiment &amp; Regulatory Agent</w:t>
            </w:r>
          </w:p>
        </w:tc>
        <w:tc>
          <w:tcPr>
            <w:tcW w:type="dxa" w:w="436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pPr>
              <w:spacing w:line="260"/>
            </w:pPr>
            <w:r>
              <w:rPr>
                <w:rFonts w:ascii="Khula" w:cs="Khula" w:eastAsia="Khula" w:hAnsi="Khula"/>
                <w:color w:val="333333"/>
                <w:sz w:val="20"/>
                <w:szCs w:val="20"/>
              </w:rPr>
              <w:t xml:space="preserve">Scrape and synthesize quarterly earnings calls for linguistic shifts—how CEOs talk about inventory and AI vs. previous quarters.</w:t>
            </w:r>
          </w:p>
        </w:tc>
        <w:tc>
          <w:tcPr>
            <w:tcW w:type="dxa" w:w="240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pPr>
              <w:spacing w:line="260"/>
            </w:pPr>
            <w:r>
              <w:rPr>
                <w:rFonts w:ascii="Khula" w:cs="Khula" w:eastAsia="Khula" w:hAnsi="Khula"/>
                <w:color w:val="666666"/>
                <w:sz w:val="20"/>
                <w:szCs w:val="20"/>
              </w:rPr>
              <w:t xml:space="preserve">SEC EDGAR transcripts, NLP models, historical data</w:t>
            </w:r>
          </w:p>
        </w:tc>
      </w:tr>
    </w:tbl>
    <w:p>
      <w:pPr>
        <w:spacing w:before="120" w:after="120"/>
      </w:pPr>
    </w:p>
    <w:p>
      <w:pPr>
        <w:pStyle w:val="Heading2"/>
        <w:spacing w:before="280" w:after="120"/>
      </w:pPr>
      <w:r>
        <w:rPr>
          <w:rFonts w:ascii="Poppins" w:cs="Poppins" w:eastAsia="Poppins" w:hAnsi="Poppins"/>
          <w:b/>
          <w:bCs/>
          <w:color w:val="2C3E50"/>
          <w:sz w:val="26"/>
          <w:szCs w:val="26"/>
        </w:rPr>
        <w:t xml:space="preserve">Key Questions This Phase Answers</w:t>
      </w:r>
    </w:p>
    <w:p>
      <w:pPr>
        <w:pStyle w:val="ListParagraph"/>
        <w:numPr>
          <w:ilvl w:val="0"/>
          <w:numId w:val="2"/>
        </w:numPr>
        <w:spacing w:before="40" w:after="40" w:line="300"/>
      </w:pPr>
      <w:r>
        <w:rPr>
          <w:rFonts w:ascii="Khula" w:cs="Khula" w:eastAsia="Khula" w:hAnsi="Khula"/>
          <w:b/>
          <w:bCs/>
          <w:color w:val="2C3E50"/>
          <w:sz w:val="22"/>
          <w:szCs w:val="22"/>
        </w:rPr>
        <w:t xml:space="preserve">"How am I using my time?" </w:t>
      </w:r>
      <w:r>
        <w:rPr>
          <w:rFonts w:ascii="Khula" w:cs="Khula" w:eastAsia="Khula" w:hAnsi="Khula"/>
          <w:color w:val="333333"/>
          <w:sz w:val="22"/>
          <w:szCs w:val="22"/>
        </w:rPr>
        <w:t xml:space="preserve">— Who gets the most attention? Too much? Not enough?</w:t>
      </w:r>
    </w:p>
    <w:p>
      <w:pPr>
        <w:pStyle w:val="ListParagraph"/>
        <w:numPr>
          <w:ilvl w:val="0"/>
          <w:numId w:val="2"/>
        </w:numPr>
        <w:spacing w:before="40" w:after="40" w:line="300"/>
      </w:pPr>
      <w:r>
        <w:rPr>
          <w:rFonts w:ascii="Khula" w:cs="Khula" w:eastAsia="Khula" w:hAnsi="Khula"/>
          <w:b/>
          <w:bCs/>
          <w:color w:val="2C3E50"/>
          <w:sz w:val="22"/>
          <w:szCs w:val="22"/>
        </w:rPr>
        <w:t xml:space="preserve">"Are my emails landing?" </w:t>
      </w:r>
      <w:r>
        <w:rPr>
          <w:rFonts w:ascii="Khula" w:cs="Khula" w:eastAsia="Khula" w:hAnsi="Khula"/>
          <w:color w:val="333333"/>
          <w:sz w:val="22"/>
          <w:szCs w:val="22"/>
        </w:rPr>
        <w:t xml:space="preserve">— Communication effectiveness analysis</w:t>
      </w:r>
    </w:p>
    <w:p>
      <w:pPr>
        <w:pStyle w:val="ListParagraph"/>
        <w:numPr>
          <w:ilvl w:val="0"/>
          <w:numId w:val="2"/>
        </w:numPr>
        <w:spacing w:before="40" w:after="40" w:line="300"/>
      </w:pPr>
      <w:r>
        <w:rPr>
          <w:rFonts w:ascii="Khula" w:cs="Khula" w:eastAsia="Khula" w:hAnsi="Khula"/>
          <w:b/>
          <w:bCs/>
          <w:color w:val="2C3E50"/>
          <w:sz w:val="22"/>
          <w:szCs w:val="22"/>
        </w:rPr>
        <w:t xml:space="preserve">"Am I on the right priorities?" </w:t>
      </w:r>
      <w:r>
        <w:rPr>
          <w:rFonts w:ascii="Khula" w:cs="Khula" w:eastAsia="Khula" w:hAnsi="Khula"/>
          <w:color w:val="333333"/>
          <w:sz w:val="22"/>
          <w:szCs w:val="22"/>
        </w:rPr>
        <w:t xml:space="preserve">— Time allocation vs. stated goals</w:t>
      </w:r>
    </w:p>
    <w:p>
      <w:pPr>
        <w:pStyle w:val="ListParagraph"/>
        <w:numPr>
          <w:ilvl w:val="0"/>
          <w:numId w:val="2"/>
        </w:numPr>
        <w:spacing w:before="40" w:after="40" w:line="300"/>
      </w:pPr>
      <w:r>
        <w:rPr>
          <w:rFonts w:ascii="Khula" w:cs="Khula" w:eastAsia="Khula" w:hAnsi="Khula"/>
          <w:b/>
          <w:bCs/>
          <w:color w:val="2C3E50"/>
          <w:sz w:val="22"/>
          <w:szCs w:val="22"/>
        </w:rPr>
        <w:t xml:space="preserve">"Can AI help me coach operators?" </w:t>
      </w:r>
      <w:r>
        <w:rPr>
          <w:rFonts w:ascii="Khula" w:cs="Khula" w:eastAsia="Khula" w:hAnsi="Khula"/>
          <w:color w:val="333333"/>
          <w:sz w:val="22"/>
          <w:szCs w:val="22"/>
        </w:rPr>
        <w:t xml:space="preserve">— Automated prep for portfolio company calls</w:t>
      </w:r>
    </w:p>
    <w:p>
      <w:pPr>
        <w:pStyle w:val="Heading2"/>
        <w:spacing w:before="280" w:after="120"/>
      </w:pPr>
      <w:r>
        <w:rPr>
          <w:rFonts w:ascii="Poppins" w:cs="Poppins" w:eastAsia="Poppins" w:hAnsi="Poppins"/>
          <w:b/>
          <w:bCs/>
          <w:color w:val="2C3E50"/>
          <w:sz w:val="26"/>
          <w:szCs w:val="26"/>
        </w:rPr>
        <w:t xml:space="preserve">Connectors Required</w:t>
      </w:r>
    </w:p>
    <w:p>
      <w:pPr>
        <w:pStyle w:val="ListParagraph"/>
        <w:numPr>
          <w:ilvl w:val="0"/>
          <w:numId w:val="2"/>
        </w:numPr>
        <w:spacing w:before="40" w:after="40" w:line="300"/>
      </w:pPr>
      <w:r>
        <w:rPr>
          <w:rFonts w:ascii="Khula" w:cs="Khula" w:eastAsia="Khula" w:hAnsi="Khula"/>
          <w:color w:val="333333"/>
          <w:sz w:val="22"/>
          <w:szCs w:val="22"/>
        </w:rPr>
        <w:t xml:space="preserve">Email analytics pipeline (read-only Gmail access to analyze patterns)</w:t>
      </w:r>
    </w:p>
    <w:p>
      <w:pPr>
        <w:pStyle w:val="ListParagraph"/>
        <w:numPr>
          <w:ilvl w:val="0"/>
          <w:numId w:val="2"/>
        </w:numPr>
        <w:spacing w:before="40" w:after="40" w:line="300"/>
      </w:pPr>
      <w:r>
        <w:rPr>
          <w:rFonts w:ascii="Khula" w:cs="Khula" w:eastAsia="Khula" w:hAnsi="Khula"/>
          <w:color w:val="333333"/>
          <w:sz w:val="22"/>
          <w:szCs w:val="22"/>
        </w:rPr>
        <w:t xml:space="preserve">Contact enrichment integration (LinkedIn, company data)</w:t>
      </w:r>
    </w:p>
    <w:p>
      <w:pPr>
        <w:pStyle w:val="ListParagraph"/>
        <w:numPr>
          <w:ilvl w:val="0"/>
          <w:numId w:val="2"/>
        </w:numPr>
        <w:spacing w:before="40" w:after="40" w:line="300"/>
      </w:pPr>
      <w:r>
        <w:rPr>
          <w:rFonts w:ascii="Khula" w:cs="Khula" w:eastAsia="Khula" w:hAnsi="Khula"/>
          <w:color w:val="333333"/>
          <w:sz w:val="22"/>
          <w:szCs w:val="22"/>
        </w:rPr>
        <w:t xml:space="preserve">Event management connector (Resy, Evite, or custom)</w:t>
      </w:r>
    </w:p>
    <w:p>
      <w:pPr>
        <w:pStyle w:val="ListParagraph"/>
        <w:numPr>
          <w:ilvl w:val="0"/>
          <w:numId w:val="2"/>
        </w:numPr>
        <w:spacing w:before="40" w:after="40" w:line="300"/>
      </w:pPr>
      <w:r>
        <w:rPr>
          <w:rFonts w:ascii="Khula" w:cs="Khula" w:eastAsia="Khula" w:hAnsi="Khula"/>
          <w:color w:val="333333"/>
          <w:sz w:val="22"/>
          <w:szCs w:val="22"/>
        </w:rPr>
        <w:t xml:space="preserve">SEC EDGAR API for earnings call transcripts</w:t>
      </w:r>
    </w:p>
    <w:p>
      <w:pPr>
        <w:pStyle w:val="ListParagraph"/>
        <w:numPr>
          <w:ilvl w:val="0"/>
          <w:numId w:val="2"/>
        </w:numPr>
        <w:spacing w:before="40" w:after="40" w:line="300"/>
      </w:pPr>
      <w:r>
        <w:rPr>
          <w:rFonts w:ascii="Khula" w:cs="Khula" w:eastAsia="Khula" w:hAnsi="Khula"/>
          <w:color w:val="333333"/>
          <w:sz w:val="22"/>
          <w:szCs w:val="22"/>
        </w:rPr>
        <w:t xml:space="preserve">Financial news aggregation (Bloomberg, Reuters, or alternative)</w:t>
      </w:r>
    </w:p>
    <w:p>
      <w:pPr>
        <w:pStyle w:val="ListParagraph"/>
        <w:numPr>
          <w:ilvl w:val="0"/>
          <w:numId w:val="2"/>
        </w:numPr>
        <w:spacing w:before="40" w:after="40" w:line="300"/>
      </w:pPr>
      <w:r>
        <w:rPr>
          <w:rFonts w:ascii="Khula" w:cs="Khula" w:eastAsia="Khula" w:hAnsi="Khula"/>
          <w:color w:val="333333"/>
          <w:sz w:val="22"/>
          <w:szCs w:val="22"/>
        </w:rPr>
        <w:t xml:space="preserve">Automotive industry data feeds (Cox Automotive, NADA)</w:t>
      </w:r>
    </w:p>
    <w:p>
      <w:pPr>
        <w:pStyle w:val="ListParagraph"/>
        <w:numPr>
          <w:ilvl w:val="0"/>
          <w:numId w:val="2"/>
        </w:numPr>
        <w:spacing w:before="40" w:after="40" w:line="300"/>
      </w:pPr>
      <w:r>
        <w:rPr>
          <w:rFonts w:ascii="Khula" w:cs="Khula" w:eastAsia="Khula" w:hAnsi="Khula"/>
          <w:color w:val="333333"/>
          <w:sz w:val="22"/>
          <w:szCs w:val="22"/>
        </w:rPr>
        <w:t xml:space="preserve">Content management system for foundation publications</w:t>
      </w:r>
    </w:p>
    <w:p>
      <w:r>
        <w:br w:type="page"/>
      </w:r>
    </w:p>
    <w:p>
      <w:pPr>
        <w:pStyle w:val="Heading1"/>
        <w:pBdr>
          <w:bottom w:val="single" w:color="005596" w:sz="3" w:space="6"/>
        </w:pBdr>
        <w:spacing w:before="360" w:after="60"/>
      </w:pPr>
      <w:r>
        <w:rPr>
          <w:rFonts w:ascii="Poppins" w:cs="Poppins" w:eastAsia="Poppins" w:hAnsi="Poppins"/>
          <w:b/>
          <w:bCs/>
          <w:color w:val="005596"/>
          <w:sz w:val="36"/>
          <w:szCs w:val="36"/>
        </w:rPr>
        <w:t xml:space="preserve">Phase 3: Financial Intelligence Agents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single" w:color="005596" w:sz="1"/>
              <w:left w:val="single" w:color="005596" w:sz="1"/>
              <w:bottom w:val="single" w:color="005596" w:sz="1"/>
              <w:right w:val="single" w:color="005596" w:sz="1"/>
            </w:tcBorders>
            <w:shd w:fill="005596" w:val="clear"/>
            <w:tcMar>
              <w:top w:type="dxa" w:w="100"/>
              <w:left w:type="dxa" w:w="160"/>
              <w:bottom w:type="dxa" w:w="100"/>
              <w:right w:type="dxa" w:w="120"/>
            </w:tcMar>
          </w:tcPr>
          <w:p>
            <w:r>
              <w:rPr>
                <w:rFonts w:ascii="Poppins" w:cs="Poppins" w:eastAsia="Poppins" w:hAnsi="Poppins"/>
                <w:b/>
                <w:bCs/>
                <w:color w:val="FFFFFF"/>
                <w:sz w:val="24"/>
                <w:szCs w:val="24"/>
              </w:rPr>
              <w:t xml:space="preserve">Phase 3: </w:t>
            </w:r>
            <w:r>
              <w:rPr>
                <w:rFonts w:ascii="Poppins" w:cs="Poppins" w:eastAsia="Poppins" w:hAnsi="Poppins"/>
                <w:color w:val="FFFFFF"/>
                <w:sz w:val="24"/>
                <w:szCs w:val="24"/>
              </w:rPr>
              <w:t xml:space="preserve">Financial Intelligence</w:t>
            </w:r>
          </w:p>
        </w:tc>
        <w:tc>
          <w:tcPr>
            <w:tcW w:type="dxa" w:w="3560"/>
            <w:tcBorders>
              <w:top w:val="single" w:color="005596" w:sz="1"/>
              <w:left w:val="single" w:color="005596" w:sz="1"/>
              <w:bottom w:val="single" w:color="005596" w:sz="1"/>
              <w:right w:val="single" w:color="005596" w:sz="1"/>
            </w:tcBorders>
            <w:shd w:fill="4597D3" w:val="clear"/>
            <w:tcMar>
              <w:top w:type="dxa" w:w="100"/>
              <w:left w:type="dxa" w:w="120"/>
              <w:bottom w:type="dxa" w:w="100"/>
              <w:right w:type="dxa" w:w="160"/>
            </w:tcMar>
          </w:tcPr>
          <w:p>
            <w:pPr>
              <w:jc w:val="right"/>
            </w:pPr>
            <w:r>
              <w:rPr>
                <w:rFonts w:ascii="Khula" w:cs="Khula" w:eastAsia="Khula" w:hAnsi="Khula"/>
                <w:b/>
                <w:bCs/>
                <w:color w:val="FFFFFF"/>
                <w:sz w:val="20"/>
                <w:szCs w:val="20"/>
              </w:rPr>
              <w:t xml:space="preserve">Weeks 2–3 | High</w:t>
            </w:r>
          </w:p>
        </w:tc>
      </w:tr>
    </w:tbl>
    <w:p>
      <w:pPr>
        <w:spacing w:before="120" w:after="120"/>
      </w:pPr>
    </w:p>
    <w:p>
      <w:pPr>
        <w:spacing w:before="60" w:after="80" w:line="312"/>
      </w:pPr>
      <w:r>
        <w:rPr>
          <w:rFonts w:ascii="Khula" w:cs="Khula" w:eastAsia="Khula" w:hAnsi="Khula"/>
          <w:color w:val="333333"/>
          <w:sz w:val="22"/>
          <w:szCs w:val="22"/>
        </w:rPr>
        <w:t xml:space="preserve">Deploy specialized financial analysis agents that process complex documents, identify inconsistencies, and surface insights from acquisition targets and portfolio performance.</w:t>
      </w:r>
    </w:p>
    <w:p>
      <w:pPr>
        <w:spacing w:before="60" w:after="60"/>
      </w:pPr>
    </w:p>
    <w:p>
      <w:pPr>
        <w:pStyle w:val="Heading2"/>
        <w:spacing w:before="280" w:after="120"/>
      </w:pPr>
      <w:r>
        <w:rPr>
          <w:rFonts w:ascii="Poppins" w:cs="Poppins" w:eastAsia="Poppins" w:hAnsi="Poppins"/>
          <w:b/>
          <w:bCs/>
          <w:color w:val="2C3E50"/>
          <w:sz w:val="26"/>
          <w:szCs w:val="26"/>
        </w:rPr>
        <w:t xml:space="preserve">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005596" w:sz="1"/>
              <w:left w:val="single" w:color="005596" w:sz="1"/>
              <w:bottom w:val="single" w:color="005596" w:sz="1"/>
              <w:right w:val="single" w:color="005596" w:sz="1"/>
            </w:tcBorders>
            <w:shd w:fill="005596" w:val="clear"/>
            <w:tcMar>
              <w:top w:type="dxa" w:w="60"/>
              <w:left w:type="dxa" w:w="120"/>
              <w:bottom w:type="dxa" w:w="60"/>
              <w:right w:type="dxa" w:w="120"/>
            </w:tcMar>
          </w:tcPr>
          <w:p>
            <w:r>
              <w:rPr>
                <w:rFonts w:ascii="Poppins" w:cs="Poppins" w:eastAsia="Poppins" w:hAnsi="Poppins"/>
                <w:b/>
                <w:bCs/>
                <w:color w:val="FFFFFF"/>
                <w:sz w:val="20"/>
                <w:szCs w:val="20"/>
              </w:rPr>
              <w:t xml:space="preserve">Use Case</w:t>
            </w:r>
          </w:p>
        </w:tc>
        <w:tc>
          <w:tcPr>
            <w:tcW w:type="dxa" w:w="4360"/>
            <w:tcBorders>
              <w:top w:val="single" w:color="005596" w:sz="1"/>
              <w:left w:val="single" w:color="005596" w:sz="1"/>
              <w:bottom w:val="single" w:color="005596" w:sz="1"/>
              <w:right w:val="single" w:color="005596" w:sz="1"/>
            </w:tcBorders>
            <w:shd w:fill="005596" w:val="clear"/>
            <w:tcMar>
              <w:top w:type="dxa" w:w="60"/>
              <w:left w:type="dxa" w:w="120"/>
              <w:bottom w:type="dxa" w:w="60"/>
              <w:right w:type="dxa" w:w="120"/>
            </w:tcMar>
          </w:tcPr>
          <w:p>
            <w:r>
              <w:rPr>
                <w:rFonts w:ascii="Poppins" w:cs="Poppins" w:eastAsia="Poppins" w:hAnsi="Poppins"/>
                <w:b/>
                <w:bCs/>
                <w:color w:val="FFFFFF"/>
                <w:sz w:val="20"/>
                <w:szCs w:val="20"/>
              </w:rPr>
              <w:t xml:space="preserve">Description</w:t>
            </w:r>
          </w:p>
        </w:tc>
        <w:tc>
          <w:tcPr>
            <w:tcW w:type="dxa" w:w="2400"/>
            <w:tcBorders>
              <w:top w:val="single" w:color="005596" w:sz="1"/>
              <w:left w:val="single" w:color="005596" w:sz="1"/>
              <w:bottom w:val="single" w:color="005596" w:sz="1"/>
              <w:right w:val="single" w:color="005596" w:sz="1"/>
            </w:tcBorders>
            <w:shd w:fill="005596" w:val="clear"/>
            <w:tcMar>
              <w:top w:type="dxa" w:w="60"/>
              <w:left w:type="dxa" w:w="120"/>
              <w:bottom w:type="dxa" w:w="60"/>
              <w:right w:type="dxa" w:w="120"/>
            </w:tcMar>
          </w:tcPr>
          <w:p>
            <w:r>
              <w:rPr>
                <w:rFonts w:ascii="Poppins" w:cs="Poppins" w:eastAsia="Poppins" w:hAnsi="Poppins"/>
                <w:b/>
                <w:bCs/>
                <w:color w:val="FFFFFF"/>
                <w:sz w:val="20"/>
                <w:szCs w:val="20"/>
              </w:rPr>
              <w:t xml:space="preserve">Data Required</w:t>
            </w:r>
          </w:p>
        </w:tc>
      </w:tr>
      <w:tr>
        <w:tc>
          <w:tcPr>
            <w:tcW w:type="dxa" w:w="260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Khula" w:cs="Khula" w:eastAsia="Khula" w:hAnsi="Khula"/>
                <w:b/>
                <w:bCs/>
                <w:color w:val="2C3E50"/>
                <w:sz w:val="20"/>
                <w:szCs w:val="20"/>
              </w:rPr>
              <w:t xml:space="preserve">Financial Reconciliation Agent</w:t>
            </w:r>
          </w:p>
        </w:tc>
        <w:tc>
          <w:tcPr>
            <w:tcW w:type="dxa" w:w="436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pPr>
              <w:spacing w:line="260"/>
            </w:pPr>
            <w:r>
              <w:rPr>
                <w:rFonts w:ascii="Khula" w:cs="Khula" w:eastAsia="Khula" w:hAnsi="Khula"/>
                <w:color w:val="333333"/>
                <w:sz w:val="20"/>
                <w:szCs w:val="20"/>
              </w:rPr>
              <w:t xml:space="preserve">Compare disparate financial reports from acquisition targets. Spot inconsistencies in “underperforming but mature” businesses that standard accounting software misses.</w:t>
            </w:r>
          </w:p>
        </w:tc>
        <w:tc>
          <w:tcPr>
            <w:tcW w:type="dxa" w:w="240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pPr>
              <w:spacing w:line="260"/>
            </w:pPr>
            <w:r>
              <w:rPr>
                <w:rFonts w:ascii="Khula" w:cs="Khula" w:eastAsia="Khula" w:hAnsi="Khula"/>
                <w:color w:val="666666"/>
                <w:sz w:val="20"/>
                <w:szCs w:val="20"/>
              </w:rPr>
              <w:t xml:space="preserve">Target financials, benchmarks, industry comps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Khula" w:cs="Khula" w:eastAsia="Khula" w:hAnsi="Khula"/>
                <w:b/>
                <w:bCs/>
                <w:color w:val="2C3E50"/>
                <w:sz w:val="20"/>
                <w:szCs w:val="20"/>
              </w:rPr>
              <w:t xml:space="preserve">Shadow Board Agent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60"/>
            </w:pPr>
            <w:r>
              <w:rPr>
                <w:rFonts w:ascii="Khula" w:cs="Khula" w:eastAsia="Khula" w:hAnsi="Khula"/>
                <w:color w:val="333333"/>
                <w:sz w:val="20"/>
                <w:szCs w:val="20"/>
              </w:rPr>
              <w:t xml:space="preserve">Feed board decks, financial statements, and strategic briefs from automotive holdings. AI acts as skeptical activist investor identifying weak assumptions.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60"/>
            </w:pPr>
            <w:r>
              <w:rPr>
                <w:rFonts w:ascii="Khula" w:cs="Khula" w:eastAsia="Khula" w:hAnsi="Khula"/>
                <w:color w:val="666666"/>
                <w:sz w:val="20"/>
                <w:szCs w:val="20"/>
              </w:rPr>
              <w:t xml:space="preserve">Board decks, financials, strategic plans</w:t>
            </w:r>
          </w:p>
        </w:tc>
      </w:tr>
    </w:tbl>
    <w:p>
      <w:pPr>
        <w:spacing w:before="120" w:after="120"/>
      </w:pPr>
    </w:p>
    <w:p>
      <w:pPr>
        <w:pStyle w:val="Heading2"/>
        <w:spacing w:before="280" w:after="120"/>
      </w:pPr>
      <w:r>
        <w:rPr>
          <w:rFonts w:ascii="Poppins" w:cs="Poppins" w:eastAsia="Poppins" w:hAnsi="Poppins"/>
          <w:b/>
          <w:bCs/>
          <w:color w:val="2C3E50"/>
          <w:sz w:val="26"/>
          <w:szCs w:val="26"/>
        </w:rPr>
        <w:t xml:space="preserve">Implementation Approach</w:t>
      </w:r>
    </w:p>
    <w:p>
      <w:pPr>
        <w:pStyle w:val="ListParagraph"/>
        <w:numPr>
          <w:ilvl w:val="0"/>
          <w:numId w:val="2"/>
        </w:numPr>
        <w:spacing w:before="40" w:after="40" w:line="300"/>
      </w:pPr>
      <w:r>
        <w:rPr>
          <w:rFonts w:ascii="Khula" w:cs="Khula" w:eastAsia="Khula" w:hAnsi="Khula"/>
          <w:color w:val="333333"/>
          <w:sz w:val="22"/>
          <w:szCs w:val="22"/>
        </w:rPr>
        <w:t xml:space="preserve">Build financial document parsing pipeline (OCR, table extraction, normalization)</w:t>
      </w:r>
    </w:p>
    <w:p>
      <w:pPr>
        <w:pStyle w:val="ListParagraph"/>
        <w:numPr>
          <w:ilvl w:val="0"/>
          <w:numId w:val="2"/>
        </w:numPr>
        <w:spacing w:before="40" w:after="40" w:line="300"/>
      </w:pPr>
      <w:r>
        <w:rPr>
          <w:rFonts w:ascii="Khula" w:cs="Khula" w:eastAsia="Khula" w:hAnsi="Khula"/>
          <w:color w:val="333333"/>
          <w:sz w:val="22"/>
          <w:szCs w:val="22"/>
        </w:rPr>
        <w:t xml:space="preserve">Develop comparison frameworks for cross-company financial analysis</w:t>
      </w:r>
    </w:p>
    <w:p>
      <w:pPr>
        <w:pStyle w:val="ListParagraph"/>
        <w:numPr>
          <w:ilvl w:val="0"/>
          <w:numId w:val="2"/>
        </w:numPr>
        <w:spacing w:before="40" w:after="40" w:line="300"/>
      </w:pPr>
      <w:r>
        <w:rPr>
          <w:rFonts w:ascii="Khula" w:cs="Khula" w:eastAsia="Khula" w:hAnsi="Khula"/>
          <w:color w:val="333333"/>
          <w:sz w:val="22"/>
          <w:szCs w:val="22"/>
        </w:rPr>
        <w:t xml:space="preserve">Create “activist investor” prompt architecture with industry-specific mental models</w:t>
      </w:r>
    </w:p>
    <w:p>
      <w:pPr>
        <w:pStyle w:val="ListParagraph"/>
        <w:numPr>
          <w:ilvl w:val="0"/>
          <w:numId w:val="2"/>
        </w:numPr>
        <w:spacing w:before="40" w:after="40" w:line="300"/>
      </w:pPr>
      <w:r>
        <w:rPr>
          <w:rFonts w:ascii="Khula" w:cs="Khula" w:eastAsia="Khula" w:hAnsi="Khula"/>
          <w:color w:val="333333"/>
          <w:sz w:val="22"/>
          <w:szCs w:val="22"/>
        </w:rPr>
        <w:t xml:space="preserve">Implement human-in-the-loop review for all financial conclusions</w:t>
      </w:r>
    </w:p>
    <w:p>
      <w:pPr>
        <w:pStyle w:val="ListParagraph"/>
        <w:numPr>
          <w:ilvl w:val="0"/>
          <w:numId w:val="2"/>
        </w:numPr>
        <w:spacing w:before="40" w:after="40" w:line="300"/>
      </w:pPr>
      <w:r>
        <w:rPr>
          <w:rFonts w:ascii="Khula" w:cs="Khula" w:eastAsia="Khula" w:hAnsi="Khula"/>
          <w:color w:val="333333"/>
          <w:sz w:val="22"/>
          <w:szCs w:val="22"/>
        </w:rPr>
        <w:t xml:space="preserve">Extensive testing with historical data before live deployment</w:t>
      </w:r>
    </w:p>
    <w:p>
      <w:pPr>
        <w:pStyle w:val="Heading2"/>
        <w:spacing w:before="280" w:after="120"/>
      </w:pPr>
      <w:r>
        <w:rPr>
          <w:rFonts w:ascii="Poppins" w:cs="Poppins" w:eastAsia="Poppins" w:hAnsi="Poppins"/>
          <w:b/>
          <w:bCs/>
          <w:color w:val="2C3E50"/>
          <w:sz w:val="26"/>
          <w:szCs w:val="26"/>
        </w:rPr>
        <w:t xml:space="preserve">Connectors Required</w:t>
      </w:r>
    </w:p>
    <w:p>
      <w:pPr>
        <w:pStyle w:val="ListParagraph"/>
        <w:numPr>
          <w:ilvl w:val="0"/>
          <w:numId w:val="2"/>
        </w:numPr>
        <w:spacing w:before="40" w:after="40" w:line="300"/>
      </w:pPr>
      <w:r>
        <w:rPr>
          <w:rFonts w:ascii="Khula" w:cs="Khula" w:eastAsia="Khula" w:hAnsi="Khula"/>
          <w:color w:val="333333"/>
          <w:sz w:val="22"/>
          <w:szCs w:val="22"/>
        </w:rPr>
        <w:t xml:space="preserve">Document ingestion pipeline for Google Drive (PDF, Excel, various formats)</w:t>
      </w:r>
    </w:p>
    <w:p>
      <w:pPr>
        <w:pStyle w:val="ListParagraph"/>
        <w:numPr>
          <w:ilvl w:val="0"/>
          <w:numId w:val="2"/>
        </w:numPr>
        <w:spacing w:before="40" w:after="40" w:line="300"/>
      </w:pPr>
      <w:r>
        <w:rPr>
          <w:rFonts w:ascii="Khula" w:cs="Khula" w:eastAsia="Khula" w:hAnsi="Khula"/>
          <w:color w:val="333333"/>
          <w:sz w:val="22"/>
          <w:szCs w:val="22"/>
        </w:rPr>
        <w:t xml:space="preserve">Dealership DMS integration for real-time operational data</w:t>
      </w:r>
    </w:p>
    <w:p>
      <w:pPr>
        <w:pStyle w:val="ListParagraph"/>
        <w:numPr>
          <w:ilvl w:val="0"/>
          <w:numId w:val="2"/>
        </w:numPr>
        <w:spacing w:before="40" w:after="40" w:line="300"/>
      </w:pPr>
      <w:r>
        <w:rPr>
          <w:rFonts w:ascii="Khula" w:cs="Khula" w:eastAsia="Khula" w:hAnsi="Khula"/>
          <w:color w:val="333333"/>
          <w:sz w:val="22"/>
          <w:szCs w:val="22"/>
        </w:rPr>
        <w:t xml:space="preserve">Benchmarking data (NADA guides, industry performance metrics)</w:t>
      </w:r>
    </w:p>
    <w:p>
      <w:pPr>
        <w:pStyle w:val="ListParagraph"/>
        <w:numPr>
          <w:ilvl w:val="0"/>
          <w:numId w:val="2"/>
        </w:numPr>
        <w:spacing w:before="40" w:after="40" w:line="300"/>
      </w:pPr>
      <w:r>
        <w:rPr>
          <w:rFonts w:ascii="Khula" w:cs="Khula" w:eastAsia="Khula" w:hAnsi="Khula"/>
          <w:color w:val="333333"/>
          <w:sz w:val="22"/>
          <w:szCs w:val="22"/>
        </w:rPr>
        <w:t xml:space="preserve">Secure document vault for acquisition-sensitive materials</w:t>
      </w:r>
    </w:p>
    <w:p>
      <w:r>
        <w:br w:type="page"/>
      </w:r>
    </w:p>
    <w:p>
      <w:pPr>
        <w:pStyle w:val="Heading1"/>
        <w:pBdr>
          <w:bottom w:val="single" w:color="005596" w:sz="3" w:space="6"/>
        </w:pBdr>
        <w:spacing w:before="360" w:after="60"/>
      </w:pPr>
      <w:r>
        <w:rPr>
          <w:rFonts w:ascii="Poppins" w:cs="Poppins" w:eastAsia="Poppins" w:hAnsi="Poppins"/>
          <w:b/>
          <w:bCs/>
          <w:color w:val="005596"/>
          <w:sz w:val="36"/>
          <w:szCs w:val="36"/>
        </w:rPr>
        <w:t xml:space="preserve">Phase 4: Strategic Simulation Agents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single" w:color="005596" w:sz="1"/>
              <w:left w:val="single" w:color="005596" w:sz="1"/>
              <w:bottom w:val="single" w:color="005596" w:sz="1"/>
              <w:right w:val="single" w:color="005596" w:sz="1"/>
            </w:tcBorders>
            <w:shd w:fill="005596" w:val="clear"/>
            <w:tcMar>
              <w:top w:type="dxa" w:w="100"/>
              <w:left w:type="dxa" w:w="160"/>
              <w:bottom w:type="dxa" w:w="100"/>
              <w:right w:type="dxa" w:w="120"/>
            </w:tcMar>
          </w:tcPr>
          <w:p>
            <w:r>
              <w:rPr>
                <w:rFonts w:ascii="Poppins" w:cs="Poppins" w:eastAsia="Poppins" w:hAnsi="Poppins"/>
                <w:b/>
                <w:bCs/>
                <w:color w:val="FFFFFF"/>
                <w:sz w:val="24"/>
                <w:szCs w:val="24"/>
              </w:rPr>
              <w:t xml:space="preserve">Phase 4: </w:t>
            </w:r>
            <w:r>
              <w:rPr>
                <w:rFonts w:ascii="Poppins" w:cs="Poppins" w:eastAsia="Poppins" w:hAnsi="Poppins"/>
                <w:color w:val="FFFFFF"/>
                <w:sz w:val="24"/>
                <w:szCs w:val="24"/>
              </w:rPr>
              <w:t xml:space="preserve">Strategic Simulation</w:t>
            </w:r>
          </w:p>
        </w:tc>
        <w:tc>
          <w:tcPr>
            <w:tcW w:type="dxa" w:w="3560"/>
            <w:tcBorders>
              <w:top w:val="single" w:color="005596" w:sz="1"/>
              <w:left w:val="single" w:color="005596" w:sz="1"/>
              <w:bottom w:val="single" w:color="005596" w:sz="1"/>
              <w:right w:val="single" w:color="005596" w:sz="1"/>
            </w:tcBorders>
            <w:shd w:fill="4597D3" w:val="clear"/>
            <w:tcMar>
              <w:top w:type="dxa" w:w="100"/>
              <w:left w:type="dxa" w:w="120"/>
              <w:bottom w:type="dxa" w:w="100"/>
              <w:right w:type="dxa" w:w="160"/>
            </w:tcMar>
          </w:tcPr>
          <w:p>
            <w:pPr>
              <w:jc w:val="right"/>
            </w:pPr>
            <w:r>
              <w:rPr>
                <w:rFonts w:ascii="Khula" w:cs="Khula" w:eastAsia="Khula" w:hAnsi="Khula"/>
                <w:b/>
                <w:bCs/>
                <w:color w:val="FFFFFF"/>
                <w:sz w:val="20"/>
                <w:szCs w:val="20"/>
              </w:rPr>
              <w:t xml:space="preserve">Weeks 3–4 | Very High</w:t>
            </w:r>
          </w:p>
        </w:tc>
      </w:tr>
    </w:tbl>
    <w:p>
      <w:pPr>
        <w:spacing w:before="120" w:after="120"/>
      </w:pPr>
    </w:p>
    <w:p>
      <w:pPr>
        <w:spacing w:before="60" w:after="80" w:line="312"/>
      </w:pPr>
      <w:r>
        <w:rPr>
          <w:rFonts w:ascii="Khula" w:cs="Khula" w:eastAsia="Khula" w:hAnsi="Khula"/>
          <w:color w:val="333333"/>
          <w:sz w:val="22"/>
          <w:szCs w:val="22"/>
        </w:rPr>
        <w:t xml:space="preserve">The most sophisticated phase: multi-agent systems that simulate real-world business scenarios. These require all prior phases to be operational and benefit from accumulated data and trained models.</w:t>
      </w:r>
    </w:p>
    <w:p>
      <w:pPr>
        <w:spacing w:before="60" w:after="60"/>
      </w:pPr>
    </w:p>
    <w:p>
      <w:pPr>
        <w:pStyle w:val="Heading2"/>
        <w:spacing w:before="280" w:after="120"/>
      </w:pPr>
      <w:r>
        <w:rPr>
          <w:rFonts w:ascii="Poppins" w:cs="Poppins" w:eastAsia="Poppins" w:hAnsi="Poppins"/>
          <w:b/>
          <w:bCs/>
          <w:color w:val="2C3E50"/>
          <w:sz w:val="26"/>
          <w:szCs w:val="26"/>
        </w:rPr>
        <w:t xml:space="preserve">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005596" w:sz="1"/>
              <w:left w:val="single" w:color="005596" w:sz="1"/>
              <w:bottom w:val="single" w:color="005596" w:sz="1"/>
              <w:right w:val="single" w:color="005596" w:sz="1"/>
            </w:tcBorders>
            <w:shd w:fill="005596" w:val="clear"/>
            <w:tcMar>
              <w:top w:type="dxa" w:w="60"/>
              <w:left w:type="dxa" w:w="120"/>
              <w:bottom w:type="dxa" w:w="60"/>
              <w:right w:type="dxa" w:w="120"/>
            </w:tcMar>
          </w:tcPr>
          <w:p>
            <w:r>
              <w:rPr>
                <w:rFonts w:ascii="Poppins" w:cs="Poppins" w:eastAsia="Poppins" w:hAnsi="Poppins"/>
                <w:b/>
                <w:bCs/>
                <w:color w:val="FFFFFF"/>
                <w:sz w:val="20"/>
                <w:szCs w:val="20"/>
              </w:rPr>
              <w:t xml:space="preserve">Use Case</w:t>
            </w:r>
          </w:p>
        </w:tc>
        <w:tc>
          <w:tcPr>
            <w:tcW w:type="dxa" w:w="4360"/>
            <w:tcBorders>
              <w:top w:val="single" w:color="005596" w:sz="1"/>
              <w:left w:val="single" w:color="005596" w:sz="1"/>
              <w:bottom w:val="single" w:color="005596" w:sz="1"/>
              <w:right w:val="single" w:color="005596" w:sz="1"/>
            </w:tcBorders>
            <w:shd w:fill="005596" w:val="clear"/>
            <w:tcMar>
              <w:top w:type="dxa" w:w="60"/>
              <w:left w:type="dxa" w:w="120"/>
              <w:bottom w:type="dxa" w:w="60"/>
              <w:right w:type="dxa" w:w="120"/>
            </w:tcMar>
          </w:tcPr>
          <w:p>
            <w:r>
              <w:rPr>
                <w:rFonts w:ascii="Poppins" w:cs="Poppins" w:eastAsia="Poppins" w:hAnsi="Poppins"/>
                <w:b/>
                <w:bCs/>
                <w:color w:val="FFFFFF"/>
                <w:sz w:val="20"/>
                <w:szCs w:val="20"/>
              </w:rPr>
              <w:t xml:space="preserve">Description</w:t>
            </w:r>
          </w:p>
        </w:tc>
        <w:tc>
          <w:tcPr>
            <w:tcW w:type="dxa" w:w="2400"/>
            <w:tcBorders>
              <w:top w:val="single" w:color="005596" w:sz="1"/>
              <w:left w:val="single" w:color="005596" w:sz="1"/>
              <w:bottom w:val="single" w:color="005596" w:sz="1"/>
              <w:right w:val="single" w:color="005596" w:sz="1"/>
            </w:tcBorders>
            <w:shd w:fill="005596" w:val="clear"/>
            <w:tcMar>
              <w:top w:type="dxa" w:w="60"/>
              <w:left w:type="dxa" w:w="120"/>
              <w:bottom w:type="dxa" w:w="60"/>
              <w:right w:type="dxa" w:w="120"/>
            </w:tcMar>
          </w:tcPr>
          <w:p>
            <w:r>
              <w:rPr>
                <w:rFonts w:ascii="Poppins" w:cs="Poppins" w:eastAsia="Poppins" w:hAnsi="Poppins"/>
                <w:b/>
                <w:bCs/>
                <w:color w:val="FFFFFF"/>
                <w:sz w:val="20"/>
                <w:szCs w:val="20"/>
              </w:rPr>
              <w:t xml:space="preserve">Data Required</w:t>
            </w:r>
          </w:p>
        </w:tc>
      </w:tr>
      <w:tr>
        <w:tc>
          <w:tcPr>
            <w:tcW w:type="dxa" w:w="260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r>
              <w:rPr>
                <w:rFonts w:ascii="Khula" w:cs="Khula" w:eastAsia="Khula" w:hAnsi="Khula"/>
                <w:b/>
                <w:bCs/>
                <w:color w:val="2C3E50"/>
                <w:sz w:val="20"/>
                <w:szCs w:val="20"/>
              </w:rPr>
              <w:t xml:space="preserve">Moat Builder (F&amp;I Simulation)</w:t>
            </w:r>
          </w:p>
        </w:tc>
        <w:tc>
          <w:tcPr>
            <w:tcW w:type="dxa" w:w="436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pPr>
              <w:spacing w:line="260"/>
            </w:pPr>
            <w:r>
              <w:rPr>
                <w:rFonts w:ascii="Khula" w:cs="Khula" w:eastAsia="Khula" w:hAnsi="Khula"/>
                <w:color w:val="333333"/>
                <w:sz w:val="20"/>
                <w:szCs w:val="20"/>
              </w:rPr>
              <w:t xml:space="preserve">Simulate aggressive AI buyer negotiating against dealership F&amp;I processes. Identify breakdowns before real AI buyers arrive in the market.</w:t>
            </w:r>
          </w:p>
        </w:tc>
        <w:tc>
          <w:tcPr>
            <w:tcW w:type="dxa" w:w="2400"/>
            <w:tcBorders>
              <w:top w:val="single" w:color="CCCCCC" w:sz="1"/>
              <w:left w:val="single" w:color="CCCCCC" w:sz="1"/>
              <w:bottom w:val="single" w:color="CCCCCC" w:sz="1"/>
              <w:right w:val="single" w:color="CCCCCC" w:sz="1"/>
            </w:tcBorders>
            <w:shd w:fill="F0F6FB" w:val="clear"/>
            <w:tcMar>
              <w:top w:type="dxa" w:w="60"/>
              <w:left w:type="dxa" w:w="120"/>
              <w:bottom w:type="dxa" w:w="60"/>
              <w:right w:type="dxa" w:w="120"/>
            </w:tcMar>
          </w:tcPr>
          <w:p>
            <w:pPr>
              <w:spacing w:line="260"/>
            </w:pPr>
            <w:r>
              <w:rPr>
                <w:rFonts w:ascii="Khula" w:cs="Khula" w:eastAsia="Khula" w:hAnsi="Khula"/>
                <w:color w:val="666666"/>
                <w:sz w:val="20"/>
                <w:szCs w:val="20"/>
              </w:rPr>
              <w:t xml:space="preserve">F&amp;I products, negotiation scripts, pricing, deal history</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Khula" w:cs="Khula" w:eastAsia="Khula" w:hAnsi="Khula"/>
                <w:b/>
                <w:bCs/>
                <w:color w:val="2C3E50"/>
                <w:sz w:val="20"/>
                <w:szCs w:val="20"/>
              </w:rPr>
              <w:t xml:space="preserve">Synthetic Negotiation</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60"/>
            </w:pPr>
            <w:r>
              <w:rPr>
                <w:rFonts w:ascii="Khula" w:cs="Khula" w:eastAsia="Khula" w:hAnsi="Khula"/>
                <w:color w:val="333333"/>
                <w:sz w:val="20"/>
                <w:szCs w:val="20"/>
              </w:rPr>
              <w:t xml:space="preserve">Multi-agent simulation: one AI as buyer, another as Steve, to practice acquisition pitches for buying and selling companies.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260"/>
            </w:pPr>
            <w:r>
              <w:rPr>
                <w:rFonts w:ascii="Khula" w:cs="Khula" w:eastAsia="Khula" w:hAnsi="Khula"/>
                <w:color w:val="666666"/>
                <w:sz w:val="20"/>
                <w:szCs w:val="20"/>
              </w:rPr>
              <w:t xml:space="preserve">Deal terms, valuations, comps, Steve’s negotiation style</w:t>
            </w:r>
          </w:p>
        </w:tc>
      </w:tr>
    </w:tbl>
    <w:p>
      <w:pPr>
        <w:spacing w:before="120" w:after="120"/>
      </w:pPr>
    </w:p>
    <w:p>
      <w:pPr>
        <w:pStyle w:val="Heading2"/>
        <w:spacing w:before="280" w:after="120"/>
      </w:pPr>
      <w:r>
        <w:rPr>
          <w:rFonts w:ascii="Poppins" w:cs="Poppins" w:eastAsia="Poppins" w:hAnsi="Poppins"/>
          <w:b/>
          <w:bCs/>
          <w:color w:val="2C3E50"/>
          <w:sz w:val="26"/>
          <w:szCs w:val="26"/>
        </w:rPr>
        <w:t xml:space="preserve">Implementation Approach</w:t>
      </w:r>
    </w:p>
    <w:p>
      <w:pPr>
        <w:pStyle w:val="ListParagraph"/>
        <w:numPr>
          <w:ilvl w:val="0"/>
          <w:numId w:val="2"/>
        </w:numPr>
        <w:spacing w:before="40" w:after="40" w:line="300"/>
      </w:pPr>
      <w:r>
        <w:rPr>
          <w:rFonts w:ascii="Khula" w:cs="Khula" w:eastAsia="Khula" w:hAnsi="Khula"/>
          <w:color w:val="333333"/>
          <w:sz w:val="22"/>
          <w:szCs w:val="22"/>
        </w:rPr>
        <w:t xml:space="preserve">Build multi-agent orchestration framework</w:t>
      </w:r>
    </w:p>
    <w:p>
      <w:pPr>
        <w:pStyle w:val="ListParagraph"/>
        <w:numPr>
          <w:ilvl w:val="0"/>
          <w:numId w:val="2"/>
        </w:numPr>
        <w:spacing w:before="40" w:after="40" w:line="300"/>
      </w:pPr>
      <w:r>
        <w:rPr>
          <w:rFonts w:ascii="Khula" w:cs="Khula" w:eastAsia="Khula" w:hAnsi="Khula"/>
          <w:color w:val="333333"/>
          <w:sz w:val="22"/>
          <w:szCs w:val="22"/>
        </w:rPr>
        <w:t xml:space="preserve">Train buyer/seller personas on industry-specific negotiation patterns</w:t>
      </w:r>
    </w:p>
    <w:p>
      <w:pPr>
        <w:pStyle w:val="ListParagraph"/>
        <w:numPr>
          <w:ilvl w:val="0"/>
          <w:numId w:val="2"/>
        </w:numPr>
        <w:spacing w:before="40" w:after="40" w:line="300"/>
      </w:pPr>
      <w:r>
        <w:rPr>
          <w:rFonts w:ascii="Khula" w:cs="Khula" w:eastAsia="Khula" w:hAnsi="Khula"/>
          <w:color w:val="333333"/>
          <w:sz w:val="22"/>
          <w:szCs w:val="22"/>
        </w:rPr>
        <w:t xml:space="preserve">Develop F&amp;I process model from Steve’s dealership data</w:t>
      </w:r>
    </w:p>
    <w:p>
      <w:pPr>
        <w:pStyle w:val="ListParagraph"/>
        <w:numPr>
          <w:ilvl w:val="0"/>
          <w:numId w:val="2"/>
        </w:numPr>
        <w:spacing w:before="40" w:after="40" w:line="300"/>
      </w:pPr>
      <w:r>
        <w:rPr>
          <w:rFonts w:ascii="Khula" w:cs="Khula" w:eastAsia="Khula" w:hAnsi="Khula"/>
          <w:color w:val="333333"/>
          <w:sz w:val="22"/>
          <w:szCs w:val="22"/>
        </w:rPr>
        <w:t xml:space="preserve">Create scenario libraries with varying difficulty levels</w:t>
      </w:r>
    </w:p>
    <w:p>
      <w:pPr>
        <w:pStyle w:val="ListParagraph"/>
        <w:numPr>
          <w:ilvl w:val="0"/>
          <w:numId w:val="2"/>
        </w:numPr>
        <w:spacing w:before="40" w:after="40" w:line="300"/>
      </w:pPr>
      <w:r>
        <w:rPr>
          <w:rFonts w:ascii="Khula" w:cs="Khula" w:eastAsia="Khula" w:hAnsi="Khula"/>
          <w:color w:val="333333"/>
          <w:sz w:val="22"/>
          <w:szCs w:val="22"/>
        </w:rPr>
        <w:t xml:space="preserve">Implement replay and analysis tools for post-simulation review</w:t>
      </w:r>
    </w:p>
    <w:p>
      <w:pPr>
        <w:pStyle w:val="ListParagraph"/>
        <w:numPr>
          <w:ilvl w:val="0"/>
          <w:numId w:val="2"/>
        </w:numPr>
        <w:spacing w:before="40" w:after="40" w:line="300"/>
      </w:pPr>
      <w:r>
        <w:rPr>
          <w:rFonts w:ascii="Khula" w:cs="Khula" w:eastAsia="Khula" w:hAnsi="Khula"/>
          <w:color w:val="333333"/>
          <w:sz w:val="22"/>
          <w:szCs w:val="22"/>
        </w:rPr>
        <w:t xml:space="preserve">Iterate with Steve through live practice sessions</w:t>
      </w:r>
    </w:p>
    <w:p>
      <w:pPr>
        <w:pStyle w:val="Heading2"/>
        <w:spacing w:before="280" w:after="120"/>
      </w:pPr>
      <w:r>
        <w:rPr>
          <w:rFonts w:ascii="Poppins" w:cs="Poppins" w:eastAsia="Poppins" w:hAnsi="Poppins"/>
          <w:b/>
          <w:bCs/>
          <w:color w:val="2C3E50"/>
          <w:sz w:val="26"/>
          <w:szCs w:val="26"/>
        </w:rPr>
        <w:t xml:space="preserve">Success Criteria</w:t>
      </w:r>
    </w:p>
    <w:p>
      <w:pPr>
        <w:pStyle w:val="ListParagraph"/>
        <w:numPr>
          <w:ilvl w:val="0"/>
          <w:numId w:val="2"/>
        </w:numPr>
        <w:spacing w:before="40" w:after="40" w:line="300"/>
      </w:pPr>
      <w:r>
        <w:rPr>
          <w:rFonts w:ascii="Khula" w:cs="Khula" w:eastAsia="Khula" w:hAnsi="Khula"/>
          <w:color w:val="333333"/>
          <w:sz w:val="22"/>
          <w:szCs w:val="22"/>
        </w:rPr>
        <w:t xml:space="preserve">F&amp;I simulation identifies at least 3 process vulnerabilities Steve’s team validates</w:t>
      </w:r>
    </w:p>
    <w:p>
      <w:pPr>
        <w:pStyle w:val="ListParagraph"/>
        <w:numPr>
          <w:ilvl w:val="0"/>
          <w:numId w:val="2"/>
        </w:numPr>
        <w:spacing w:before="40" w:after="40" w:line="300"/>
      </w:pPr>
      <w:r>
        <w:rPr>
          <w:rFonts w:ascii="Khula" w:cs="Khula" w:eastAsia="Khula" w:hAnsi="Khula"/>
          <w:color w:val="333333"/>
          <w:sz w:val="22"/>
          <w:szCs w:val="22"/>
        </w:rPr>
        <w:t xml:space="preserve">Synthetic negotiation produces scenarios Steve considers realistic</w:t>
      </w:r>
    </w:p>
    <w:p>
      <w:pPr>
        <w:pStyle w:val="ListParagraph"/>
        <w:numPr>
          <w:ilvl w:val="0"/>
          <w:numId w:val="2"/>
        </w:numPr>
        <w:spacing w:before="40" w:after="40" w:line="300"/>
      </w:pPr>
      <w:r>
        <w:rPr>
          <w:rFonts w:ascii="Khula" w:cs="Khula" w:eastAsia="Khula" w:hAnsi="Khula"/>
          <w:color w:val="333333"/>
          <w:sz w:val="22"/>
          <w:szCs w:val="22"/>
        </w:rPr>
        <w:t xml:space="preserve">Steve uses simulation prep before at least one real acquisition conversation</w:t>
      </w:r>
    </w:p>
    <w:p>
      <w:r>
        <w:br w:type="page"/>
      </w:r>
    </w:p>
    <w:p>
      <w:pPr>
        <w:pStyle w:val="Heading1"/>
        <w:pBdr>
          <w:bottom w:val="single" w:color="005596" w:sz="3" w:space="6"/>
        </w:pBdr>
        <w:spacing w:before="360" w:after="60"/>
      </w:pPr>
      <w:r>
        <w:rPr>
          <w:rFonts w:ascii="Poppins" w:cs="Poppins" w:eastAsia="Poppins" w:hAnsi="Poppins"/>
          <w:b/>
          <w:bCs/>
          <w:color w:val="005596"/>
          <w:sz w:val="36"/>
          <w:szCs w:val="36"/>
        </w:rPr>
        <w:t xml:space="preserve">Timeline Overview</w:t>
      </w:r>
    </w:p>
    <w:p>
      <w:pPr>
        <w:spacing w:before="60" w:after="60"/>
      </w:pPr>
    </w:p>
    <w:p>
      <w:pPr>
        <w:spacing w:before="60" w:after="80" w:line="312"/>
      </w:pPr>
      <w:r>
        <w:rPr>
          <w:rFonts w:ascii="Khula" w:cs="Khula" w:eastAsia="Khula" w:hAnsi="Khula"/>
          <w:color w:val="333333"/>
          <w:sz w:val="22"/>
          <w:szCs w:val="22"/>
        </w:rPr>
        <w:t xml:space="preserve">The full implementation spans approximately 3–4 weeks with aggressive parallel execution. Each phase delivers standalone value, and phases overlap significantly after the initial data discovery and executive OS foundation are in place.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1960"/>
        <w:gridCol w:w="1600"/>
      </w:tblGrid>
      <w:tr>
        <w:tc>
          <w:tcPr>
            <w:tcW w:type="dxa" w:w="2800"/>
            <w:tcBorders>
              <w:top w:val="single" w:color="005596" w:sz="1"/>
              <w:left w:val="single" w:color="005596" w:sz="1"/>
              <w:bottom w:val="single" w:color="005596" w:sz="1"/>
              <w:right w:val="single" w:color="005596" w:sz="1"/>
            </w:tcBorders>
            <w:shd w:fill="005596" w:val="clear"/>
            <w:tcMar>
              <w:top w:type="dxa" w:w="60"/>
              <w:left w:type="dxa" w:w="100"/>
              <w:bottom w:type="dxa" w:w="60"/>
              <w:right w:type="dxa" w:w="100"/>
            </w:tcMar>
          </w:tcPr>
          <w:p>
            <w:r>
              <w:rPr>
                <w:rFonts w:ascii="Poppins" w:cs="Poppins" w:eastAsia="Poppins" w:hAnsi="Poppins"/>
                <w:b/>
                <w:bCs/>
                <w:color w:val="FFFFFF"/>
                <w:sz w:val="20"/>
                <w:szCs w:val="20"/>
              </w:rPr>
              <w:t xml:space="preserve">Phase</w:t>
            </w:r>
          </w:p>
        </w:tc>
        <w:tc>
          <w:tcPr>
            <w:tcW w:type="dxa" w:w="1400"/>
            <w:tcBorders>
              <w:top w:val="single" w:color="005596" w:sz="1"/>
              <w:left w:val="single" w:color="005596" w:sz="1"/>
              <w:bottom w:val="single" w:color="005596" w:sz="1"/>
              <w:right w:val="single" w:color="005596" w:sz="1"/>
            </w:tcBorders>
            <w:shd w:fill="005596" w:val="clear"/>
            <w:tcMar>
              <w:top w:type="dxa" w:w="60"/>
              <w:left w:type="dxa" w:w="100"/>
              <w:bottom w:type="dxa" w:w="60"/>
              <w:right w:type="dxa" w:w="100"/>
            </w:tcMar>
          </w:tcPr>
          <w:p>
            <w:r>
              <w:rPr>
                <w:rFonts w:ascii="Poppins" w:cs="Poppins" w:eastAsia="Poppins" w:hAnsi="Poppins"/>
                <w:b/>
                <w:bCs/>
                <w:color w:val="FFFFFF"/>
                <w:sz w:val="20"/>
                <w:szCs w:val="20"/>
              </w:rPr>
              <w:t xml:space="preserve">Duration</w:t>
            </w:r>
          </w:p>
        </w:tc>
        <w:tc>
          <w:tcPr>
            <w:tcW w:type="dxa" w:w="1600"/>
            <w:tcBorders>
              <w:top w:val="single" w:color="005596" w:sz="1"/>
              <w:left w:val="single" w:color="005596" w:sz="1"/>
              <w:bottom w:val="single" w:color="005596" w:sz="1"/>
              <w:right w:val="single" w:color="005596" w:sz="1"/>
            </w:tcBorders>
            <w:shd w:fill="005596" w:val="clear"/>
            <w:tcMar>
              <w:top w:type="dxa" w:w="60"/>
              <w:left w:type="dxa" w:w="100"/>
              <w:bottom w:type="dxa" w:w="60"/>
              <w:right w:type="dxa" w:w="100"/>
            </w:tcMar>
          </w:tcPr>
          <w:p>
            <w:r>
              <w:rPr>
                <w:rFonts w:ascii="Poppins" w:cs="Poppins" w:eastAsia="Poppins" w:hAnsi="Poppins"/>
                <w:b/>
                <w:bCs/>
                <w:color w:val="FFFFFF"/>
                <w:sz w:val="20"/>
                <w:szCs w:val="20"/>
              </w:rPr>
              <w:t xml:space="preserve">Complexity</w:t>
            </w:r>
          </w:p>
        </w:tc>
        <w:tc>
          <w:tcPr>
            <w:tcW w:type="dxa" w:w="1960"/>
            <w:tcBorders>
              <w:top w:val="single" w:color="005596" w:sz="1"/>
              <w:left w:val="single" w:color="005596" w:sz="1"/>
              <w:bottom w:val="single" w:color="005596" w:sz="1"/>
              <w:right w:val="single" w:color="005596" w:sz="1"/>
            </w:tcBorders>
            <w:shd w:fill="005596" w:val="clear"/>
            <w:tcMar>
              <w:top w:type="dxa" w:w="60"/>
              <w:left w:type="dxa" w:w="100"/>
              <w:bottom w:type="dxa" w:w="60"/>
              <w:right w:type="dxa" w:w="100"/>
            </w:tcMar>
          </w:tcPr>
          <w:p>
            <w:r>
              <w:rPr>
                <w:rFonts w:ascii="Poppins" w:cs="Poppins" w:eastAsia="Poppins" w:hAnsi="Poppins"/>
                <w:b/>
                <w:bCs/>
                <w:color w:val="FFFFFF"/>
                <w:sz w:val="20"/>
                <w:szCs w:val="20"/>
              </w:rPr>
              <w:t xml:space="preserve">Depends On</w:t>
            </w:r>
          </w:p>
        </w:tc>
        <w:tc>
          <w:tcPr>
            <w:tcW w:type="dxa" w:w="1600"/>
            <w:tcBorders>
              <w:top w:val="single" w:color="005596" w:sz="1"/>
              <w:left w:val="single" w:color="005596" w:sz="1"/>
              <w:bottom w:val="single" w:color="005596" w:sz="1"/>
              <w:right w:val="single" w:color="005596" w:sz="1"/>
            </w:tcBorders>
            <w:shd w:fill="005596" w:val="clear"/>
            <w:tcMar>
              <w:top w:type="dxa" w:w="60"/>
              <w:left w:type="dxa" w:w="100"/>
              <w:bottom w:type="dxa" w:w="60"/>
              <w:right w:type="dxa" w:w="100"/>
            </w:tcMar>
          </w:tcPr>
          <w:p>
            <w:r>
              <w:rPr>
                <w:rFonts w:ascii="Poppins" w:cs="Poppins" w:eastAsia="Poppins" w:hAnsi="Poppins"/>
                <w:b/>
                <w:bCs/>
                <w:color w:val="FFFFFF"/>
                <w:sz w:val="20"/>
                <w:szCs w:val="20"/>
              </w:rPr>
              <w:t xml:space="preserve">Use Cases</w:t>
            </w:r>
          </w:p>
        </w:tc>
      </w:tr>
      <w:tr>
        <w:tc>
          <w:tcPr>
            <w:tcW w:type="dxa" w:w="280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r>
              <w:rPr>
                <w:rFonts w:ascii="Khula" w:cs="Khula" w:eastAsia="Khula" w:hAnsi="Khula"/>
                <w:color w:val="2C3E50"/>
                <w:sz w:val="20"/>
                <w:szCs w:val="20"/>
              </w:rPr>
              <w:t xml:space="preserve">0: Data Discovery</w:t>
            </w:r>
          </w:p>
        </w:tc>
        <w:tc>
          <w:tcPr>
            <w:tcW w:type="dxa" w:w="140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r>
              <w:rPr>
                <w:rFonts w:ascii="Khula" w:cs="Khula" w:eastAsia="Khula" w:hAnsi="Khula"/>
                <w:color w:val="2C3E50"/>
                <w:sz w:val="20"/>
                <w:szCs w:val="20"/>
              </w:rPr>
              <w:t xml:space="preserve">Days 1–4</w:t>
            </w:r>
          </w:p>
        </w:tc>
        <w:tc>
          <w:tcPr>
            <w:tcW w:type="dxa" w:w="160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r>
              <w:rPr>
                <w:rFonts w:ascii="Khula" w:cs="Khula" w:eastAsia="Khula" w:hAnsi="Khula"/>
                <w:color w:val="2C3E50"/>
                <w:sz w:val="20"/>
                <w:szCs w:val="20"/>
              </w:rPr>
              <w:t xml:space="preserve">Foundation</w:t>
            </w:r>
          </w:p>
        </w:tc>
        <w:tc>
          <w:tcPr>
            <w:tcW w:type="dxa" w:w="196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r>
              <w:rPr>
                <w:rFonts w:ascii="Khula" w:cs="Khula" w:eastAsia="Khula" w:hAnsi="Khula"/>
                <w:color w:val="2C3E50"/>
                <w:sz w:val="20"/>
                <w:szCs w:val="20"/>
              </w:rPr>
              <w:t xml:space="preserve">—</w:t>
            </w:r>
          </w:p>
        </w:tc>
        <w:tc>
          <w:tcPr>
            <w:tcW w:type="dxa" w:w="160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r>
              <w:rPr>
                <w:rFonts w:ascii="Khula" w:cs="Khula" w:eastAsia="Khula" w:hAnsi="Khula"/>
                <w:color w:val="2C3E50"/>
                <w:sz w:val="20"/>
                <w:szCs w:val="20"/>
              </w:rPr>
              <w:t xml:space="preserve">Prerequisite</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Khula" w:cs="Khula" w:eastAsia="Khula" w:hAnsi="Khula"/>
                <w:color w:val="2C3E50"/>
                <w:sz w:val="20"/>
                <w:szCs w:val="20"/>
              </w:rPr>
              <w:t xml:space="preserve">1: Executive OS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Khula" w:cs="Khula" w:eastAsia="Khula" w:hAnsi="Khula"/>
                <w:color w:val="2C3E50"/>
                <w:sz w:val="20"/>
                <w:szCs w:val="20"/>
              </w:rPr>
              <w:t xml:space="preserve">Days 3–7</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Khula" w:cs="Khula" w:eastAsia="Khula" w:hAnsi="Khula"/>
                <w:color w:val="2C3E50"/>
                <w:sz w:val="20"/>
                <w:szCs w:val="20"/>
              </w:rPr>
              <w:t xml:space="preserve">Low</w:t>
            </w:r>
          </w:p>
        </w:tc>
        <w:tc>
          <w:tcPr>
            <w:tcW w:type="dxa" w:w="1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Khula" w:cs="Khula" w:eastAsia="Khula" w:hAnsi="Khula"/>
                <w:color w:val="2C3E50"/>
                <w:sz w:val="20"/>
                <w:szCs w:val="20"/>
              </w:rPr>
              <w:t xml:space="preserve">Phase 0</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Khula" w:cs="Khula" w:eastAsia="Khula" w:hAnsi="Khula"/>
                <w:color w:val="2C3E50"/>
                <w:sz w:val="20"/>
                <w:szCs w:val="20"/>
              </w:rPr>
              <w:t xml:space="preserve">4</w:t>
            </w:r>
          </w:p>
        </w:tc>
      </w:tr>
      <w:tr>
        <w:tc>
          <w:tcPr>
            <w:tcW w:type="dxa" w:w="280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r>
              <w:rPr>
                <w:rFonts w:ascii="Khula" w:cs="Khula" w:eastAsia="Khula" w:hAnsi="Khula"/>
                <w:color w:val="2C3E50"/>
                <w:sz w:val="20"/>
                <w:szCs w:val="20"/>
              </w:rPr>
              <w:t xml:space="preserve">2: Intel, Content &amp; Research</w:t>
            </w:r>
          </w:p>
        </w:tc>
        <w:tc>
          <w:tcPr>
            <w:tcW w:type="dxa" w:w="140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r>
              <w:rPr>
                <w:rFonts w:ascii="Khula" w:cs="Khula" w:eastAsia="Khula" w:hAnsi="Khula"/>
                <w:color w:val="2C3E50"/>
                <w:sz w:val="20"/>
                <w:szCs w:val="20"/>
              </w:rPr>
              <w:t xml:space="preserve">Weeks 2–3</w:t>
            </w:r>
          </w:p>
        </w:tc>
        <w:tc>
          <w:tcPr>
            <w:tcW w:type="dxa" w:w="160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r>
              <w:rPr>
                <w:rFonts w:ascii="Khula" w:cs="Khula" w:eastAsia="Khula" w:hAnsi="Khula"/>
                <w:color w:val="2C3E50"/>
                <w:sz w:val="20"/>
                <w:szCs w:val="20"/>
              </w:rPr>
              <w:t xml:space="preserve">Med-High</w:t>
            </w:r>
          </w:p>
        </w:tc>
        <w:tc>
          <w:tcPr>
            <w:tcW w:type="dxa" w:w="196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r>
              <w:rPr>
                <w:rFonts w:ascii="Khula" w:cs="Khula" w:eastAsia="Khula" w:hAnsi="Khula"/>
                <w:color w:val="2C3E50"/>
                <w:sz w:val="20"/>
                <w:szCs w:val="20"/>
              </w:rPr>
              <w:t xml:space="preserve">Phase 1</w:t>
            </w:r>
          </w:p>
        </w:tc>
        <w:tc>
          <w:tcPr>
            <w:tcW w:type="dxa" w:w="160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r>
              <w:rPr>
                <w:rFonts w:ascii="Khula" w:cs="Khula" w:eastAsia="Khula" w:hAnsi="Khula"/>
                <w:color w:val="2C3E50"/>
                <w:sz w:val="20"/>
                <w:szCs w:val="20"/>
              </w:rPr>
              <w:t xml:space="preserve">7</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Khula" w:cs="Khula" w:eastAsia="Khula" w:hAnsi="Khula"/>
                <w:color w:val="2C3E50"/>
                <w:sz w:val="20"/>
                <w:szCs w:val="20"/>
              </w:rPr>
              <w:t xml:space="preserve">3: Financial Intelligence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Khula" w:cs="Khula" w:eastAsia="Khula" w:hAnsi="Khula"/>
                <w:color w:val="2C3E50"/>
                <w:sz w:val="20"/>
                <w:szCs w:val="20"/>
              </w:rPr>
              <w:t xml:space="preserve">Weeks 2–3</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Khula" w:cs="Khula" w:eastAsia="Khula" w:hAnsi="Khula"/>
                <w:color w:val="2C3E50"/>
                <w:sz w:val="20"/>
                <w:szCs w:val="20"/>
              </w:rPr>
              <w:t xml:space="preserve">High</w:t>
            </w:r>
          </w:p>
        </w:tc>
        <w:tc>
          <w:tcPr>
            <w:tcW w:type="dxa" w:w="1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Khula" w:cs="Khula" w:eastAsia="Khula" w:hAnsi="Khula"/>
                <w:color w:val="2C3E50"/>
                <w:sz w:val="20"/>
                <w:szCs w:val="20"/>
              </w:rPr>
              <w:t xml:space="preserve">Phases 0–1</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Khula" w:cs="Khula" w:eastAsia="Khula" w:hAnsi="Khula"/>
                <w:color w:val="2C3E50"/>
                <w:sz w:val="20"/>
                <w:szCs w:val="20"/>
              </w:rPr>
              <w:t xml:space="preserve">2</w:t>
            </w:r>
          </w:p>
        </w:tc>
      </w:tr>
      <w:tr>
        <w:tc>
          <w:tcPr>
            <w:tcW w:type="dxa" w:w="280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r>
              <w:rPr>
                <w:rFonts w:ascii="Khula" w:cs="Khula" w:eastAsia="Khula" w:hAnsi="Khula"/>
                <w:color w:val="2C3E50"/>
                <w:sz w:val="20"/>
                <w:szCs w:val="20"/>
              </w:rPr>
              <w:t xml:space="preserve">4: Strategic Simulation</w:t>
            </w:r>
          </w:p>
        </w:tc>
        <w:tc>
          <w:tcPr>
            <w:tcW w:type="dxa" w:w="140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r>
              <w:rPr>
                <w:rFonts w:ascii="Khula" w:cs="Khula" w:eastAsia="Khula" w:hAnsi="Khula"/>
                <w:color w:val="2C3E50"/>
                <w:sz w:val="20"/>
                <w:szCs w:val="20"/>
              </w:rPr>
              <w:t xml:space="preserve">Weeks 3–4</w:t>
            </w:r>
          </w:p>
        </w:tc>
        <w:tc>
          <w:tcPr>
            <w:tcW w:type="dxa" w:w="160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r>
              <w:rPr>
                <w:rFonts w:ascii="Khula" w:cs="Khula" w:eastAsia="Khula" w:hAnsi="Khula"/>
                <w:color w:val="2C3E50"/>
                <w:sz w:val="20"/>
                <w:szCs w:val="20"/>
              </w:rPr>
              <w:t xml:space="preserve">Very High</w:t>
            </w:r>
          </w:p>
        </w:tc>
        <w:tc>
          <w:tcPr>
            <w:tcW w:type="dxa" w:w="196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r>
              <w:rPr>
                <w:rFonts w:ascii="Khula" w:cs="Khula" w:eastAsia="Khula" w:hAnsi="Khula"/>
                <w:color w:val="2C3E50"/>
                <w:sz w:val="20"/>
                <w:szCs w:val="20"/>
              </w:rPr>
              <w:t xml:space="preserve">Phases 0–3</w:t>
            </w:r>
          </w:p>
        </w:tc>
        <w:tc>
          <w:tcPr>
            <w:tcW w:type="dxa" w:w="1600"/>
            <w:tcBorders>
              <w:top w:val="single" w:color="CCCCCC" w:sz="1"/>
              <w:left w:val="single" w:color="CCCCCC" w:sz="1"/>
              <w:bottom w:val="single" w:color="CCCCCC" w:sz="1"/>
              <w:right w:val="single" w:color="CCCCCC" w:sz="1"/>
            </w:tcBorders>
            <w:shd w:fill="F0F6FB" w:val="clear"/>
            <w:tcMar>
              <w:top w:type="dxa" w:w="50"/>
              <w:left w:type="dxa" w:w="100"/>
              <w:bottom w:type="dxa" w:w="50"/>
              <w:right w:type="dxa" w:w="100"/>
            </w:tcMar>
          </w:tcPr>
          <w:p>
            <w:r>
              <w:rPr>
                <w:rFonts w:ascii="Khula" w:cs="Khula" w:eastAsia="Khula" w:hAnsi="Khula"/>
                <w:color w:val="2C3E50"/>
                <w:sz w:val="20"/>
                <w:szCs w:val="20"/>
              </w:rPr>
              <w:t xml:space="preserve">2</w:t>
            </w:r>
          </w:p>
        </w:tc>
      </w:tr>
    </w:tbl>
    <w:p>
      <w:pPr>
        <w:spacing w:before="200" w:after="200"/>
      </w:pPr>
    </w:p>
    <w:p>
      <w:pPr>
        <w:spacing w:before="60" w:after="80" w:line="312"/>
      </w:pPr>
      <w:r>
        <w:rPr>
          <w:rFonts w:ascii="Khula" w:cs="Khula" w:eastAsia="Khula" w:hAnsi="Khula"/>
          <w:b/>
          <w:bCs/>
          <w:color w:val="005596"/>
          <w:sz w:val="22"/>
          <w:szCs w:val="22"/>
        </w:rPr>
        <w:t xml:space="preserve">Note: </w:t>
      </w:r>
      <w:r>
        <w:rPr>
          <w:rFonts w:ascii="Khula" w:cs="Khula" w:eastAsia="Khula" w:hAnsi="Khula"/>
          <w:color w:val="333333"/>
          <w:sz w:val="22"/>
          <w:szCs w:val="22"/>
        </w:rPr>
        <w:t xml:space="preserve">Phases 2 and 3 run in parallel after Phase 1 is complete. Total engagement: 3–4 weeks.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597D3" w:sz="1" w:space="4"/>
      </w:pBdr>
      <w:jc w:val="center"/>
    </w:pPr>
    <w:r>
      <w:rPr>
        <w:rFonts w:ascii="Khula" w:cs="Khula" w:eastAsia="Khula" w:hAnsi="Khula"/>
        <w:color w:val="666666"/>
        <w:sz w:val="16"/>
        <w:szCs w:val="16"/>
      </w:rPr>
      <w:t xml:space="preserve">Improving — It’s what we do.™  |  Page </w:t>
    </w:r>
    <w:r>
      <w:rPr>
        <w:rFonts w:ascii="Khula" w:cs="Khula" w:eastAsia="Khula" w:hAnsi="Khul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596" w:sz="2" w:space="4"/>
      </w:pBdr>
      <w:tabs>
        <w:tab w:val="right" w:pos="9026"/>
      </w:tabs>
    </w:pPr>
    <w:r>
      <w:rPr>
        <w:rFonts w:ascii="Khula" w:cs="Khula" w:eastAsia="Khula" w:hAnsi="Khula"/>
        <w:color w:val="666666"/>
        <w:sz w:val="16"/>
        <w:szCs w:val="16"/>
      </w:rPr>
      <w:t xml:space="preserve">AI Implementation Plan — Steve Hall</w:t>
    </w:r>
    <w:r>
      <w:rPr>
        <w:rFonts w:ascii="Poppins" w:cs="Poppins" w:eastAsia="Poppins" w:hAnsi="Poppins"/>
        <w:b/>
        <w:bCs/>
        <w:color w:val="005596"/>
        <w:sz w:val="16"/>
        <w:szCs w:val="16"/>
      </w:rPr>
      <w:t xml:space="preserve">	Improving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hula" w:cs="Khula" w:eastAsia="Khula" w:hAnsi="Khul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60"/>
      <w:outlineLvl w:val="0"/>
    </w:pPr>
    <w:rPr>
      <w:rFonts w:ascii="Poppins" w:cs="Poppins" w:eastAsia="Poppins" w:hAnsi="Poppins"/>
      <w:b/>
      <w:bCs/>
      <w:color w:val="005596"/>
      <w:sz w:val="36"/>
      <w:szCs w:val="36"/>
    </w:rPr>
  </w:style>
  <w:style w:type="paragraph" w:styleId="Heading2">
    <w:name w:val="Heading 2"/>
    <w:basedOn w:val="Normal"/>
    <w:next w:val="Normal"/>
    <w:qFormat/>
    <w:pPr>
      <w:spacing w:before="280" w:after="120"/>
      <w:outlineLvl w:val="1"/>
    </w:pPr>
    <w:rPr>
      <w:rFonts w:ascii="Poppins" w:cs="Poppins" w:eastAsia="Poppins" w:hAnsi="Poppins"/>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2026-02-16T21:40:14.677Z</dcterms:created>
  <dcterms:modified xsi:type="dcterms:W3CDTF">2026-02-16T21:40:14.677Z</dcterms:modified>
</cp:coreProperties>
</file>

<file path=docProps/custom.xml><?xml version="1.0" encoding="utf-8"?>
<Properties xmlns="http://schemas.openxmlformats.org/officeDocument/2006/custom-properties" xmlns:vt="http://schemas.openxmlformats.org/officeDocument/2006/docPropsVTypes"/>
</file>