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b/>
          <w:bCs/>
          <w:color w:val="2E75B6"/>
          <w:sz w:val="26"/>
          <w:szCs w:val="26"/>
        </w:rPr>
        <w:t xml:space="preserve">FRACTIONAL CHIEF AI OFFICER</w:t>
      </w:r>
    </w:p>
    <w:p>
      <w:pPr>
        <w:spacing w:after="60"/>
      </w:pPr>
      <w:r>
        <w:rPr>
          <w:b/>
          <w:bCs/>
          <w:color w:val="1F4E79"/>
          <w:sz w:val="56"/>
          <w:szCs w:val="56"/>
        </w:rPr>
        <w:t xml:space="preserve">Engagement Execution Game Plan</w:t>
      </w:r>
    </w:p>
    <w:p>
      <w:pPr>
        <w:spacing w:after="300"/>
      </w:pPr>
      <w:r>
        <w:rPr>
          <w:color w:val="595959"/>
          <w:sz w:val="28"/>
          <w:szCs w:val="28"/>
        </w:rPr>
        <w:t xml:space="preserve">Springline Advisory  ·  AI Engagement System</w:t>
      </w:r>
    </w:p>
    <w:p>
      <w:pPr>
        <w:pBdr>
          <w:bottom w:val="single" w:color="2E75B6" w:sz="6" w:space="1"/>
        </w:pBdr>
        <w:spacing w:after="160" w:before="60"/>
      </w:pPr>
      <w:r>
        <w:t xml:space="preserve"/>
      </w:r>
    </w:p>
    <w:p>
      <w:pPr>
        <w:spacing w:after="40"/>
      </w:pPr>
      <w:r>
        <w:rPr>
          <w:b/>
          <w:bCs/>
        </w:rPr>
        <w:t xml:space="preserve">Prepared for:  </w:t>
      </w:r>
      <w:r>
        <w:t xml:space="preserve">David O’Hara, Fractional AI Officer - Improving</w:t>
      </w:r>
    </w:p>
    <w:p>
      <w:pPr>
        <w:spacing w:after="40"/>
      </w:pPr>
      <w:r>
        <w:rPr>
          <w:b/>
          <w:bCs/>
        </w:rPr>
        <w:t xml:space="preserve">Counterpart:  </w:t>
      </w:r>
      <w:r>
        <w:t xml:space="preserve">Tim Brackney, CEO · Anthony Laria, incoming COO (ran Integration) - Springline Advisory</w:t>
      </w:r>
    </w:p>
    <w:p>
      <w:pPr>
        <w:spacing w:after="40"/>
      </w:pPr>
      <w:r>
        <w:rPr>
          <w:b/>
          <w:bCs/>
        </w:rPr>
        <w:t xml:space="preserve">Commercial basis:  </w:t>
      </w:r>
      <w:r>
        <w:t xml:space="preserve">$20,000 / quarter advisory retainer + execution bid per program</w:t>
      </w:r>
    </w:p>
    <w:p>
      <w:pPr>
        <w:spacing w:after="40"/>
      </w:pPr>
      <w:r>
        <w:rPr>
          <w:b/>
          <w:bCs/>
        </w:rPr>
        <w:t xml:space="preserve">Date:  </w:t>
      </w:r>
      <w:r>
        <w:t xml:space="preserve">June 18, 2026</w:t>
      </w:r>
    </w:p>
    <w:p>
      <w:pPr>
        <w:spacing w:after="40"/>
      </w:pPr>
      <w:r>
        <w:rPr>
          <w:b/>
          <w:bCs/>
        </w:rPr>
        <w:t xml:space="preserve">Status:  </w:t>
      </w:r>
      <w:r>
        <w:t xml:space="preserve">Internal operating plan - not a client deliverable</w:t>
      </w:r>
    </w:p>
    <w:p>
      <w:pPr>
        <w:pageBreakBefore/>
        <w:spacing w:after="160"/>
      </w:pPr>
      <w:r>
        <w:rPr>
          <w:b/>
          <w:bCs/>
          <w:color w:val="1F4E7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The Job, In One Page</w:t>
      </w:r>
    </w:p>
    <w:p>
      <w:pPr>
        <w:spacing w:after="140" w:line="276"/>
      </w:pPr>
      <w:r>
        <w:rPr>
          <w:b/>
          <w:bCs/>
        </w:rPr>
        <w:t xml:space="preserve">Your mandate is not to deploy AI. It is to make Springline’s AI decisions legible. </w:t>
      </w:r>
      <w:r>
        <w:t xml:space="preserve">Twelve federated firms are consolidating onto one Microsoft 365 tenancy and a Snowflake data foundation while the platform keeps acquiring. That integration window is when AI is cheapest to layer onto clean data and hardest to retrofit later. You own the strategy, the sequencing, the governance spine, and the investor narrative so that whenever Trinity Hunt runs its next capital event, the AI portfolio reads in thirty minutes as evidence, not theater.</w:t>
      </w:r>
    </w:p>
    <w:tbl>
      <w:tblPr>
        <w:tblW w:type="dxa" w:w="9360"/>
        <w:tblBorders>
          <w:top w:val="single" w:color="2E75B6" w:sz="1"/>
          <w:left w:val="single" w:color="2E75B6" w:sz="12"/>
          <w:bottom w:val="single" w:color="2E75B6" w:sz="1"/>
          <w:right w:val="single" w:color="2E75B6" w:sz="1"/>
          <w:insideH w:val="single" w:color="auto" w:sz="4"/>
          <w:insideV w:val="single" w:color="auto" w:sz="4"/>
        </w:tblBorders>
      </w:tblPr>
      <w:tblGrid>
        <w:gridCol w:w="9360"/>
      </w:tblGrid>
      <w:tr>
        <w:tc>
          <w:tcPr>
            <w:tcW w:type="dxa" w:w="9360"/>
            <w:shd w:fill="D5E8F0" w:val="clear"/>
            <w:tcMar>
              <w:top w:type="dxa" w:w="120"/>
              <w:left w:type="dxa" w:w="160"/>
              <w:bottom w:type="dxa" w:w="120"/>
              <w:right w:type="dxa" w:w="160"/>
            </w:tcMar>
          </w:tcPr>
          <w:p>
            <w:pPr>
              <w:spacing w:after="60"/>
            </w:pPr>
            <w:r>
              <w:rPr>
                <w:b/>
                <w:bCs/>
                <w:color w:val="1F4E79"/>
                <w:sz w:val="21"/>
                <w:szCs w:val="21"/>
              </w:rPr>
              <w:t xml:space="preserve">What you are accountable for</w:t>
            </w:r>
          </w:p>
          <w:p>
            <w:pPr>
              <w:spacing w:after="60" w:line="268"/>
            </w:pPr>
            <w:r>
              <w:rPr>
                <w:b/>
                <w:bCs/>
              </w:rPr>
              <w:t xml:space="preserve">Direction - </w:t>
            </w:r>
            <w:r>
              <w:t xml:space="preserve">a five-year strategy and a three-year, firm-by-firm roadmap that survives a moving exit date.</w:t>
            </w:r>
          </w:p>
          <w:p>
            <w:pPr>
              <w:spacing w:after="60" w:line="268"/>
            </w:pPr>
            <w:r>
              <w:rPr>
                <w:b/>
                <w:bCs/>
              </w:rPr>
              <w:t xml:space="preserve">Discipline - </w:t>
            </w:r>
            <w:r>
              <w:t xml:space="preserve">every initiative enters under a stated ROI hypothesis and a capped, fail-fast budget; evidence at the gate decides scale, redesign, or kill.</w:t>
            </w:r>
          </w:p>
          <w:p>
            <w:pPr>
              <w:spacing w:after="60" w:line="268"/>
            </w:pPr>
            <w:r>
              <w:rPr>
                <w:b/>
                <w:bCs/>
              </w:rPr>
              <w:t xml:space="preserve">Governance - </w:t>
            </w:r>
            <w:r>
              <w:t xml:space="preserve">the audit-logging, data-privacy, HR/policy, and human-approval spine that lets automation cross firm boundaries safely.</w:t>
            </w:r>
          </w:p>
          <w:p>
            <w:pPr>
              <w:spacing w:after="0" w:line="268"/>
            </w:pPr>
            <w:r>
              <w:rPr>
                <w:b/>
                <w:bCs/>
              </w:rPr>
              <w:t xml:space="preserve">Narrative - </w:t>
            </w:r>
            <w:r>
              <w:t xml:space="preserve">the Realized / In-flight / Optioned snapshot, refreshed at every gate, that the board and the next buyer can underwrite.</w:t>
            </w:r>
          </w:p>
        </w:tc>
      </w:tr>
    </w:tbl>
    <w:p>
      <w:pPr>
        <w:spacing w:after="60"/>
      </w:pPr>
      <w:r>
        <w:t xml:space="preserve"/>
      </w:r>
    </w:p>
    <w:tbl>
      <w:tblPr>
        <w:tblW w:type="dxa" w:w="9360"/>
        <w:tblBorders>
          <w:top w:val="single" w:color="2E75B6" w:sz="1"/>
          <w:left w:val="single" w:color="2E75B6" w:sz="12"/>
          <w:bottom w:val="single" w:color="2E75B6" w:sz="1"/>
          <w:right w:val="single" w:color="2E75B6" w:sz="1"/>
          <w:insideH w:val="single" w:color="auto" w:sz="4"/>
          <w:insideV w:val="single" w:color="auto" w:sz="4"/>
        </w:tblBorders>
      </w:tblPr>
      <w:tblGrid>
        <w:gridCol w:w="9360"/>
      </w:tblGrid>
      <w:tr>
        <w:tc>
          <w:tcPr>
            <w:tcW w:type="dxa" w:w="9360"/>
            <w:shd w:fill="EAF3F9" w:val="clear"/>
            <w:tcMar>
              <w:top w:type="dxa" w:w="120"/>
              <w:left w:type="dxa" w:w="160"/>
              <w:bottom w:type="dxa" w:w="120"/>
              <w:right w:type="dxa" w:w="160"/>
            </w:tcMar>
          </w:tcPr>
          <w:p>
            <w:pPr>
              <w:spacing w:after="60"/>
            </w:pPr>
            <w:r>
              <w:rPr>
                <w:b/>
                <w:bCs/>
                <w:color w:val="1F4E79"/>
                <w:sz w:val="21"/>
                <w:szCs w:val="21"/>
              </w:rPr>
              <w:t xml:space="preserve">What you are NOT accountable for (hold this line)</w:t>
            </w:r>
          </w:p>
          <w:p>
            <w:pPr>
              <w:spacing w:after="0" w:line="268"/>
            </w:pPr>
            <w:r>
              <w:t xml:space="preserve">Building the pilots - that is the execution pod, bid per program. Tool procurement, vendor management, and the M365 rollout itself are separate execution scopes with their own ROI hypotheses. The $20K/quarter retainer is the strategy, governance, and narrative layer only.</w:t>
            </w:r>
          </w:p>
        </w:tc>
      </w:tr>
    </w:tbl>
    <w:p>
      <w:pPr>
        <w:pStyle w:val="Heading2"/>
      </w:pPr>
      <w:r>
        <w:t xml:space="preserve">Operating Principles You Inherit From the Proposal</w:t>
      </w:r>
    </w:p>
    <w:p>
      <w:pPr>
        <w:pStyle w:val="ListParagraph"/>
        <w:numPr>
          <w:ilvl w:val="0"/>
          <w:numId w:val="2"/>
        </w:numPr>
        <w:spacing w:after="70" w:line="268"/>
      </w:pPr>
      <w:r>
        <w:rPr>
          <w:b/>
          <w:bCs/>
        </w:rPr>
        <w:t xml:space="preserve">Model-agnostic. </w:t>
      </w:r>
      <w:r>
        <w:t xml:space="preserve">Route to the right model across the five partners (OpenAI, Anthropic, Microsoft, Google, AWS). Avoid single-provider lock-in.</w:t>
      </w:r>
    </w:p>
    <w:p>
      <w:pPr>
        <w:pStyle w:val="ListParagraph"/>
        <w:numPr>
          <w:ilvl w:val="0"/>
          <w:numId w:val="2"/>
        </w:numPr>
        <w:spacing w:after="70" w:line="268"/>
      </w:pPr>
      <w:r>
        <w:rPr>
          <w:b/>
          <w:bCs/>
        </w:rPr>
        <w:t xml:space="preserve">Two parallel portfolios. </w:t>
      </w:r>
      <w:r>
        <w:t xml:space="preserve">Efficiency (hard ROI: hours, cost, cycle time) and innovation (upside: proposal velocity, win rate, capacity). Both feed one diligence narrative.</w:t>
      </w:r>
    </w:p>
    <w:p>
      <w:pPr>
        <w:pStyle w:val="ListParagraph"/>
        <w:numPr>
          <w:ilvl w:val="0"/>
          <w:numId w:val="2"/>
        </w:numPr>
        <w:spacing w:after="70" w:line="268"/>
      </w:pPr>
      <w:r>
        <w:rPr>
          <w:b/>
          <w:bCs/>
        </w:rPr>
        <w:t xml:space="preserve">Planned-hire offset, not headcount cuts. </w:t>
      </w:r>
      <w:r>
        <w:t xml:space="preserve">ROI is scored by hires avoided and capacity freed across consolidating firms - the honest math for a talent-constrained roll-up.</w:t>
      </w:r>
    </w:p>
    <w:p>
      <w:pPr>
        <w:pStyle w:val="ListParagraph"/>
        <w:numPr>
          <w:ilvl w:val="0"/>
          <w:numId w:val="2"/>
        </w:numPr>
        <w:spacing w:after="70" w:line="268"/>
      </w:pPr>
      <w:r>
        <w:rPr>
          <w:b/>
          <w:bCs/>
        </w:rPr>
        <w:t xml:space="preserve">Enterprise tools trail frontier by ~2.5–3 months. </w:t>
      </w:r>
      <w:r>
        <w:t xml:space="preserve">Copilot and Cowork lag; sequence around it rather than fighting it.</w:t>
      </w:r>
    </w:p>
    <w:p>
      <w:pPr>
        <w:pStyle w:val="ListParagraph"/>
        <w:numPr>
          <w:ilvl w:val="0"/>
          <w:numId w:val="2"/>
        </w:numPr>
        <w:spacing w:after="70" w:line="268"/>
      </w:pPr>
      <w:r>
        <w:rPr>
          <w:b/>
          <w:bCs/>
        </w:rPr>
        <w:t xml:space="preserve">Governance gates Stage 4. </w:t>
      </w:r>
      <w:r>
        <w:t xml:space="preserve">The program does not cross into composed workflow automation until the governance spine exists. No exceptions.</w:t>
      </w:r>
    </w:p>
    <w:p>
      <w:pPr>
        <w:pStyle w:val="Heading1"/>
        <w:pageBreakBefore/>
      </w:pPr>
      <w:r>
        <w:t xml:space="preserve">2. Deliverables, Defined</w:t>
      </w:r>
    </w:p>
    <w:p>
      <w:pPr>
        <w:spacing w:after="140" w:line="276"/>
      </w:pPr>
      <w:r>
        <w:t xml:space="preserve">The proposal commits five Q1 advisory deliverables, then a recurring deliverable set each quarter. Below, each is given a concrete definition, the inputs it depends on, and the acceptance criteria that mark it done. Treat the acceptance criteria as your personal definition of complete - they are what you would defend in a board meeting.</w:t>
      </w:r>
    </w:p>
    <w:p>
      <w:pPr>
        <w:pStyle w:val="Heading2"/>
      </w:pPr>
      <w:r>
        <w:t xml:space="preserve">2.1  Quarter-One Foundation Deliverables</w:t>
      </w:r>
    </w:p>
    <w:p>
      <w:pPr>
        <w:pStyle w:val="Heading3"/>
      </w:pPr>
      <w:r>
        <w:t xml:space="preserve">D1 - Five-Year AI Strategy (through 2031)</w:t>
      </w:r>
    </w:p>
    <w:p>
      <w:pPr>
        <w:spacing w:after="140" w:line="276"/>
      </w:pPr>
      <w:r>
        <w:rPr>
          <w:b/>
          <w:bCs/>
        </w:rPr>
        <w:t xml:space="preserve">What it is: </w:t>
      </w:r>
      <w:r>
        <w:t xml:space="preserve">A firm-level strategic narrative for how AI reshapes Springline’s business model, service delivery, and competitive position. It sets the vision everything else is measured against and is the container the board narrative lives inside.</w:t>
      </w:r>
    </w:p>
    <w:p>
      <w:pPr>
        <w:spacing w:after="140" w:line="276"/>
      </w:pPr>
      <w:r>
        <w:rPr>
          <w:b/>
          <w:bCs/>
        </w:rPr>
        <w:t xml:space="preserve">Inputs needed: </w:t>
      </w:r>
      <w:r>
        <w:t xml:space="preserve">CEO intent and definition of success; Trinity Hunt’s posture and likely exit window; current service-line economics; the federated-firm maturity map (from discovery).</w:t>
      </w:r>
    </w:p>
    <w:p>
      <w:pPr>
        <w:spacing w:after="140" w:line="276"/>
      </w:pPr>
      <w:r>
        <w:rPr>
          <w:b/>
          <w:bCs/>
        </w:rPr>
        <w:t xml:space="preserve">Acceptance criteria: </w:t>
      </w:r>
      <w:r>
        <w:t xml:space="preserve">Approved by Tim; expressed in planned-hire-offset and bi-modal ROI language; explicitly tied to the next capital event; no dependency on a fixed exit date.</w:t>
      </w:r>
    </w:p>
    <w:p>
      <w:pPr>
        <w:pStyle w:val="Heading3"/>
      </w:pPr>
      <w:r>
        <w:t xml:space="preserve">D2 - Three-Year Roadmap (Run / Scale / Reinvent)</w:t>
      </w:r>
    </w:p>
    <w:p>
      <w:pPr>
        <w:spacing w:after="140" w:line="276"/>
      </w:pPr>
      <w:r>
        <w:rPr>
          <w:b/>
          <w:bCs/>
        </w:rPr>
        <w:t xml:space="preserve">What it is: </w:t>
      </w:r>
      <w:r>
        <w:t xml:space="preserve">A sequenced, initiative-level plan across the three Horizons with firm-by-firm phasing. Translates strategy to execution and shows stakeholders what happens, when, and in what order.</w:t>
      </w:r>
    </w:p>
    <w:p>
      <w:pPr>
        <w:spacing w:after="140" w:line="276"/>
      </w:pPr>
      <w:r>
        <w:rPr>
          <w:b/>
          <w:bCs/>
        </w:rPr>
        <w:t xml:space="preserve">Inputs needed: </w:t>
      </w:r>
      <w:r>
        <w:t xml:space="preserve">Snowflake consolidation status per firm; M365 tenancy state; which firms are most AI-ready vs. most resistant; integration calendar from Anthony Laria.</w:t>
      </w:r>
    </w:p>
    <w:p>
      <w:pPr>
        <w:spacing w:after="140" w:line="276"/>
      </w:pPr>
      <w:r>
        <w:rPr>
          <w:b/>
          <w:bCs/>
        </w:rPr>
        <w:t xml:space="preserve">Acceptance criteria: </w:t>
      </w:r>
      <w:r>
        <w:t xml:space="preserve">Each initiative mapped to a Horizon and a target firm/sequence; the first pilots sit where data is cleanest and change management is lightest; the roadmap is explicitly re-sequenceable at each quarterly gate.</w:t>
      </w:r>
    </w:p>
    <w:p>
      <w:pPr>
        <w:pStyle w:val="Heading3"/>
      </w:pPr>
      <w:r>
        <w:t xml:space="preserve">D3 - Prioritized Pilot List with ROI Hypotheses</w:t>
      </w:r>
    </w:p>
    <w:p>
      <w:pPr>
        <w:spacing w:after="140" w:line="276"/>
      </w:pPr>
      <w:r>
        <w:rPr>
          <w:b/>
          <w:bCs/>
        </w:rPr>
        <w:t xml:space="preserve">What it is: </w:t>
      </w:r>
      <w:r>
        <w:t xml:space="preserve">A rank-ordered list of Horizon 1 pilots, each with a stated hypothesis, a success metric, and a capped fail-fast budget. This is the capital-allocation tool you carry into the first portfolio gate.</w:t>
      </w:r>
    </w:p>
    <w:p>
      <w:pPr>
        <w:spacing w:after="140" w:line="276"/>
      </w:pPr>
      <w:r>
        <w:rPr>
          <w:b/>
          <w:bCs/>
        </w:rPr>
        <w:t xml:space="preserve">Inputs needed: </w:t>
      </w:r>
      <w:r>
        <w:t xml:space="preserve">Discovery workshop output from firm and department leaders; candidate scoring against the bi-modal ROI bar (reference: 5–10x within twelve months, higher for growth bets).</w:t>
      </w:r>
    </w:p>
    <w:p>
      <w:pPr>
        <w:spacing w:after="140" w:line="276"/>
      </w:pPr>
      <w:r>
        <w:rPr>
          <w:b/>
          <w:bCs/>
        </w:rPr>
        <w:t xml:space="preserve">Acceptance criteria: </w:t>
      </w:r>
      <w:r>
        <w:t xml:space="preserve">Every pilot has a named owner, a metric baseline, a budget cap, and a gate date; nothing on the list lacks a falsifiable hypothesis; candidates surfaced from discovery, not pre-named.</w:t>
      </w:r>
    </w:p>
    <w:p>
      <w:pPr>
        <w:pStyle w:val="Heading3"/>
      </w:pPr>
      <w:r>
        <w:t xml:space="preserve">D4 - Board &amp; Investor Narrative Draft</w:t>
      </w:r>
    </w:p>
    <w:p>
      <w:pPr>
        <w:spacing w:after="140" w:line="276"/>
      </w:pPr>
      <w:r>
        <w:rPr>
          <w:b/>
          <w:bCs/>
        </w:rPr>
        <w:t xml:space="preserve">What it is: </w:t>
      </w:r>
      <w:r>
        <w:t xml:space="preserve">A structured narrative positioning Springline’s AI program for PE diligence and board communication - the Realized / In-flight / Optioned snapshot in presentable form. You own this and refresh it every quarter.</w:t>
      </w:r>
    </w:p>
    <w:p>
      <w:pPr>
        <w:spacing w:after="140" w:line="276"/>
      </w:pPr>
      <w:r>
        <w:rPr>
          <w:b/>
          <w:bCs/>
        </w:rPr>
        <w:t xml:space="preserve">Inputs needed: </w:t>
      </w:r>
      <w:r>
        <w:t xml:space="preserve">D1–D3; Trinity Hunt’s diligence expectations; the metrics leadership is under pressure to move before the next cycle.</w:t>
      </w:r>
    </w:p>
    <w:p>
      <w:pPr>
        <w:spacing w:after="140" w:line="276"/>
      </w:pPr>
      <w:r>
        <w:rPr>
          <w:b/>
          <w:bCs/>
        </w:rPr>
        <w:t xml:space="preserve">Acceptance criteria: </w:t>
      </w:r>
      <w:r>
        <w:t xml:space="preserve">Readable by a PE buyer in ~30 minutes; classifies the live portfolio by realization state (not a guessed date); is the same story the firm is actually living, so it survives scrutiny.</w:t>
      </w:r>
    </w:p>
    <w:p>
      <w:pPr>
        <w:pStyle w:val="Heading3"/>
      </w:pPr>
      <w:r>
        <w:t xml:space="preserve">D5 - Governance Baseline</w:t>
      </w:r>
    </w:p>
    <w:p>
      <w:pPr>
        <w:spacing w:after="140" w:line="276"/>
      </w:pPr>
      <w:r>
        <w:rPr>
          <w:b/>
          <w:bCs/>
        </w:rPr>
        <w:t xml:space="preserve">What it is: </w:t>
      </w:r>
      <w:r>
        <w:t xml:space="preserve">Audit-logging standards, data-privacy controls, HR and policy-compliance rules, and human-approval-point definitions - the precondition for Stage 4 agentic operations across twelve regulated-services firms.</w:t>
      </w:r>
    </w:p>
    <w:p>
      <w:pPr>
        <w:spacing w:after="140" w:line="276"/>
      </w:pPr>
      <w:r>
        <w:rPr>
          <w:b/>
          <w:bCs/>
        </w:rPr>
        <w:t xml:space="preserve">Inputs needed: </w:t>
      </w:r>
      <w:r>
        <w:t xml:space="preserve">Access to security, legal, and HR leads; current data-governance state per firm; Snowflake and M365 admin input.</w:t>
      </w:r>
    </w:p>
    <w:p>
      <w:pPr>
        <w:spacing w:after="140" w:line="276"/>
      </w:pPr>
      <w:r>
        <w:rPr>
          <w:b/>
          <w:bCs/>
        </w:rPr>
        <w:t xml:space="preserve">Acceptance criteria: </w:t>
      </w:r>
      <w:r>
        <w:t xml:space="preserve">Signed off by security/legal/HR; defines who approves what and where audit trails live; sufficient that no Stage 4 workflow expands without it; aligned to SOC 2-style controls and the alternative-practice (attest/non-attest) separation.</w:t>
      </w:r>
    </w:p>
    <w:p>
      <w:pPr>
        <w:spacing w:after="60"/>
      </w:pPr>
      <w:r>
        <w:t xml:space="preserve"/>
      </w:r>
    </w:p>
    <w:p>
      <w:pPr>
        <w:spacing w:after="140" w:line="276"/>
      </w:pPr>
      <w:r>
        <w:rPr>
          <w:b/>
          <w:bCs/>
        </w:rPr>
        <w:t xml:space="preserve">Companion artifact - Reference Architecture v1. </w:t>
      </w:r>
      <w:r>
        <w:t xml:space="preserve">The proposal also names a reference architecture in Q1: Azure + Microsoft Foundry as the anchor, Snowflake as the governed data foundation, a model-agnostic orchestration layer on top. You set architectural direction; the Improving delivery pod you pull in owns technical depth. Your acceptance bar: it preserves enterprise controls and data residency while keeping access to the best available model.</w:t>
      </w:r>
    </w:p>
    <w:p>
      <w:pPr>
        <w:pStyle w:val="Heading2"/>
      </w:pPr>
      <w:r>
        <w:t xml:space="preserve">2.2  Recurring Quarterly Deliverable Set</w:t>
      </w:r>
    </w:p>
    <w:p>
      <w:pPr>
        <w:spacing w:after="140" w:line="276"/>
      </w:pPr>
      <w:r>
        <w:t xml:space="preserve">After Q1, the cadence produces a defined set every quarter. Each gate produces both a deliverable and a funding decision - review and delivery are the same act.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400"/>
        <w:gridCol w:w="5360"/>
        <w:gridCol w:w="2600"/>
      </w:tblGrid>
      <w:tr>
        <w:trPr>
          <w:tblHeader/>
        </w:trPr>
        <w:tc>
          <w:tcPr>
            <w:tcW w:type="dxa" w:w="1400"/>
            <w:shd w:fill="1F4E79" w:val="clear"/>
            <w:tcMar>
              <w:top w:type="dxa" w:w="70"/>
              <w:left w:type="dxa" w:w="110"/>
              <w:bottom w:type="dxa" w:w="70"/>
              <w:right w:type="dxa" w:w="110"/>
            </w:tcMar>
          </w:tcPr>
          <w:p>
            <w:pPr>
              <w:spacing w:after="20" w:line="250"/>
            </w:pPr>
            <w:r>
              <w:rPr>
                <w:b/>
                <w:bCs/>
                <w:color w:val="FFFFFF"/>
                <w:sz w:val="19"/>
                <w:szCs w:val="19"/>
              </w:rPr>
              <w:t xml:space="preserve">Quarter</w:t>
            </w:r>
          </w:p>
        </w:tc>
        <w:tc>
          <w:tcPr>
            <w:tcW w:type="dxa" w:w="5360"/>
            <w:shd w:fill="1F4E79" w:val="clear"/>
            <w:tcMar>
              <w:top w:type="dxa" w:w="70"/>
              <w:left w:type="dxa" w:w="110"/>
              <w:bottom w:type="dxa" w:w="70"/>
              <w:right w:type="dxa" w:w="110"/>
            </w:tcMar>
          </w:tcPr>
          <w:p>
            <w:pPr>
              <w:spacing w:after="20" w:line="250"/>
            </w:pPr>
            <w:r>
              <w:rPr>
                <w:b/>
                <w:bCs/>
                <w:color w:val="FFFFFF"/>
                <w:sz w:val="19"/>
                <w:szCs w:val="19"/>
              </w:rPr>
              <w:t xml:space="preserve">Deliverables</w:t>
            </w:r>
          </w:p>
        </w:tc>
        <w:tc>
          <w:tcPr>
            <w:tcW w:type="dxa" w:w="2600"/>
            <w:shd w:fill="1F4E79" w:val="clear"/>
            <w:tcMar>
              <w:top w:type="dxa" w:w="70"/>
              <w:left w:type="dxa" w:w="110"/>
              <w:bottom w:type="dxa" w:w="70"/>
              <w:right w:type="dxa" w:w="110"/>
            </w:tcMar>
          </w:tcPr>
          <w:p>
            <w:pPr>
              <w:spacing w:after="20" w:line="250"/>
            </w:pPr>
            <w:r>
              <w:rPr>
                <w:b/>
                <w:bCs/>
                <w:color w:val="FFFFFF"/>
                <w:sz w:val="19"/>
                <w:szCs w:val="19"/>
              </w:rPr>
              <w:t xml:space="preserve">Outcome</w:t>
            </w:r>
          </w:p>
        </w:tc>
      </w:tr>
      <w:tr>
        <w:tc>
          <w:tcPr>
            <w:tcW w:type="dxa" w:w="1400"/>
            <w:tcMar>
              <w:top w:type="dxa" w:w="70"/>
              <w:left w:type="dxa" w:w="110"/>
              <w:bottom w:type="dxa" w:w="70"/>
              <w:right w:type="dxa" w:w="110"/>
            </w:tcMar>
          </w:tcPr>
          <w:p>
            <w:pPr>
              <w:spacing w:after="20" w:line="250"/>
            </w:pPr>
            <w:r>
              <w:rPr>
                <w:b w:val="false"/>
                <w:bCs w:val="false"/>
                <w:sz w:val="19"/>
                <w:szCs w:val="19"/>
              </w:rPr>
              <w:t xml:space="preserve">Q1 (kickoff)</w:t>
            </w:r>
          </w:p>
        </w:tc>
        <w:tc>
          <w:tcPr>
            <w:tcW w:type="dxa" w:w="5360"/>
            <w:tcMar>
              <w:top w:type="dxa" w:w="70"/>
              <w:left w:type="dxa" w:w="110"/>
              <w:bottom w:type="dxa" w:w="70"/>
              <w:right w:type="dxa" w:w="110"/>
            </w:tcMar>
          </w:tcPr>
          <w:p>
            <w:pPr>
              <w:spacing w:after="20" w:line="250"/>
            </w:pPr>
            <w:r>
              <w:rPr>
                <w:b w:val="false"/>
                <w:bCs w:val="false"/>
                <w:sz w:val="19"/>
                <w:szCs w:val="19"/>
              </w:rPr>
              <w:t xml:space="preserve">5-yr strategy; 3-yr roadmap; prioritized big rocks; first implement-now pilots selected and started; reference architecture v1; governance baseline; diligence narrative v1</w:t>
            </w:r>
          </w:p>
        </w:tc>
        <w:tc>
          <w:tcPr>
            <w:tcW w:type="dxa" w:w="2600"/>
            <w:tcMar>
              <w:top w:type="dxa" w:w="70"/>
              <w:left w:type="dxa" w:w="110"/>
              <w:bottom w:type="dxa" w:w="70"/>
              <w:right w:type="dxa" w:w="110"/>
            </w:tcMar>
          </w:tcPr>
          <w:p>
            <w:pPr>
              <w:spacing w:after="20" w:line="250"/>
            </w:pPr>
            <w:r>
              <w:rPr>
                <w:b w:val="false"/>
                <w:bCs w:val="false"/>
                <w:sz w:val="19"/>
                <w:szCs w:val="19"/>
              </w:rPr>
              <w:t xml:space="preserve">Strategy set, pilots running, board story drafted</w:t>
            </w:r>
          </w:p>
        </w:tc>
      </w:tr>
      <w:tr>
        <w:tc>
          <w:tcPr>
            <w:tcW w:type="dxa" w:w="1400"/>
            <w:shd w:fill="EAF3F9" w:val="clear"/>
            <w:tcMar>
              <w:top w:type="dxa" w:w="70"/>
              <w:left w:type="dxa" w:w="110"/>
              <w:bottom w:type="dxa" w:w="70"/>
              <w:right w:type="dxa" w:w="110"/>
            </w:tcMar>
          </w:tcPr>
          <w:p>
            <w:pPr>
              <w:spacing w:after="20" w:line="250"/>
            </w:pPr>
            <w:r>
              <w:rPr>
                <w:b w:val="false"/>
                <w:bCs w:val="false"/>
                <w:sz w:val="19"/>
                <w:szCs w:val="19"/>
              </w:rPr>
              <w:t xml:space="preserve">Q2</w:t>
            </w:r>
          </w:p>
        </w:tc>
        <w:tc>
          <w:tcPr>
            <w:tcW w:type="dxa" w:w="5360"/>
            <w:shd w:fill="EAF3F9" w:val="clear"/>
            <w:tcMar>
              <w:top w:type="dxa" w:w="70"/>
              <w:left w:type="dxa" w:w="110"/>
              <w:bottom w:type="dxa" w:w="70"/>
              <w:right w:type="dxa" w:w="110"/>
            </w:tcMar>
          </w:tcPr>
          <w:p>
            <w:pPr>
              <w:spacing w:after="20" w:line="250"/>
            </w:pPr>
            <w:r>
              <w:rPr>
                <w:b w:val="false"/>
                <w:bCs w:val="false"/>
                <w:sz w:val="19"/>
                <w:szCs w:val="19"/>
              </w:rPr>
              <w:t xml:space="preserve">Pilot evidence and gate decisions; scaled-work scoping from validated data; governance hardened for Stage 4; narrative refresh with early wins</w:t>
            </w:r>
          </w:p>
        </w:tc>
        <w:tc>
          <w:tcPr>
            <w:tcW w:type="dxa" w:w="2600"/>
            <w:shd w:fill="EAF3F9" w:val="clear"/>
            <w:tcMar>
              <w:top w:type="dxa" w:w="70"/>
              <w:left w:type="dxa" w:w="110"/>
              <w:bottom w:type="dxa" w:w="70"/>
              <w:right w:type="dxa" w:w="110"/>
            </w:tcMar>
          </w:tcPr>
          <w:p>
            <w:pPr>
              <w:spacing w:after="20" w:line="250"/>
            </w:pPr>
            <w:r>
              <w:rPr>
                <w:b w:val="false"/>
                <w:bCs w:val="false"/>
                <w:sz w:val="19"/>
                <w:szCs w:val="19"/>
              </w:rPr>
              <w:t xml:space="preserve">Validated ROI, first scale decisions, sharpened story</w:t>
            </w:r>
          </w:p>
        </w:tc>
      </w:tr>
      <w:tr>
        <w:tc>
          <w:tcPr>
            <w:tcW w:type="dxa" w:w="1400"/>
            <w:tcMar>
              <w:top w:type="dxa" w:w="70"/>
              <w:left w:type="dxa" w:w="110"/>
              <w:bottom w:type="dxa" w:w="70"/>
              <w:right w:type="dxa" w:w="110"/>
            </w:tcMar>
          </w:tcPr>
          <w:p>
            <w:pPr>
              <w:spacing w:after="20" w:line="250"/>
            </w:pPr>
            <w:r>
              <w:rPr>
                <w:b w:val="false"/>
                <w:bCs w:val="false"/>
                <w:sz w:val="19"/>
                <w:szCs w:val="19"/>
              </w:rPr>
              <w:t xml:space="preserve">Q3</w:t>
            </w:r>
          </w:p>
        </w:tc>
        <w:tc>
          <w:tcPr>
            <w:tcW w:type="dxa" w:w="5360"/>
            <w:tcMar>
              <w:top w:type="dxa" w:w="70"/>
              <w:left w:type="dxa" w:w="110"/>
              <w:bottom w:type="dxa" w:w="70"/>
              <w:right w:type="dxa" w:w="110"/>
            </w:tcMar>
          </w:tcPr>
          <w:p>
            <w:pPr>
              <w:spacing w:after="20" w:line="250"/>
            </w:pPr>
            <w:r>
              <w:rPr>
                <w:b w:val="false"/>
                <w:bCs w:val="false"/>
                <w:sz w:val="19"/>
                <w:szCs w:val="19"/>
              </w:rPr>
              <w:t xml:space="preserve">Scaled rollout of proven initiatives; next wave designed; architecture and model-routing updates; diligence pack updated</w:t>
            </w:r>
          </w:p>
        </w:tc>
        <w:tc>
          <w:tcPr>
            <w:tcW w:type="dxa" w:w="2600"/>
            <w:tcMar>
              <w:top w:type="dxa" w:w="70"/>
              <w:left w:type="dxa" w:w="110"/>
              <w:bottom w:type="dxa" w:w="70"/>
              <w:right w:type="dxa" w:w="110"/>
            </w:tcMar>
          </w:tcPr>
          <w:p>
            <w:pPr>
              <w:spacing w:after="20" w:line="250"/>
            </w:pPr>
            <w:r>
              <w:rPr>
                <w:b w:val="false"/>
                <w:bCs w:val="false"/>
                <w:sz w:val="19"/>
                <w:szCs w:val="19"/>
              </w:rPr>
              <w:t xml:space="preserve">Operating gains compounding, roadmap extended</w:t>
            </w:r>
          </w:p>
        </w:tc>
      </w:tr>
      <w:tr>
        <w:tc>
          <w:tcPr>
            <w:tcW w:type="dxa" w:w="1400"/>
            <w:shd w:fill="EAF3F9" w:val="clear"/>
            <w:tcMar>
              <w:top w:type="dxa" w:w="70"/>
              <w:left w:type="dxa" w:w="110"/>
              <w:bottom w:type="dxa" w:w="70"/>
              <w:right w:type="dxa" w:w="110"/>
            </w:tcMar>
          </w:tcPr>
          <w:p>
            <w:pPr>
              <w:spacing w:after="20" w:line="250"/>
            </w:pPr>
            <w:r>
              <w:rPr>
                <w:b w:val="false"/>
                <w:bCs w:val="false"/>
                <w:sz w:val="19"/>
                <w:szCs w:val="19"/>
              </w:rPr>
              <w:t xml:space="preserve">Q4 / ongoing</w:t>
            </w:r>
          </w:p>
        </w:tc>
        <w:tc>
          <w:tcPr>
            <w:tcW w:type="dxa" w:w="5360"/>
            <w:shd w:fill="EAF3F9" w:val="clear"/>
            <w:tcMar>
              <w:top w:type="dxa" w:w="70"/>
              <w:left w:type="dxa" w:w="110"/>
              <w:bottom w:type="dxa" w:w="70"/>
              <w:right w:type="dxa" w:w="110"/>
            </w:tcMar>
          </w:tcPr>
          <w:p>
            <w:pPr>
              <w:spacing w:after="20" w:line="250"/>
            </w:pPr>
            <w:r>
              <w:rPr>
                <w:b w:val="false"/>
                <w:bCs w:val="false"/>
                <w:sz w:val="19"/>
                <w:szCs w:val="19"/>
              </w:rPr>
              <w:t xml:space="preserve">Program review vs. KPIs; strategy refresh; readiness pack for investor conversations</w:t>
            </w:r>
          </w:p>
        </w:tc>
        <w:tc>
          <w:tcPr>
            <w:tcW w:type="dxa" w:w="2600"/>
            <w:shd w:fill="EAF3F9" w:val="clear"/>
            <w:tcMar>
              <w:top w:type="dxa" w:w="70"/>
              <w:left w:type="dxa" w:w="110"/>
              <w:bottom w:type="dxa" w:w="70"/>
              <w:right w:type="dxa" w:w="110"/>
            </w:tcMar>
          </w:tcPr>
          <w:p>
            <w:pPr>
              <w:spacing w:after="20" w:line="250"/>
            </w:pPr>
            <w:r>
              <w:rPr>
                <w:b w:val="false"/>
                <w:bCs w:val="false"/>
                <w:sz w:val="19"/>
                <w:szCs w:val="19"/>
              </w:rPr>
              <w:t xml:space="preserve">Investor-ready position with a running track record</w:t>
            </w:r>
          </w:p>
        </w:tc>
      </w:tr>
    </w:tbl>
    <w:p>
      <w:pPr>
        <w:pStyle w:val="Heading2"/>
      </w:pPr>
      <w:r>
        <w:t xml:space="preserve">2.3  Horizon Funding Model - Your Allocation Lens</w:t>
      </w:r>
    </w:p>
    <w:p>
      <w:pPr>
        <w:spacing w:after="140" w:line="276"/>
      </w:pPr>
      <w:r>
        <w:t xml:space="preserve">You fund AI as a portfolio drawn from a defined pool, released by horizon in evidence-gated tranches - not against a fixed exit. A quarterly portfolio gate resets the envelopes; a monthly initiative gate releases tranches against evidence.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4660"/>
        <w:gridCol w:w="3200"/>
      </w:tblGrid>
      <w:tr>
        <w:trPr>
          <w:tblHeader/>
        </w:trPr>
        <w:tc>
          <w:tcPr>
            <w:tcW w:type="dxa" w:w="1500"/>
            <w:shd w:fill="1F4E79" w:val="clear"/>
            <w:tcMar>
              <w:top w:type="dxa" w:w="70"/>
              <w:left w:type="dxa" w:w="110"/>
              <w:bottom w:type="dxa" w:w="70"/>
              <w:right w:type="dxa" w:w="110"/>
            </w:tcMar>
          </w:tcPr>
          <w:p>
            <w:pPr>
              <w:spacing w:after="20" w:line="250"/>
            </w:pPr>
            <w:r>
              <w:rPr>
                <w:b/>
                <w:bCs/>
                <w:color w:val="FFFFFF"/>
                <w:sz w:val="19"/>
                <w:szCs w:val="19"/>
              </w:rPr>
              <w:t xml:space="preserve">Horizon</w:t>
            </w:r>
          </w:p>
        </w:tc>
        <w:tc>
          <w:tcPr>
            <w:tcW w:type="dxa" w:w="4660"/>
            <w:shd w:fill="1F4E79" w:val="clear"/>
            <w:tcMar>
              <w:top w:type="dxa" w:w="70"/>
              <w:left w:type="dxa" w:w="110"/>
              <w:bottom w:type="dxa" w:w="70"/>
              <w:right w:type="dxa" w:w="110"/>
            </w:tcMar>
          </w:tcPr>
          <w:p>
            <w:pPr>
              <w:spacing w:after="20" w:line="250"/>
            </w:pPr>
            <w:r>
              <w:rPr>
                <w:b/>
                <w:bCs/>
                <w:color w:val="FFFFFF"/>
                <w:sz w:val="19"/>
                <w:szCs w:val="19"/>
              </w:rPr>
              <w:t xml:space="preserve">What it funds</w:t>
            </w:r>
          </w:p>
        </w:tc>
        <w:tc>
          <w:tcPr>
            <w:tcW w:type="dxa" w:w="3200"/>
            <w:shd w:fill="1F4E79" w:val="clear"/>
            <w:tcMar>
              <w:top w:type="dxa" w:w="70"/>
              <w:left w:type="dxa" w:w="110"/>
              <w:bottom w:type="dxa" w:w="70"/>
              <w:right w:type="dxa" w:w="110"/>
            </w:tcMar>
          </w:tcPr>
          <w:p>
            <w:pPr>
              <w:spacing w:after="20" w:line="250"/>
            </w:pPr>
            <w:r>
              <w:rPr>
                <w:b/>
                <w:bCs/>
                <w:color w:val="FFFFFF"/>
                <w:sz w:val="19"/>
                <w:szCs w:val="19"/>
              </w:rPr>
              <w:t xml:space="preserve">Funding model</w:t>
            </w:r>
          </w:p>
        </w:tc>
      </w:tr>
      <w:tr>
        <w:tc>
          <w:tcPr>
            <w:tcW w:type="dxa" w:w="1500"/>
            <w:tcMar>
              <w:top w:type="dxa" w:w="70"/>
              <w:left w:type="dxa" w:w="110"/>
              <w:bottom w:type="dxa" w:w="70"/>
              <w:right w:type="dxa" w:w="110"/>
            </w:tcMar>
          </w:tcPr>
          <w:p>
            <w:pPr>
              <w:spacing w:after="20" w:line="250"/>
            </w:pPr>
            <w:r>
              <w:rPr>
                <w:b w:val="false"/>
                <w:bCs w:val="false"/>
                <w:sz w:val="19"/>
                <w:szCs w:val="19"/>
              </w:rPr>
              <w:t xml:space="preserve">H1 - Run</w:t>
            </w:r>
          </w:p>
        </w:tc>
        <w:tc>
          <w:tcPr>
            <w:tcW w:type="dxa" w:w="4660"/>
            <w:tcMar>
              <w:top w:type="dxa" w:w="70"/>
              <w:left w:type="dxa" w:w="110"/>
              <w:bottom w:type="dxa" w:w="70"/>
              <w:right w:type="dxa" w:w="110"/>
            </w:tcMar>
          </w:tcPr>
          <w:p>
            <w:pPr>
              <w:spacing w:after="20" w:line="250"/>
            </w:pPr>
            <w:r>
              <w:rPr>
                <w:b w:val="false"/>
                <w:bCs w:val="false"/>
                <w:sz w:val="19"/>
                <w:szCs w:val="19"/>
              </w:rPr>
              <w:t xml:space="preserve">Operational efficiency and task agents with hard, near-term ROI</w:t>
            </w:r>
          </w:p>
        </w:tc>
        <w:tc>
          <w:tcPr>
            <w:tcW w:type="dxa" w:w="3200"/>
            <w:tcMar>
              <w:top w:type="dxa" w:w="70"/>
              <w:left w:type="dxa" w:w="110"/>
              <w:bottom w:type="dxa" w:w="70"/>
              <w:right w:type="dxa" w:w="110"/>
            </w:tcMar>
          </w:tcPr>
          <w:p>
            <w:pPr>
              <w:spacing w:after="20" w:line="250"/>
            </w:pPr>
            <w:r>
              <w:rPr>
                <w:b w:val="false"/>
                <w:bCs w:val="false"/>
                <w:sz w:val="19"/>
                <w:szCs w:val="19"/>
              </w:rPr>
              <w:t xml:space="preserve">Fixed-fee setup + capped fail-fast pilots; targets self-funding from savings</w:t>
            </w:r>
          </w:p>
        </w:tc>
      </w:tr>
      <w:tr>
        <w:tc>
          <w:tcPr>
            <w:tcW w:type="dxa" w:w="1500"/>
            <w:shd w:fill="EAF3F9" w:val="clear"/>
            <w:tcMar>
              <w:top w:type="dxa" w:w="70"/>
              <w:left w:type="dxa" w:w="110"/>
              <w:bottom w:type="dxa" w:w="70"/>
              <w:right w:type="dxa" w:w="110"/>
            </w:tcMar>
          </w:tcPr>
          <w:p>
            <w:pPr>
              <w:spacing w:after="20" w:line="250"/>
            </w:pPr>
            <w:r>
              <w:rPr>
                <w:b w:val="false"/>
                <w:bCs w:val="false"/>
                <w:sz w:val="19"/>
                <w:szCs w:val="19"/>
              </w:rPr>
              <w:t xml:space="preserve">H2 - Scale</w:t>
            </w:r>
          </w:p>
        </w:tc>
        <w:tc>
          <w:tcPr>
            <w:tcW w:type="dxa" w:w="4660"/>
            <w:shd w:fill="EAF3F9" w:val="clear"/>
            <w:tcMar>
              <w:top w:type="dxa" w:w="70"/>
              <w:left w:type="dxa" w:w="110"/>
              <w:bottom w:type="dxa" w:w="70"/>
              <w:right w:type="dxa" w:w="110"/>
            </w:tcMar>
          </w:tcPr>
          <w:p>
            <w:pPr>
              <w:spacing w:after="20" w:line="250"/>
            </w:pPr>
            <w:r>
              <w:rPr>
                <w:b w:val="false"/>
                <w:bCs w:val="false"/>
                <w:sz w:val="19"/>
                <w:szCs w:val="19"/>
              </w:rPr>
              <w:t xml:space="preserve">Workflow automation rolled across firms, once governed</w:t>
            </w:r>
          </w:p>
        </w:tc>
        <w:tc>
          <w:tcPr>
            <w:tcW w:type="dxa" w:w="3200"/>
            <w:shd w:fill="EAF3F9" w:val="clear"/>
            <w:tcMar>
              <w:top w:type="dxa" w:w="70"/>
              <w:left w:type="dxa" w:w="110"/>
              <w:bottom w:type="dxa" w:w="70"/>
              <w:right w:type="dxa" w:w="110"/>
            </w:tcMar>
          </w:tcPr>
          <w:p>
            <w:pPr>
              <w:spacing w:after="20" w:line="250"/>
            </w:pPr>
            <w:r>
              <w:rPr>
                <w:b w:val="false"/>
                <w:bCs w:val="false"/>
                <w:sz w:val="19"/>
                <w:szCs w:val="19"/>
              </w:rPr>
              <w:t xml:space="preserve">Time &amp; Materials, released from validated H1 evidence</w:t>
            </w:r>
          </w:p>
        </w:tc>
      </w:tr>
      <w:tr>
        <w:tc>
          <w:tcPr>
            <w:tcW w:type="dxa" w:w="1500"/>
            <w:tcMar>
              <w:top w:type="dxa" w:w="70"/>
              <w:left w:type="dxa" w:w="110"/>
              <w:bottom w:type="dxa" w:w="70"/>
              <w:right w:type="dxa" w:w="110"/>
            </w:tcMar>
          </w:tcPr>
          <w:p>
            <w:pPr>
              <w:spacing w:after="20" w:line="250"/>
            </w:pPr>
            <w:r>
              <w:rPr>
                <w:b w:val="false"/>
                <w:bCs w:val="false"/>
                <w:sz w:val="19"/>
                <w:szCs w:val="19"/>
              </w:rPr>
              <w:t xml:space="preserve">H3 - Reinvent</w:t>
            </w:r>
          </w:p>
        </w:tc>
        <w:tc>
          <w:tcPr>
            <w:tcW w:type="dxa" w:w="4660"/>
            <w:tcMar>
              <w:top w:type="dxa" w:w="70"/>
              <w:left w:type="dxa" w:w="110"/>
              <w:bottom w:type="dxa" w:w="70"/>
              <w:right w:type="dxa" w:w="110"/>
            </w:tcMar>
          </w:tcPr>
          <w:p>
            <w:pPr>
              <w:spacing w:after="20" w:line="250"/>
            </w:pPr>
            <w:r>
              <w:rPr>
                <w:b w:val="false"/>
                <w:bCs w:val="false"/>
                <w:sz w:val="19"/>
                <w:szCs w:val="19"/>
              </w:rPr>
              <w:t xml:space="preserve">Client-facing growth bets and new service lines with asymmetric upside</w:t>
            </w:r>
          </w:p>
        </w:tc>
        <w:tc>
          <w:tcPr>
            <w:tcW w:type="dxa" w:w="3200"/>
            <w:tcMar>
              <w:top w:type="dxa" w:w="70"/>
              <w:left w:type="dxa" w:w="110"/>
              <w:bottom w:type="dxa" w:w="70"/>
              <w:right w:type="dxa" w:w="110"/>
            </w:tcMar>
          </w:tcPr>
          <w:p>
            <w:pPr>
              <w:spacing w:after="20" w:line="250"/>
            </w:pPr>
            <w:r>
              <w:rPr>
                <w:b w:val="false"/>
                <w:bCs w:val="false"/>
                <w:sz w:val="19"/>
                <w:szCs w:val="19"/>
              </w:rPr>
              <w:t xml:space="preserve">Small option-sized probes from a protected pool; few graduate, each cheap to test</w:t>
            </w:r>
          </w:p>
        </w:tc>
      </w:tr>
    </w:tbl>
    <w:p>
      <w:pPr>
        <w:spacing w:after="60"/>
      </w:pPr>
      <w:r>
        <w:t xml:space="preserve"/>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4060"/>
        <w:gridCol w:w="3600"/>
      </w:tblGrid>
      <w:tr>
        <w:trPr>
          <w:tblHeader/>
        </w:trPr>
        <w:tc>
          <w:tcPr>
            <w:tcW w:type="dxa" w:w="1700"/>
            <w:shd w:fill="1F4E79" w:val="clear"/>
            <w:tcMar>
              <w:top w:type="dxa" w:w="70"/>
              <w:left w:type="dxa" w:w="110"/>
              <w:bottom w:type="dxa" w:w="70"/>
              <w:right w:type="dxa" w:w="110"/>
            </w:tcMar>
          </w:tcPr>
          <w:p>
            <w:pPr>
              <w:spacing w:after="20" w:line="250"/>
            </w:pPr>
            <w:r>
              <w:rPr>
                <w:b/>
                <w:bCs/>
                <w:color w:val="FFFFFF"/>
                <w:sz w:val="19"/>
                <w:szCs w:val="19"/>
              </w:rPr>
              <w:t xml:space="preserve">Snapshot state</w:t>
            </w:r>
          </w:p>
        </w:tc>
        <w:tc>
          <w:tcPr>
            <w:tcW w:type="dxa" w:w="4060"/>
            <w:shd w:fill="1F4E79" w:val="clear"/>
            <w:tcMar>
              <w:top w:type="dxa" w:w="70"/>
              <w:left w:type="dxa" w:w="110"/>
              <w:bottom w:type="dxa" w:w="70"/>
              <w:right w:type="dxa" w:w="110"/>
            </w:tcMar>
          </w:tcPr>
          <w:p>
            <w:pPr>
              <w:spacing w:after="20" w:line="250"/>
            </w:pPr>
            <w:r>
              <w:rPr>
                <w:b/>
                <w:bCs/>
                <w:color w:val="FFFFFF"/>
                <w:sz w:val="19"/>
                <w:szCs w:val="19"/>
              </w:rPr>
              <w:t xml:space="preserve">Definition</w:t>
            </w:r>
          </w:p>
        </w:tc>
        <w:tc>
          <w:tcPr>
            <w:tcW w:type="dxa" w:w="3600"/>
            <w:shd w:fill="1F4E79" w:val="clear"/>
            <w:tcMar>
              <w:top w:type="dxa" w:w="70"/>
              <w:left w:type="dxa" w:w="110"/>
              <w:bottom w:type="dxa" w:w="70"/>
              <w:right w:type="dxa" w:w="110"/>
            </w:tcMar>
          </w:tcPr>
          <w:p>
            <w:pPr>
              <w:spacing w:after="20" w:line="250"/>
            </w:pPr>
            <w:r>
              <w:rPr>
                <w:b/>
                <w:bCs/>
                <w:color w:val="FFFFFF"/>
                <w:sz w:val="19"/>
                <w:szCs w:val="19"/>
              </w:rPr>
              <w:t xml:space="preserve">Role in diligence</w:t>
            </w:r>
          </w:p>
        </w:tc>
      </w:tr>
      <w:tr>
        <w:tc>
          <w:tcPr>
            <w:tcW w:type="dxa" w:w="1700"/>
            <w:tcMar>
              <w:top w:type="dxa" w:w="70"/>
              <w:left w:type="dxa" w:w="110"/>
              <w:bottom w:type="dxa" w:w="70"/>
              <w:right w:type="dxa" w:w="110"/>
            </w:tcMar>
          </w:tcPr>
          <w:p>
            <w:pPr>
              <w:spacing w:after="20" w:line="250"/>
            </w:pPr>
            <w:r>
              <w:rPr>
                <w:b w:val="false"/>
                <w:bCs w:val="false"/>
                <w:sz w:val="19"/>
                <w:szCs w:val="19"/>
              </w:rPr>
              <w:t xml:space="preserve">Realized</w:t>
            </w:r>
          </w:p>
        </w:tc>
        <w:tc>
          <w:tcPr>
            <w:tcW w:type="dxa" w:w="4060"/>
            <w:tcMar>
              <w:top w:type="dxa" w:w="70"/>
              <w:left w:type="dxa" w:w="110"/>
              <w:bottom w:type="dxa" w:w="70"/>
              <w:right w:type="dxa" w:w="110"/>
            </w:tcMar>
          </w:tcPr>
          <w:p>
            <w:pPr>
              <w:spacing w:after="20" w:line="250"/>
            </w:pPr>
            <w:r>
              <w:rPr>
                <w:b w:val="false"/>
                <w:bCs w:val="false"/>
                <w:sz w:val="19"/>
                <w:szCs w:val="19"/>
              </w:rPr>
              <w:t xml:space="preserve">In production and producing measured value</w:t>
            </w:r>
          </w:p>
        </w:tc>
        <w:tc>
          <w:tcPr>
            <w:tcW w:type="dxa" w:w="3600"/>
            <w:tcMar>
              <w:top w:type="dxa" w:w="70"/>
              <w:left w:type="dxa" w:w="110"/>
              <w:bottom w:type="dxa" w:w="70"/>
              <w:right w:type="dxa" w:w="110"/>
            </w:tcMar>
          </w:tcPr>
          <w:p>
            <w:pPr>
              <w:spacing w:after="20" w:line="250"/>
            </w:pPr>
            <w:r>
              <w:rPr>
                <w:b w:val="false"/>
                <w:bCs w:val="false"/>
                <w:sz w:val="19"/>
                <w:szCs w:val="19"/>
              </w:rPr>
              <w:t xml:space="preserve">Proof the platform already operates with AI leverage</w:t>
            </w:r>
          </w:p>
        </w:tc>
      </w:tr>
      <w:tr>
        <w:tc>
          <w:tcPr>
            <w:tcW w:type="dxa" w:w="1700"/>
            <w:shd w:fill="EAF3F9" w:val="clear"/>
            <w:tcMar>
              <w:top w:type="dxa" w:w="70"/>
              <w:left w:type="dxa" w:w="110"/>
              <w:bottom w:type="dxa" w:w="70"/>
              <w:right w:type="dxa" w:w="110"/>
            </w:tcMar>
          </w:tcPr>
          <w:p>
            <w:pPr>
              <w:spacing w:after="20" w:line="250"/>
            </w:pPr>
            <w:r>
              <w:rPr>
                <w:b w:val="false"/>
                <w:bCs w:val="false"/>
                <w:sz w:val="19"/>
                <w:szCs w:val="19"/>
              </w:rPr>
              <w:t xml:space="preserve">In-flight</w:t>
            </w:r>
          </w:p>
        </w:tc>
        <w:tc>
          <w:tcPr>
            <w:tcW w:type="dxa" w:w="4060"/>
            <w:shd w:fill="EAF3F9" w:val="clear"/>
            <w:tcMar>
              <w:top w:type="dxa" w:w="70"/>
              <w:left w:type="dxa" w:w="110"/>
              <w:bottom w:type="dxa" w:w="70"/>
              <w:right w:type="dxa" w:w="110"/>
            </w:tcMar>
          </w:tcPr>
          <w:p>
            <w:pPr>
              <w:spacing w:after="20" w:line="250"/>
            </w:pPr>
            <w:r>
              <w:rPr>
                <w:b w:val="false"/>
                <w:bCs w:val="false"/>
                <w:sz w:val="19"/>
                <w:szCs w:val="19"/>
              </w:rPr>
              <w:t xml:space="preserve">Funded and live with early signal</w:t>
            </w:r>
          </w:p>
        </w:tc>
        <w:tc>
          <w:tcPr>
            <w:tcW w:type="dxa" w:w="3600"/>
            <w:shd w:fill="EAF3F9" w:val="clear"/>
            <w:tcMar>
              <w:top w:type="dxa" w:w="70"/>
              <w:left w:type="dxa" w:w="110"/>
              <w:bottom w:type="dxa" w:w="70"/>
              <w:right w:type="dxa" w:w="110"/>
            </w:tcMar>
          </w:tcPr>
          <w:p>
            <w:pPr>
              <w:spacing w:after="20" w:line="250"/>
            </w:pPr>
            <w:r>
              <w:rPr>
                <w:b w:val="false"/>
                <w:bCs w:val="false"/>
                <w:sz w:val="19"/>
                <w:szCs w:val="19"/>
              </w:rPr>
              <w:t xml:space="preserve">Evidence of momentum and a working delivery engine</w:t>
            </w:r>
          </w:p>
        </w:tc>
      </w:tr>
      <w:tr>
        <w:tc>
          <w:tcPr>
            <w:tcW w:type="dxa" w:w="1700"/>
            <w:tcMar>
              <w:top w:type="dxa" w:w="70"/>
              <w:left w:type="dxa" w:w="110"/>
              <w:bottom w:type="dxa" w:w="70"/>
              <w:right w:type="dxa" w:w="110"/>
            </w:tcMar>
          </w:tcPr>
          <w:p>
            <w:pPr>
              <w:spacing w:after="20" w:line="250"/>
            </w:pPr>
            <w:r>
              <w:rPr>
                <w:b w:val="false"/>
                <w:bCs w:val="false"/>
                <w:sz w:val="19"/>
                <w:szCs w:val="19"/>
              </w:rPr>
              <w:t xml:space="preserve">Optioned</w:t>
            </w:r>
          </w:p>
        </w:tc>
        <w:tc>
          <w:tcPr>
            <w:tcW w:type="dxa" w:w="4060"/>
            <w:tcMar>
              <w:top w:type="dxa" w:w="70"/>
              <w:left w:type="dxa" w:w="110"/>
              <w:bottom w:type="dxa" w:w="70"/>
              <w:right w:type="dxa" w:w="110"/>
            </w:tcMar>
          </w:tcPr>
          <w:p>
            <w:pPr>
              <w:spacing w:after="20" w:line="250"/>
            </w:pPr>
            <w:r>
              <w:rPr>
                <w:b w:val="false"/>
                <w:bCs w:val="false"/>
                <w:sz w:val="19"/>
                <w:szCs w:val="19"/>
              </w:rPr>
              <w:t xml:space="preserve">Designed and costed, ready to fund on demand</w:t>
            </w:r>
          </w:p>
        </w:tc>
        <w:tc>
          <w:tcPr>
            <w:tcW w:type="dxa" w:w="3600"/>
            <w:tcMar>
              <w:top w:type="dxa" w:w="70"/>
              <w:left w:type="dxa" w:w="110"/>
              <w:bottom w:type="dxa" w:w="70"/>
              <w:right w:type="dxa" w:w="110"/>
            </w:tcMar>
          </w:tcPr>
          <w:p>
            <w:pPr>
              <w:spacing w:after="20" w:line="250"/>
            </w:pPr>
            <w:r>
              <w:rPr>
                <w:b w:val="false"/>
                <w:bCs w:val="false"/>
                <w:sz w:val="19"/>
                <w:szCs w:val="19"/>
              </w:rPr>
              <w:t xml:space="preserve">A defensible roadmap with known economics and triggers</w:t>
            </w:r>
          </w:p>
        </w:tc>
      </w:tr>
    </w:tbl>
    <w:p>
      <w:pPr>
        <w:pStyle w:val="Heading1"/>
        <w:pageBreakBefore/>
      </w:pPr>
      <w:r>
        <w:t xml:space="preserve">3. The Roadmap</w:t>
      </w:r>
    </w:p>
    <w:p>
      <w:pPr>
        <w:spacing w:after="140" w:line="276"/>
      </w:pPr>
      <w:r>
        <w:t xml:space="preserve">The roadmap moves Springline from the Stage 1–2 boundary (tools adopted, no coordinated strategy) into Wave 2 (process-level, governed automation) over the first 12–18 months, with Wave 3 entering the optioned portfolio as evidence accumulates. Do not overpromise Wave 3 timing.</w:t>
      </w:r>
    </w:p>
    <w:p>
      <w:pPr>
        <w:pStyle w:val="Heading2"/>
      </w:pPr>
      <w:r>
        <w:t xml:space="preserve">Maturity arc</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900"/>
        <w:gridCol w:w="1300"/>
        <w:gridCol w:w="3460"/>
        <w:gridCol w:w="2700"/>
      </w:tblGrid>
      <w:tr>
        <w:trPr>
          <w:tblHeader/>
        </w:trPr>
        <w:tc>
          <w:tcPr>
            <w:tcW w:type="dxa" w:w="1900"/>
            <w:shd w:fill="1F4E79" w:val="clear"/>
            <w:tcMar>
              <w:top w:type="dxa" w:w="70"/>
              <w:left w:type="dxa" w:w="110"/>
              <w:bottom w:type="dxa" w:w="70"/>
              <w:right w:type="dxa" w:w="110"/>
            </w:tcMar>
          </w:tcPr>
          <w:p>
            <w:pPr>
              <w:spacing w:after="20" w:line="250"/>
            </w:pPr>
            <w:r>
              <w:rPr>
                <w:b/>
                <w:bCs/>
                <w:color w:val="FFFFFF"/>
                <w:sz w:val="19"/>
                <w:szCs w:val="19"/>
              </w:rPr>
              <w:t xml:space="preserve">Wave</w:t>
            </w:r>
          </w:p>
        </w:tc>
        <w:tc>
          <w:tcPr>
            <w:tcW w:type="dxa" w:w="1300"/>
            <w:shd w:fill="1F4E79" w:val="clear"/>
            <w:tcMar>
              <w:top w:type="dxa" w:w="70"/>
              <w:left w:type="dxa" w:w="110"/>
              <w:bottom w:type="dxa" w:w="70"/>
              <w:right w:type="dxa" w:w="110"/>
            </w:tcMar>
          </w:tcPr>
          <w:p>
            <w:pPr>
              <w:spacing w:after="20" w:line="250"/>
            </w:pPr>
            <w:r>
              <w:rPr>
                <w:b/>
                <w:bCs/>
                <w:color w:val="FFFFFF"/>
                <w:sz w:val="19"/>
                <w:szCs w:val="19"/>
              </w:rPr>
              <w:t xml:space="preserve">Stages</w:t>
            </w:r>
          </w:p>
        </w:tc>
        <w:tc>
          <w:tcPr>
            <w:tcW w:type="dxa" w:w="3460"/>
            <w:shd w:fill="1F4E79" w:val="clear"/>
            <w:tcMar>
              <w:top w:type="dxa" w:w="70"/>
              <w:left w:type="dxa" w:w="110"/>
              <w:bottom w:type="dxa" w:w="70"/>
              <w:right w:type="dxa" w:w="110"/>
            </w:tcMar>
          </w:tcPr>
          <w:p>
            <w:pPr>
              <w:spacing w:after="20" w:line="250"/>
            </w:pPr>
            <w:r>
              <w:rPr>
                <w:b/>
                <w:bCs/>
                <w:color w:val="FFFFFF"/>
                <w:sz w:val="19"/>
                <w:szCs w:val="19"/>
              </w:rPr>
              <w:t xml:space="preserve">Focus</w:t>
            </w:r>
          </w:p>
        </w:tc>
        <w:tc>
          <w:tcPr>
            <w:tcW w:type="dxa" w:w="2700"/>
            <w:shd w:fill="1F4E79" w:val="clear"/>
            <w:tcMar>
              <w:top w:type="dxa" w:w="70"/>
              <w:left w:type="dxa" w:w="110"/>
              <w:bottom w:type="dxa" w:w="70"/>
              <w:right w:type="dxa" w:w="110"/>
            </w:tcMar>
          </w:tcPr>
          <w:p>
            <w:pPr>
              <w:spacing w:after="20" w:line="250"/>
            </w:pPr>
            <w:r>
              <w:rPr>
                <w:b/>
                <w:bCs/>
                <w:color w:val="FFFFFF"/>
                <w:sz w:val="19"/>
                <w:szCs w:val="19"/>
              </w:rPr>
              <w:t xml:space="preserve">Where the leverage is</w:t>
            </w:r>
          </w:p>
        </w:tc>
      </w:tr>
      <w:tr>
        <w:tc>
          <w:tcPr>
            <w:tcW w:type="dxa" w:w="1900"/>
            <w:tcMar>
              <w:top w:type="dxa" w:w="70"/>
              <w:left w:type="dxa" w:w="110"/>
              <w:bottom w:type="dxa" w:w="70"/>
              <w:right w:type="dxa" w:w="110"/>
            </w:tcMar>
          </w:tcPr>
          <w:p>
            <w:pPr>
              <w:spacing w:after="20" w:line="250"/>
            </w:pPr>
            <w:r>
              <w:rPr>
                <w:b w:val="false"/>
                <w:bCs w:val="false"/>
                <w:sz w:val="19"/>
                <w:szCs w:val="19"/>
              </w:rPr>
              <w:t xml:space="preserve">Wave 1: Tools</w:t>
            </w:r>
          </w:p>
        </w:tc>
        <w:tc>
          <w:tcPr>
            <w:tcW w:type="dxa" w:w="1300"/>
            <w:tcMar>
              <w:top w:type="dxa" w:w="70"/>
              <w:left w:type="dxa" w:w="110"/>
              <w:bottom w:type="dxa" w:w="70"/>
              <w:right w:type="dxa" w:w="110"/>
            </w:tcMar>
          </w:tcPr>
          <w:p>
            <w:pPr>
              <w:spacing w:after="20" w:line="250"/>
            </w:pPr>
            <w:r>
              <w:rPr>
                <w:b w:val="false"/>
                <w:bCs w:val="false"/>
                <w:sz w:val="19"/>
                <w:szCs w:val="19"/>
              </w:rPr>
              <w:t xml:space="preserve">1–2</w:t>
            </w:r>
          </w:p>
        </w:tc>
        <w:tc>
          <w:tcPr>
            <w:tcW w:type="dxa" w:w="3460"/>
            <w:tcMar>
              <w:top w:type="dxa" w:w="70"/>
              <w:left w:type="dxa" w:w="110"/>
              <w:bottom w:type="dxa" w:w="70"/>
              <w:right w:type="dxa" w:w="110"/>
            </w:tcMar>
          </w:tcPr>
          <w:p>
            <w:pPr>
              <w:spacing w:after="20" w:line="250"/>
            </w:pPr>
            <w:r>
              <w:rPr>
                <w:b w:val="false"/>
                <w:bCs w:val="false"/>
                <w:sz w:val="19"/>
                <w:szCs w:val="19"/>
              </w:rPr>
              <w:t xml:space="preserve">Out-of-box M365 + Copilot</w:t>
            </w:r>
          </w:p>
        </w:tc>
        <w:tc>
          <w:tcPr>
            <w:tcW w:type="dxa" w:w="2700"/>
            <w:tcMar>
              <w:top w:type="dxa" w:w="70"/>
              <w:left w:type="dxa" w:w="110"/>
              <w:bottom w:type="dxa" w:w="70"/>
              <w:right w:type="dxa" w:w="110"/>
            </w:tcMar>
          </w:tcPr>
          <w:p>
            <w:pPr>
              <w:spacing w:after="20" w:line="250"/>
            </w:pPr>
            <w:r>
              <w:rPr>
                <w:b w:val="false"/>
                <w:bCs w:val="false"/>
                <w:sz w:val="19"/>
                <w:szCs w:val="19"/>
              </w:rPr>
              <w:t xml:space="preserve">Floor, not goal - already licensed</w:t>
            </w:r>
          </w:p>
        </w:tc>
      </w:tr>
      <w:tr>
        <w:tc>
          <w:tcPr>
            <w:tcW w:type="dxa" w:w="1900"/>
            <w:shd w:fill="EAF3F9" w:val="clear"/>
            <w:tcMar>
              <w:top w:type="dxa" w:w="70"/>
              <w:left w:type="dxa" w:w="110"/>
              <w:bottom w:type="dxa" w:w="70"/>
              <w:right w:type="dxa" w:w="110"/>
            </w:tcMar>
          </w:tcPr>
          <w:p>
            <w:pPr>
              <w:spacing w:after="20" w:line="250"/>
            </w:pPr>
            <w:r>
              <w:rPr>
                <w:b w:val="false"/>
                <w:bCs w:val="false"/>
                <w:sz w:val="19"/>
                <w:szCs w:val="19"/>
              </w:rPr>
              <w:t xml:space="preserve">Wave 2: Process</w:t>
            </w:r>
          </w:p>
        </w:tc>
        <w:tc>
          <w:tcPr>
            <w:tcW w:type="dxa" w:w="1300"/>
            <w:shd w:fill="EAF3F9" w:val="clear"/>
            <w:tcMar>
              <w:top w:type="dxa" w:w="70"/>
              <w:left w:type="dxa" w:w="110"/>
              <w:bottom w:type="dxa" w:w="70"/>
              <w:right w:type="dxa" w:w="110"/>
            </w:tcMar>
          </w:tcPr>
          <w:p>
            <w:pPr>
              <w:spacing w:after="20" w:line="250"/>
            </w:pPr>
            <w:r>
              <w:rPr>
                <w:b w:val="false"/>
                <w:bCs w:val="false"/>
                <w:sz w:val="19"/>
                <w:szCs w:val="19"/>
              </w:rPr>
              <w:t xml:space="preserve">3–4</w:t>
            </w:r>
          </w:p>
        </w:tc>
        <w:tc>
          <w:tcPr>
            <w:tcW w:type="dxa" w:w="3460"/>
            <w:shd w:fill="EAF3F9" w:val="clear"/>
            <w:tcMar>
              <w:top w:type="dxa" w:w="70"/>
              <w:left w:type="dxa" w:w="110"/>
              <w:bottom w:type="dxa" w:w="70"/>
              <w:right w:type="dxa" w:w="110"/>
            </w:tcMar>
          </w:tcPr>
          <w:p>
            <w:pPr>
              <w:spacing w:after="20" w:line="250"/>
            </w:pPr>
            <w:r>
              <w:rPr>
                <w:b w:val="false"/>
                <w:bCs w:val="false"/>
                <w:sz w:val="19"/>
                <w:szCs w:val="19"/>
              </w:rPr>
              <w:t xml:space="preserve">Task agents → governed workflows</w:t>
            </w:r>
          </w:p>
        </w:tc>
        <w:tc>
          <w:tcPr>
            <w:tcW w:type="dxa" w:w="2700"/>
            <w:shd w:fill="EAF3F9" w:val="clear"/>
            <w:tcMar>
              <w:top w:type="dxa" w:w="70"/>
              <w:left w:type="dxa" w:w="110"/>
              <w:bottom w:type="dxa" w:w="70"/>
              <w:right w:type="dxa" w:w="110"/>
            </w:tcMar>
          </w:tcPr>
          <w:p>
            <w:pPr>
              <w:spacing w:after="20" w:line="250"/>
            </w:pPr>
            <w:r>
              <w:rPr>
                <w:b w:val="false"/>
                <w:bCs w:val="false"/>
                <w:sz w:val="19"/>
                <w:szCs w:val="19"/>
              </w:rPr>
              <w:t xml:space="preserve">Near-term center of gravity</w:t>
            </w:r>
          </w:p>
        </w:tc>
      </w:tr>
      <w:tr>
        <w:tc>
          <w:tcPr>
            <w:tcW w:type="dxa" w:w="1900"/>
            <w:tcMar>
              <w:top w:type="dxa" w:w="70"/>
              <w:left w:type="dxa" w:w="110"/>
              <w:bottom w:type="dxa" w:w="70"/>
              <w:right w:type="dxa" w:w="110"/>
            </w:tcMar>
          </w:tcPr>
          <w:p>
            <w:pPr>
              <w:spacing w:after="20" w:line="250"/>
            </w:pPr>
            <w:r>
              <w:rPr>
                <w:b w:val="false"/>
                <w:bCs w:val="false"/>
                <w:sz w:val="19"/>
                <w:szCs w:val="19"/>
              </w:rPr>
              <w:t xml:space="preserve">Wave 3: Agentic Ops</w:t>
            </w:r>
          </w:p>
        </w:tc>
        <w:tc>
          <w:tcPr>
            <w:tcW w:type="dxa" w:w="1300"/>
            <w:tcMar>
              <w:top w:type="dxa" w:w="70"/>
              <w:left w:type="dxa" w:w="110"/>
              <w:bottom w:type="dxa" w:w="70"/>
              <w:right w:type="dxa" w:w="110"/>
            </w:tcMar>
          </w:tcPr>
          <w:p>
            <w:pPr>
              <w:spacing w:after="20" w:line="250"/>
            </w:pPr>
            <w:r>
              <w:rPr>
                <w:b w:val="false"/>
                <w:bCs w:val="false"/>
                <w:sz w:val="19"/>
                <w:szCs w:val="19"/>
              </w:rPr>
              <w:t xml:space="preserve">5–8</w:t>
            </w:r>
          </w:p>
        </w:tc>
        <w:tc>
          <w:tcPr>
            <w:tcW w:type="dxa" w:w="3460"/>
            <w:tcMar>
              <w:top w:type="dxa" w:w="70"/>
              <w:left w:type="dxa" w:w="110"/>
              <w:bottom w:type="dxa" w:w="70"/>
              <w:right w:type="dxa" w:w="110"/>
            </w:tcMar>
          </w:tcPr>
          <w:p>
            <w:pPr>
              <w:spacing w:after="20" w:line="250"/>
            </w:pPr>
            <w:r>
              <w:rPr>
                <w:b w:val="false"/>
                <w:bCs w:val="false"/>
                <w:sz w:val="19"/>
                <w:szCs w:val="19"/>
              </w:rPr>
              <w:t xml:space="preserve">Delegated, orchestrated, client-facing</w:t>
            </w:r>
          </w:p>
        </w:tc>
        <w:tc>
          <w:tcPr>
            <w:tcW w:type="dxa" w:w="2700"/>
            <w:tcMar>
              <w:top w:type="dxa" w:w="70"/>
              <w:left w:type="dxa" w:w="110"/>
              <w:bottom w:type="dxa" w:w="70"/>
              <w:right w:type="dxa" w:w="110"/>
            </w:tcMar>
          </w:tcPr>
          <w:p>
            <w:pPr>
              <w:spacing w:after="20" w:line="250"/>
            </w:pPr>
            <w:r>
              <w:rPr>
                <w:b w:val="false"/>
                <w:bCs w:val="false"/>
                <w:sz w:val="19"/>
                <w:szCs w:val="19"/>
              </w:rPr>
              <w:t xml:space="preserve">Optioned now; future state</w:t>
            </w:r>
          </w:p>
        </w:tc>
      </w:tr>
    </w:tbl>
    <w:p>
      <w:pPr>
        <w:spacing w:after="40"/>
      </w:pPr>
      <w:r>
        <w:t xml:space="preserve"/>
      </w:r>
    </w:p>
    <w:p>
      <w:pPr>
        <w:spacing w:after="140" w:line="276"/>
      </w:pPr>
      <w:r>
        <w:rPr>
          <w:b/>
          <w:bCs/>
        </w:rPr>
        <w:t xml:space="preserve">The leverage is in the middle of the curve. </w:t>
      </w:r>
      <w:r>
        <w:t xml:space="preserve">Stage 2 is paid for; Stage 5+ needs orchestration Springline does not yet need. The near-term return concentrates at the Stage 2→3 and 3→4 boundaries - exactly where Horizon 1 and Horizon 2 operate. Lead with the next two moves, never with Stage 8.</w:t>
      </w:r>
    </w:p>
    <w:p>
      <w:pPr>
        <w:pStyle w:val="Heading2"/>
      </w:pPr>
      <w:r>
        <w:t xml:space="preserve">18-month sequence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1700"/>
        <w:gridCol w:w="3760"/>
        <w:gridCol w:w="2400"/>
      </w:tblGrid>
      <w:tr>
        <w:trPr>
          <w:tblHeader/>
        </w:trPr>
        <w:tc>
          <w:tcPr>
            <w:tcW w:type="dxa" w:w="1500"/>
            <w:shd w:fill="1F4E79" w:val="clear"/>
            <w:tcMar>
              <w:top w:type="dxa" w:w="70"/>
              <w:left w:type="dxa" w:w="110"/>
              <w:bottom w:type="dxa" w:w="70"/>
              <w:right w:type="dxa" w:w="110"/>
            </w:tcMar>
          </w:tcPr>
          <w:p>
            <w:pPr>
              <w:spacing w:after="20" w:line="250"/>
            </w:pPr>
            <w:r>
              <w:rPr>
                <w:b/>
                <w:bCs/>
                <w:color w:val="FFFFFF"/>
                <w:sz w:val="19"/>
                <w:szCs w:val="19"/>
              </w:rPr>
              <w:t xml:space="preserve">Window</w:t>
            </w:r>
          </w:p>
        </w:tc>
        <w:tc>
          <w:tcPr>
            <w:tcW w:type="dxa" w:w="1700"/>
            <w:shd w:fill="1F4E79" w:val="clear"/>
            <w:tcMar>
              <w:top w:type="dxa" w:w="70"/>
              <w:left w:type="dxa" w:w="110"/>
              <w:bottom w:type="dxa" w:w="70"/>
              <w:right w:type="dxa" w:w="110"/>
            </w:tcMar>
          </w:tcPr>
          <w:p>
            <w:pPr>
              <w:spacing w:after="20" w:line="250"/>
            </w:pPr>
            <w:r>
              <w:rPr>
                <w:b/>
                <w:bCs/>
                <w:color w:val="FFFFFF"/>
                <w:sz w:val="19"/>
                <w:szCs w:val="19"/>
              </w:rPr>
              <w:t xml:space="preserve">Horizon focus</w:t>
            </w:r>
          </w:p>
        </w:tc>
        <w:tc>
          <w:tcPr>
            <w:tcW w:type="dxa" w:w="3760"/>
            <w:shd w:fill="1F4E79" w:val="clear"/>
            <w:tcMar>
              <w:top w:type="dxa" w:w="70"/>
              <w:left w:type="dxa" w:w="110"/>
              <w:bottom w:type="dxa" w:w="70"/>
              <w:right w:type="dxa" w:w="110"/>
            </w:tcMar>
          </w:tcPr>
          <w:p>
            <w:pPr>
              <w:spacing w:after="20" w:line="250"/>
            </w:pPr>
            <w:r>
              <w:rPr>
                <w:b/>
                <w:bCs/>
                <w:color w:val="FFFFFF"/>
                <w:sz w:val="19"/>
                <w:szCs w:val="19"/>
              </w:rPr>
              <w:t xml:space="preserve">Primary moves</w:t>
            </w:r>
          </w:p>
        </w:tc>
        <w:tc>
          <w:tcPr>
            <w:tcW w:type="dxa" w:w="2400"/>
            <w:shd w:fill="1F4E79" w:val="clear"/>
            <w:tcMar>
              <w:top w:type="dxa" w:w="70"/>
              <w:left w:type="dxa" w:w="110"/>
              <w:bottom w:type="dxa" w:w="70"/>
              <w:right w:type="dxa" w:w="110"/>
            </w:tcMar>
          </w:tcPr>
          <w:p>
            <w:pPr>
              <w:spacing w:after="20" w:line="250"/>
            </w:pPr>
            <w:r>
              <w:rPr>
                <w:b/>
                <w:bCs/>
                <w:color w:val="FFFFFF"/>
                <w:sz w:val="19"/>
                <w:szCs w:val="19"/>
              </w:rPr>
              <w:t xml:space="preserve">Gate output</w:t>
            </w:r>
          </w:p>
        </w:tc>
      </w:tr>
      <w:tr>
        <w:tc>
          <w:tcPr>
            <w:tcW w:type="dxa" w:w="1500"/>
            <w:tcMar>
              <w:top w:type="dxa" w:w="70"/>
              <w:left w:type="dxa" w:w="110"/>
              <w:bottom w:type="dxa" w:w="70"/>
              <w:right w:type="dxa" w:w="110"/>
            </w:tcMar>
          </w:tcPr>
          <w:p>
            <w:pPr>
              <w:spacing w:after="20" w:line="250"/>
            </w:pPr>
            <w:r>
              <w:rPr>
                <w:b w:val="false"/>
                <w:bCs w:val="false"/>
                <w:sz w:val="19"/>
                <w:szCs w:val="19"/>
              </w:rPr>
              <w:t xml:space="preserve">Months 0–3 (Q1)</w:t>
            </w:r>
          </w:p>
        </w:tc>
        <w:tc>
          <w:tcPr>
            <w:tcW w:type="dxa" w:w="1700"/>
            <w:tcMar>
              <w:top w:type="dxa" w:w="70"/>
              <w:left w:type="dxa" w:w="110"/>
              <w:bottom w:type="dxa" w:w="70"/>
              <w:right w:type="dxa" w:w="110"/>
            </w:tcMar>
          </w:tcPr>
          <w:p>
            <w:pPr>
              <w:spacing w:after="20" w:line="250"/>
            </w:pPr>
            <w:r>
              <w:rPr>
                <w:b w:val="false"/>
                <w:bCs w:val="false"/>
                <w:sz w:val="19"/>
                <w:szCs w:val="19"/>
              </w:rPr>
              <w:t xml:space="preserve">H1 stand-up</w:t>
            </w:r>
          </w:p>
        </w:tc>
        <w:tc>
          <w:tcPr>
            <w:tcW w:type="dxa" w:w="3760"/>
            <w:tcMar>
              <w:top w:type="dxa" w:w="70"/>
              <w:left w:type="dxa" w:w="110"/>
              <w:bottom w:type="dxa" w:w="70"/>
              <w:right w:type="dxa" w:w="110"/>
            </w:tcMar>
          </w:tcPr>
          <w:p>
            <w:pPr>
              <w:spacing w:after="20" w:line="250"/>
            </w:pPr>
            <w:r>
              <w:rPr>
                <w:b w:val="false"/>
                <w:bCs w:val="false"/>
                <w:sz w:val="19"/>
                <w:szCs w:val="19"/>
              </w:rPr>
              <w:t xml:space="preserve">Discovery; strategy + roadmap; governance baseline; select &amp; start first pilots in cleanest-data firm</w:t>
            </w:r>
          </w:p>
        </w:tc>
        <w:tc>
          <w:tcPr>
            <w:tcW w:type="dxa" w:w="2400"/>
            <w:tcMar>
              <w:top w:type="dxa" w:w="70"/>
              <w:left w:type="dxa" w:w="110"/>
              <w:bottom w:type="dxa" w:w="70"/>
              <w:right w:type="dxa" w:w="110"/>
            </w:tcMar>
          </w:tcPr>
          <w:p>
            <w:pPr>
              <w:spacing w:after="20" w:line="250"/>
            </w:pPr>
            <w:r>
              <w:rPr>
                <w:b w:val="false"/>
                <w:bCs w:val="false"/>
                <w:sz w:val="19"/>
                <w:szCs w:val="19"/>
              </w:rPr>
              <w:t xml:space="preserve">First monthly gates; narrative v1</w:t>
            </w:r>
          </w:p>
        </w:tc>
      </w:tr>
      <w:tr>
        <w:tc>
          <w:tcPr>
            <w:tcW w:type="dxa" w:w="1500"/>
            <w:shd w:fill="EAF3F9" w:val="clear"/>
            <w:tcMar>
              <w:top w:type="dxa" w:w="70"/>
              <w:left w:type="dxa" w:w="110"/>
              <w:bottom w:type="dxa" w:w="70"/>
              <w:right w:type="dxa" w:w="110"/>
            </w:tcMar>
          </w:tcPr>
          <w:p>
            <w:pPr>
              <w:spacing w:after="20" w:line="250"/>
            </w:pPr>
            <w:r>
              <w:rPr>
                <w:b w:val="false"/>
                <w:bCs w:val="false"/>
                <w:sz w:val="19"/>
                <w:szCs w:val="19"/>
              </w:rPr>
              <w:t xml:space="preserve">Months 4–6 (Q2)</w:t>
            </w:r>
          </w:p>
        </w:tc>
        <w:tc>
          <w:tcPr>
            <w:tcW w:type="dxa" w:w="1700"/>
            <w:shd w:fill="EAF3F9" w:val="clear"/>
            <w:tcMar>
              <w:top w:type="dxa" w:w="70"/>
              <w:left w:type="dxa" w:w="110"/>
              <w:bottom w:type="dxa" w:w="70"/>
              <w:right w:type="dxa" w:w="110"/>
            </w:tcMar>
          </w:tcPr>
          <w:p>
            <w:pPr>
              <w:spacing w:after="20" w:line="250"/>
            </w:pPr>
            <w:r>
              <w:rPr>
                <w:b w:val="false"/>
                <w:bCs w:val="false"/>
                <w:sz w:val="19"/>
                <w:szCs w:val="19"/>
              </w:rPr>
              <w:t xml:space="preserve">H1 → H2</w:t>
            </w:r>
          </w:p>
        </w:tc>
        <w:tc>
          <w:tcPr>
            <w:tcW w:type="dxa" w:w="3760"/>
            <w:shd w:fill="EAF3F9" w:val="clear"/>
            <w:tcMar>
              <w:top w:type="dxa" w:w="70"/>
              <w:left w:type="dxa" w:w="110"/>
              <w:bottom w:type="dxa" w:w="70"/>
              <w:right w:type="dxa" w:w="110"/>
            </w:tcMar>
          </w:tcPr>
          <w:p>
            <w:pPr>
              <w:spacing w:after="20" w:line="250"/>
            </w:pPr>
            <w:r>
              <w:rPr>
                <w:b w:val="false"/>
                <w:bCs w:val="false"/>
                <w:sz w:val="19"/>
                <w:szCs w:val="19"/>
              </w:rPr>
              <w:t xml:space="preserve">Run pilots to their gates; kill or scale on evidence; scope scaled work from real data; harden governance for Stage 4</w:t>
            </w:r>
          </w:p>
        </w:tc>
        <w:tc>
          <w:tcPr>
            <w:tcW w:type="dxa" w:w="2400"/>
            <w:shd w:fill="EAF3F9" w:val="clear"/>
            <w:tcMar>
              <w:top w:type="dxa" w:w="70"/>
              <w:left w:type="dxa" w:w="110"/>
              <w:bottom w:type="dxa" w:w="70"/>
              <w:right w:type="dxa" w:w="110"/>
            </w:tcMar>
          </w:tcPr>
          <w:p>
            <w:pPr>
              <w:spacing w:after="20" w:line="250"/>
            </w:pPr>
            <w:r>
              <w:rPr>
                <w:b w:val="false"/>
                <w:bCs w:val="false"/>
                <w:sz w:val="19"/>
                <w:szCs w:val="19"/>
              </w:rPr>
              <w:t xml:space="preserve">First scale decisions; narrative v2</w:t>
            </w:r>
          </w:p>
        </w:tc>
      </w:tr>
      <w:tr>
        <w:tc>
          <w:tcPr>
            <w:tcW w:type="dxa" w:w="1500"/>
            <w:tcMar>
              <w:top w:type="dxa" w:w="70"/>
              <w:left w:type="dxa" w:w="110"/>
              <w:bottom w:type="dxa" w:w="70"/>
              <w:right w:type="dxa" w:w="110"/>
            </w:tcMar>
          </w:tcPr>
          <w:p>
            <w:pPr>
              <w:spacing w:after="20" w:line="250"/>
            </w:pPr>
            <w:r>
              <w:rPr>
                <w:b w:val="false"/>
                <w:bCs w:val="false"/>
                <w:sz w:val="19"/>
                <w:szCs w:val="19"/>
              </w:rPr>
              <w:t xml:space="preserve">Months 7–12 (Q3–Q4)</w:t>
            </w:r>
          </w:p>
        </w:tc>
        <w:tc>
          <w:tcPr>
            <w:tcW w:type="dxa" w:w="1700"/>
            <w:tcMar>
              <w:top w:type="dxa" w:w="70"/>
              <w:left w:type="dxa" w:w="110"/>
              <w:bottom w:type="dxa" w:w="70"/>
              <w:right w:type="dxa" w:w="110"/>
            </w:tcMar>
          </w:tcPr>
          <w:p>
            <w:pPr>
              <w:spacing w:after="20" w:line="250"/>
            </w:pPr>
            <w:r>
              <w:rPr>
                <w:b w:val="false"/>
                <w:bCs w:val="false"/>
                <w:sz w:val="19"/>
                <w:szCs w:val="19"/>
              </w:rPr>
              <w:t xml:space="preserve">H2 roll-out</w:t>
            </w:r>
          </w:p>
        </w:tc>
        <w:tc>
          <w:tcPr>
            <w:tcW w:type="dxa" w:w="3760"/>
            <w:tcMar>
              <w:top w:type="dxa" w:w="70"/>
              <w:left w:type="dxa" w:w="110"/>
              <w:bottom w:type="dxa" w:w="70"/>
              <w:right w:type="dxa" w:w="110"/>
            </w:tcMar>
          </w:tcPr>
          <w:p>
            <w:pPr>
              <w:spacing w:after="20" w:line="250"/>
            </w:pPr>
            <w:r>
              <w:rPr>
                <w:b w:val="false"/>
                <w:bCs w:val="false"/>
                <w:sz w:val="19"/>
                <w:szCs w:val="19"/>
              </w:rPr>
              <w:t xml:space="preserve">Roll proven workflows across firms; design next wave; refresh architecture &amp; model routing</w:t>
            </w:r>
          </w:p>
        </w:tc>
        <w:tc>
          <w:tcPr>
            <w:tcW w:type="dxa" w:w="2400"/>
            <w:tcMar>
              <w:top w:type="dxa" w:w="70"/>
              <w:left w:type="dxa" w:w="110"/>
              <w:bottom w:type="dxa" w:w="70"/>
              <w:right w:type="dxa" w:w="110"/>
            </w:tcMar>
          </w:tcPr>
          <w:p>
            <w:pPr>
              <w:spacing w:after="20" w:line="250"/>
            </w:pPr>
            <w:r>
              <w:rPr>
                <w:b w:val="false"/>
                <w:bCs w:val="false"/>
                <w:sz w:val="19"/>
                <w:szCs w:val="19"/>
              </w:rPr>
              <w:t xml:space="preserve">Compounding gains; investor-ready pack</w:t>
            </w:r>
          </w:p>
        </w:tc>
      </w:tr>
      <w:tr>
        <w:tc>
          <w:tcPr>
            <w:tcW w:type="dxa" w:w="1500"/>
            <w:shd w:fill="EAF3F9" w:val="clear"/>
            <w:tcMar>
              <w:top w:type="dxa" w:w="70"/>
              <w:left w:type="dxa" w:w="110"/>
              <w:bottom w:type="dxa" w:w="70"/>
              <w:right w:type="dxa" w:w="110"/>
            </w:tcMar>
          </w:tcPr>
          <w:p>
            <w:pPr>
              <w:spacing w:after="20" w:line="250"/>
            </w:pPr>
            <w:r>
              <w:rPr>
                <w:b w:val="false"/>
                <w:bCs w:val="false"/>
                <w:sz w:val="19"/>
                <w:szCs w:val="19"/>
              </w:rPr>
              <w:t xml:space="preserve">Months 13–18</w:t>
            </w:r>
          </w:p>
        </w:tc>
        <w:tc>
          <w:tcPr>
            <w:tcW w:type="dxa" w:w="1700"/>
            <w:shd w:fill="EAF3F9" w:val="clear"/>
            <w:tcMar>
              <w:top w:type="dxa" w:w="70"/>
              <w:left w:type="dxa" w:w="110"/>
              <w:bottom w:type="dxa" w:w="70"/>
              <w:right w:type="dxa" w:w="110"/>
            </w:tcMar>
          </w:tcPr>
          <w:p>
            <w:pPr>
              <w:spacing w:after="20" w:line="250"/>
            </w:pPr>
            <w:r>
              <w:rPr>
                <w:b w:val="false"/>
                <w:bCs w:val="false"/>
                <w:sz w:val="19"/>
                <w:szCs w:val="19"/>
              </w:rPr>
              <w:t xml:space="preserve">H2 deepen / H3 probe</w:t>
            </w:r>
          </w:p>
        </w:tc>
        <w:tc>
          <w:tcPr>
            <w:tcW w:type="dxa" w:w="3760"/>
            <w:shd w:fill="EAF3F9" w:val="clear"/>
            <w:tcMar>
              <w:top w:type="dxa" w:w="70"/>
              <w:left w:type="dxa" w:w="110"/>
              <w:bottom w:type="dxa" w:w="70"/>
              <w:right w:type="dxa" w:w="110"/>
            </w:tcMar>
          </w:tcPr>
          <w:p>
            <w:pPr>
              <w:spacing w:after="20" w:line="250"/>
            </w:pPr>
            <w:r>
              <w:rPr>
                <w:b w:val="false"/>
                <w:bCs w:val="false"/>
                <w:sz w:val="19"/>
                <w:szCs w:val="19"/>
              </w:rPr>
              <w:t xml:space="preserve">Cross-firm workflow maturity; option-sized H3 probes from protected pool; keep snapshot current</w:t>
            </w:r>
          </w:p>
        </w:tc>
        <w:tc>
          <w:tcPr>
            <w:tcW w:type="dxa" w:w="2400"/>
            <w:shd w:fill="EAF3F9" w:val="clear"/>
            <w:tcMar>
              <w:top w:type="dxa" w:w="70"/>
              <w:left w:type="dxa" w:w="110"/>
              <w:bottom w:type="dxa" w:w="70"/>
              <w:right w:type="dxa" w:w="110"/>
            </w:tcMar>
          </w:tcPr>
          <w:p>
            <w:pPr>
              <w:spacing w:after="20" w:line="250"/>
            </w:pPr>
            <w:r>
              <w:rPr>
                <w:b w:val="false"/>
                <w:bCs w:val="false"/>
                <w:sz w:val="19"/>
                <w:szCs w:val="19"/>
              </w:rPr>
              <w:t xml:space="preserve">Exit-ready snapshot at any gate</w:t>
            </w:r>
          </w:p>
        </w:tc>
      </w:tr>
    </w:tbl>
    <w:p>
      <w:pPr>
        <w:spacing w:after="50"/>
      </w:pPr>
      <w:r>
        <w:t xml:space="preserve"/>
      </w:r>
    </w:p>
    <w:tbl>
      <w:tblPr>
        <w:tblW w:type="dxa" w:w="9360"/>
        <w:tblBorders>
          <w:top w:val="single" w:color="2E75B6" w:sz="1"/>
          <w:left w:val="single" w:color="2E75B6" w:sz="12"/>
          <w:bottom w:val="single" w:color="2E75B6" w:sz="1"/>
          <w:right w:val="single" w:color="2E75B6" w:sz="1"/>
          <w:insideH w:val="single" w:color="auto" w:sz="4"/>
          <w:insideV w:val="single" w:color="auto" w:sz="4"/>
        </w:tblBorders>
      </w:tblPr>
      <w:tblGrid>
        <w:gridCol w:w="9360"/>
      </w:tblGrid>
      <w:tr>
        <w:tc>
          <w:tcPr>
            <w:tcW w:type="dxa" w:w="9360"/>
            <w:shd w:fill="D5E8F0" w:val="clear"/>
            <w:tcMar>
              <w:top w:type="dxa" w:w="120"/>
              <w:left w:type="dxa" w:w="160"/>
              <w:bottom w:type="dxa" w:w="120"/>
              <w:right w:type="dxa" w:w="160"/>
            </w:tcMar>
          </w:tcPr>
          <w:p>
            <w:pPr>
              <w:spacing w:after="60"/>
            </w:pPr>
            <w:r>
              <w:rPr>
                <w:b/>
                <w:bCs/>
                <w:color w:val="1F4E79"/>
                <w:sz w:val="21"/>
                <w:szCs w:val="21"/>
              </w:rPr>
              <w:t xml:space="preserve">Sequencing rule of thumb</w:t>
            </w:r>
          </w:p>
          <w:p>
            <w:pPr>
              <w:spacing w:after="0" w:line="268"/>
            </w:pPr>
            <w:r>
              <w:t xml:space="preserve">Start where the data is cleanest and the change management is lightest - likely the anchor firm (HM&amp;M Advisory, Dallas) or whichever firm Anthony names as furthest along. A visible win in one firm creates pull from the other eleven. Centralized mandates create resistance; demonstrated wins create demand. This is your antidote to the twelve-veto-point federated trap.</w:t>
            </w:r>
          </w:p>
        </w:tc>
      </w:tr>
    </w:tbl>
    <w:p>
      <w:pPr>
        <w:pStyle w:val="Heading1"/>
        <w:pageBreakBefore/>
      </w:pPr>
      <w:r>
        <w:t xml:space="preserve">4. The First 90 Days</w:t>
      </w:r>
    </w:p>
    <w:p>
      <w:pPr>
        <w:spacing w:after="140" w:line="276"/>
      </w:pPr>
      <w:r>
        <w:t xml:space="preserve">The first quarter is the foundation and the basis for the kickoff. The goal by day 90: strategy set, governance baseline in place, first pilots running against hypotheses, and a board narrative drafted. The plan below runs in four phases.</w:t>
      </w:r>
    </w:p>
    <w:p>
      <w:pPr>
        <w:pStyle w:val="Heading2"/>
      </w:pPr>
      <w:r>
        <w:t xml:space="preserve">Phase 1 - Mobilize &amp; Discover (Weeks 1–3)</w:t>
      </w:r>
    </w:p>
    <w:p>
      <w:pPr>
        <w:spacing w:after="140" w:line="276"/>
      </w:pPr>
      <w:r>
        <w:t xml:space="preserve">Objective: establish the operating relationship, secure access, and surface the real state of the twelve firms before committing to any sequence.</w:t>
      </w:r>
    </w:p>
    <w:p>
      <w:pPr>
        <w:pStyle w:val="ListParagraph"/>
        <w:numPr>
          <w:ilvl w:val="0"/>
          <w:numId w:val="3"/>
        </w:numPr>
        <w:spacing w:after="70" w:line="268"/>
      </w:pPr>
      <w:r>
        <w:rPr>
          <w:b/>
          <w:bCs/>
        </w:rPr>
        <w:t xml:space="preserve">Week 1 - Charter &amp; access. </w:t>
      </w:r>
      <w:r>
        <w:t xml:space="preserve">Confirm the engagement charter with Tim: retainer scope, the monthly/quarterly gate cadence, and the explicit independence statement (arm’s-length B2B despite the shared Trinity Hunt sponsor). Request access to Snowflake/M365 admins and to security, legal, and HR. Establish the weekly working session with Anthony Laria.</w:t>
      </w:r>
    </w:p>
    <w:p>
      <w:pPr>
        <w:pStyle w:val="ListParagraph"/>
        <w:numPr>
          <w:ilvl w:val="0"/>
          <w:numId w:val="3"/>
        </w:numPr>
        <w:spacing w:after="70" w:line="268"/>
      </w:pPr>
      <w:r>
        <w:rPr>
          <w:b/>
          <w:bCs/>
        </w:rPr>
        <w:t xml:space="preserve">Weeks 1–2 - Discovery workshops. </w:t>
      </w:r>
      <w:r>
        <w:t xml:space="preserve">Run structured sessions with firm and department leaders. Where AI sits in the integration roadmap today, who has been driving AI conversations, Snowflake consolidation status per firm, who controls the tech budget, which firms already attempted a pilot and what happened.</w:t>
      </w:r>
    </w:p>
    <w:p>
      <w:pPr>
        <w:pStyle w:val="ListParagraph"/>
        <w:numPr>
          <w:ilvl w:val="0"/>
          <w:numId w:val="3"/>
        </w:numPr>
        <w:spacing w:after="70" w:line="268"/>
      </w:pPr>
      <w:r>
        <w:rPr>
          <w:b/>
          <w:bCs/>
        </w:rPr>
        <w:t xml:space="preserve">Weeks 2–3 - Maturity map. </w:t>
      </w:r>
      <w:r>
        <w:t xml:space="preserve">Place each firm on the 8-stage model. Identify the lead-firm candidate for the first pilot (cleanest data, lightest change management, most willing leader) and the likely resisters to sequence around.</w:t>
      </w:r>
    </w:p>
    <w:p>
      <w:pPr>
        <w:pStyle w:val="ListParagraph"/>
        <w:numPr>
          <w:ilvl w:val="0"/>
          <w:numId w:val="3"/>
        </w:numPr>
        <w:spacing w:after="70" w:line="268"/>
      </w:pPr>
      <w:r>
        <w:rPr>
          <w:b/>
          <w:bCs/>
        </w:rPr>
        <w:t xml:space="preserve">Week 3 - Definition of success. </w:t>
      </w:r>
      <w:r>
        <w:t xml:space="preserve">Lock Tim’s twelve-month definition of success and the specific efficiency or growth metric leadership is under pressure to move before the next diligence cycle. This calibrates what you sequence first.</w:t>
      </w:r>
    </w:p>
    <w:p>
      <w:pPr>
        <w:pStyle w:val="Heading2"/>
      </w:pPr>
      <w:r>
        <w:t xml:space="preserve">Phase 2 - Strategy &amp; Sequencing (Weeks 4–6)</w:t>
      </w:r>
    </w:p>
    <w:p>
      <w:pPr>
        <w:spacing w:after="140" w:line="276"/>
      </w:pPr>
      <w:r>
        <w:t xml:space="preserve">Objective: convert discovery into the strategy, the roadmap, and a scored pilot list.</w:t>
      </w:r>
    </w:p>
    <w:p>
      <w:pPr>
        <w:pStyle w:val="ListParagraph"/>
        <w:numPr>
          <w:ilvl w:val="0"/>
          <w:numId w:val="3"/>
        </w:numPr>
        <w:spacing w:after="70" w:line="268"/>
      </w:pPr>
      <w:r>
        <w:rPr>
          <w:b/>
          <w:bCs/>
        </w:rPr>
        <w:t xml:space="preserve">Week 4 - Draft the 5-year strategy (D1). </w:t>
      </w:r>
      <w:r>
        <w:t xml:space="preserve">Frame in planned-hire-offset and bi-modal ROI language; tie explicitly to the next capital event.</w:t>
      </w:r>
    </w:p>
    <w:p>
      <w:pPr>
        <w:pStyle w:val="ListParagraph"/>
        <w:numPr>
          <w:ilvl w:val="0"/>
          <w:numId w:val="3"/>
        </w:numPr>
        <w:spacing w:after="70" w:line="268"/>
      </w:pPr>
      <w:r>
        <w:rPr>
          <w:b/>
          <w:bCs/>
        </w:rPr>
        <w:t xml:space="preserve">Weeks 4–5 - Build the 3-year roadmap (D2). </w:t>
      </w:r>
      <w:r>
        <w:t xml:space="preserve">Sequence firm-by-firm; treat integration complexity as a design constraint, not a footnote.</w:t>
      </w:r>
    </w:p>
    <w:p>
      <w:pPr>
        <w:pStyle w:val="ListParagraph"/>
        <w:numPr>
          <w:ilvl w:val="0"/>
          <w:numId w:val="3"/>
        </w:numPr>
        <w:spacing w:after="70" w:line="268"/>
      </w:pPr>
      <w:r>
        <w:rPr>
          <w:b/>
          <w:bCs/>
        </w:rPr>
        <w:t xml:space="preserve">Weeks 5–6 - Score the pilot list (D3). </w:t>
      </w:r>
      <w:r>
        <w:t xml:space="preserve">Run candidates through the bi-modal ROI bar. Likely H1 candidates: document processing, compliance-workflow automation, client-onboarding acceleration. Each gets a hypothesis, a metric baseline, a budget cap, and a named owner.</w:t>
      </w:r>
    </w:p>
    <w:p>
      <w:pPr>
        <w:pStyle w:val="ListParagraph"/>
        <w:numPr>
          <w:ilvl w:val="0"/>
          <w:numId w:val="3"/>
        </w:numPr>
        <w:spacing w:after="70" w:line="268"/>
      </w:pPr>
      <w:r>
        <w:rPr>
          <w:b/>
          <w:bCs/>
        </w:rPr>
        <w:t xml:space="preserve">Week 6 - Strategy review with Tim. </w:t>
      </w:r>
      <w:r>
        <w:t xml:space="preserve">Walk D1–D3. Adjust on his input. Secure go-ahead to fund the first H1 tranche.</w:t>
      </w:r>
    </w:p>
    <w:p>
      <w:pPr>
        <w:pStyle w:val="Heading2"/>
      </w:pPr>
      <w:r>
        <w:t xml:space="preserve">Phase 3 - Govern &amp; Launch (Weeks 7–10)</w:t>
      </w:r>
    </w:p>
    <w:p>
      <w:pPr>
        <w:spacing w:after="140" w:line="276"/>
      </w:pPr>
      <w:r>
        <w:t xml:space="preserve">Objective: stand up the governance spine and put the first pilots into motion with the execution pod.</w:t>
      </w:r>
    </w:p>
    <w:p>
      <w:pPr>
        <w:pStyle w:val="ListParagraph"/>
        <w:numPr>
          <w:ilvl w:val="0"/>
          <w:numId w:val="3"/>
        </w:numPr>
        <w:spacing w:after="70" w:line="268"/>
      </w:pPr>
      <w:r>
        <w:rPr>
          <w:b/>
          <w:bCs/>
        </w:rPr>
        <w:t xml:space="preserve">Weeks 7–8 - Governance baseline (D5). </w:t>
      </w:r>
      <w:r>
        <w:t xml:space="preserve">With security/legal/HR: audit-logging standards, data-privacy controls, HR/policy compliance, human-approval points. Account for the attest/non-attest separation. This leads the pilot launches, it does not trail them.</w:t>
      </w:r>
    </w:p>
    <w:p>
      <w:pPr>
        <w:pStyle w:val="ListParagraph"/>
        <w:numPr>
          <w:ilvl w:val="0"/>
          <w:numId w:val="3"/>
        </w:numPr>
        <w:spacing w:after="70" w:line="268"/>
      </w:pPr>
      <w:r>
        <w:rPr>
          <w:b/>
          <w:bCs/>
        </w:rPr>
        <w:t xml:space="preserve">Weeks 7-8 - Reference architecture v1. </w:t>
      </w:r>
      <w:r>
        <w:t xml:space="preserve">Confirm Azure + Foundry anchor, Snowflake data foundation, model-agnostic orchestration. You set direction; the Improving delivery pod owns depth.</w:t>
      </w:r>
    </w:p>
    <w:p>
      <w:pPr>
        <w:pStyle w:val="ListParagraph"/>
        <w:numPr>
          <w:ilvl w:val="0"/>
          <w:numId w:val="3"/>
        </w:numPr>
        <w:spacing w:after="70" w:line="268"/>
      </w:pPr>
      <w:r>
        <w:rPr>
          <w:b/>
          <w:bCs/>
        </w:rPr>
        <w:t xml:space="preserve">Weeks 8–9 - Pilot kickoff. </w:t>
      </w:r>
      <w:r>
        <w:t xml:space="preserve">Hand the top-scored pilots to the execution pod (AI Lead + embedded engineers). Each pilot: stated hypothesis, capped budget, named owner, gate date, instrumentation from day one.</w:t>
      </w:r>
    </w:p>
    <w:p>
      <w:pPr>
        <w:pStyle w:val="ListParagraph"/>
        <w:numPr>
          <w:ilvl w:val="0"/>
          <w:numId w:val="3"/>
        </w:numPr>
        <w:spacing w:after="70" w:line="268"/>
      </w:pPr>
      <w:r>
        <w:rPr>
          <w:b/>
          <w:bCs/>
        </w:rPr>
        <w:t xml:space="preserve">Weeks 9–10 - First monthly initiative gate. </w:t>
      </w:r>
      <w:r>
        <w:t xml:space="preserve">Review earliest signal against hypotheses. Practice the gate ritual now so it is muscle memory by Q2: fund next tranche, scale, pause, or kill.</w:t>
      </w:r>
    </w:p>
    <w:p>
      <w:pPr>
        <w:pStyle w:val="Heading2"/>
      </w:pPr>
      <w:r>
        <w:t xml:space="preserve">Phase 4 - Narrate &amp; Set Cadence (Weeks 11–13)</w:t>
      </w:r>
    </w:p>
    <w:p>
      <w:pPr>
        <w:spacing w:after="140" w:line="276"/>
      </w:pPr>
      <w:r>
        <w:t xml:space="preserve">Objective: produce the board narrative and lock the operating rhythm that carries into Q2.</w:t>
      </w:r>
    </w:p>
    <w:p>
      <w:pPr>
        <w:pStyle w:val="ListParagraph"/>
        <w:numPr>
          <w:ilvl w:val="0"/>
          <w:numId w:val="3"/>
        </w:numPr>
        <w:spacing w:after="70" w:line="268"/>
      </w:pPr>
      <w:r>
        <w:rPr>
          <w:b/>
          <w:bCs/>
        </w:rPr>
        <w:t xml:space="preserve">Weeks 11–12 - Board &amp; investor narrative draft (D4). </w:t>
      </w:r>
      <w:r>
        <w:t xml:space="preserve">Assemble the Realized / In-flight / Optioned snapshot from real funding and delivery evidence. Make it 30-minute-readable.</w:t>
      </w:r>
    </w:p>
    <w:p>
      <w:pPr>
        <w:pStyle w:val="ListParagraph"/>
        <w:numPr>
          <w:ilvl w:val="0"/>
          <w:numId w:val="3"/>
        </w:numPr>
        <w:spacing w:after="70" w:line="268"/>
      </w:pPr>
      <w:r>
        <w:rPr>
          <w:b/>
          <w:bCs/>
        </w:rPr>
        <w:t xml:space="preserve">Week 12 - First quarterly portfolio gate. </w:t>
      </w:r>
      <w:r>
        <w:t xml:space="preserve">Reset horizon envelopes, refresh the roadmap, confirm what continues / scales / stops.</w:t>
      </w:r>
    </w:p>
    <w:p>
      <w:pPr>
        <w:pStyle w:val="ListParagraph"/>
        <w:numPr>
          <w:ilvl w:val="0"/>
          <w:numId w:val="3"/>
        </w:numPr>
        <w:spacing w:after="70" w:line="268"/>
      </w:pPr>
      <w:r>
        <w:rPr>
          <w:b/>
          <w:bCs/>
        </w:rPr>
        <w:t xml:space="preserve">Week 13 - Q1 readout to Tim (and, if invited, the board). </w:t>
      </w:r>
      <w:r>
        <w:t xml:space="preserve">Present the five deliverables and the live pilots. Confirm the Q2 plan and the standing cadence.</w:t>
      </w:r>
    </w:p>
    <w:p>
      <w:pPr>
        <w:spacing w:after="60"/>
      </w:pPr>
      <w:r>
        <w:t xml:space="preserve"/>
      </w:r>
    </w:p>
    <w:tbl>
      <w:tblPr>
        <w:tblW w:type="dxa" w:w="9360"/>
        <w:tblBorders>
          <w:top w:val="single" w:color="2E75B6" w:sz="1"/>
          <w:left w:val="single" w:color="2E75B6" w:sz="12"/>
          <w:bottom w:val="single" w:color="2E75B6" w:sz="1"/>
          <w:right w:val="single" w:color="2E75B6" w:sz="1"/>
          <w:insideH w:val="single" w:color="auto" w:sz="4"/>
          <w:insideV w:val="single" w:color="auto" w:sz="4"/>
        </w:tblBorders>
      </w:tblPr>
      <w:tblGrid>
        <w:gridCol w:w="9360"/>
      </w:tblGrid>
      <w:tr>
        <w:tc>
          <w:tcPr>
            <w:tcW w:type="dxa" w:w="9360"/>
            <w:shd w:fill="D5E8F0" w:val="clear"/>
            <w:tcMar>
              <w:top w:type="dxa" w:w="120"/>
              <w:left w:type="dxa" w:w="160"/>
              <w:bottom w:type="dxa" w:w="120"/>
              <w:right w:type="dxa" w:w="160"/>
            </w:tcMar>
          </w:tcPr>
          <w:p>
            <w:pPr>
              <w:spacing w:after="60"/>
            </w:pPr>
            <w:r>
              <w:rPr>
                <w:b/>
                <w:bCs/>
                <w:color w:val="1F4E79"/>
                <w:sz w:val="21"/>
                <w:szCs w:val="21"/>
              </w:rPr>
              <w:t xml:space="preserve">90-day exit criteria - what “done” looks like</w:t>
            </w:r>
          </w:p>
          <w:p>
            <w:pPr>
              <w:spacing w:after="60" w:line="268"/>
            </w:pPr>
            <w:r>
              <w:rPr>
                <w:b/>
                <w:bCs/>
              </w:rPr>
              <w:t xml:space="preserve">✓  </w:t>
            </w:r>
            <w:r>
              <w:t xml:space="preserve">Five-year strategy and three-year roadmap approved by Tim.</w:t>
            </w:r>
          </w:p>
          <w:p>
            <w:pPr>
              <w:spacing w:after="60" w:line="268"/>
            </w:pPr>
            <w:r>
              <w:rPr>
                <w:b/>
                <w:bCs/>
              </w:rPr>
              <w:t xml:space="preserve">✓  </w:t>
            </w:r>
            <w:r>
              <w:t xml:space="preserve">Governance baseline signed off by security, legal, and HR.</w:t>
            </w:r>
          </w:p>
          <w:p>
            <w:pPr>
              <w:spacing w:after="60" w:line="268"/>
            </w:pPr>
            <w:r>
              <w:rPr>
                <w:b/>
                <w:bCs/>
              </w:rPr>
              <w:t xml:space="preserve">✓  </w:t>
            </w:r>
            <w:r>
              <w:t xml:space="preserve">At least two H1 pilots live, instrumented, and running against hypotheses in the lead firm.</w:t>
            </w:r>
          </w:p>
          <w:p>
            <w:pPr>
              <w:spacing w:after="60" w:line="268"/>
            </w:pPr>
            <w:r>
              <w:rPr>
                <w:b/>
                <w:bCs/>
              </w:rPr>
              <w:t xml:space="preserve">✓  </w:t>
            </w:r>
            <w:r>
              <w:t xml:space="preserve">Board/investor narrative v1 delivered, in Realized/In-flight/Optioned form.</w:t>
            </w:r>
          </w:p>
          <w:p>
            <w:pPr>
              <w:spacing w:after="0" w:line="268"/>
            </w:pPr>
            <w:r>
              <w:rPr>
                <w:b/>
                <w:bCs/>
              </w:rPr>
              <w:t xml:space="preserve">✓  </w:t>
            </w:r>
            <w:r>
              <w:t xml:space="preserve">Monthly initiative gate and quarterly portfolio gate both run once - the operating rhythm is real, not theoretical.</w:t>
            </w:r>
          </w:p>
        </w:tc>
      </w:tr>
    </w:tbl>
    <w:p>
      <w:pPr>
        <w:pStyle w:val="Heading1"/>
        <w:pageBreakBefore/>
      </w:pPr>
      <w:r>
        <w:t xml:space="preserve">5. Weekly Time Commitment</w:t>
      </w:r>
    </w:p>
    <w:p>
      <w:pPr>
        <w:spacing w:after="140" w:line="276"/>
      </w:pPr>
      <w:r>
        <w:t xml:space="preserve">The retainer runs on a </w:t>
      </w:r>
      <w:r>
        <w:rPr>
          <w:b/>
          <w:bCs/>
        </w:rPr>
        <w:t xml:space="preserve">quarterly cadence with weekly working sessions. </w:t>
      </w:r>
      <w:r>
        <w:t xml:space="preserve">The role is senior and advisory - not a full-time seat, and it should not become one. Below is an honest model of the recurring weekly hours, split between the heavier Q1 foundation phase and the lighter steady state from Q2 onward.</w:t>
      </w:r>
    </w:p>
    <w:p>
      <w:pPr>
        <w:pStyle w:val="Heading2"/>
      </w:pPr>
      <w:r>
        <w:t xml:space="preserve">Steady-state week (Q2 onward)</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900"/>
        <w:gridCol w:w="1100"/>
        <w:gridCol w:w="5360"/>
      </w:tblGrid>
      <w:tr>
        <w:trPr>
          <w:tblHeader/>
        </w:trPr>
        <w:tc>
          <w:tcPr>
            <w:tcW w:type="dxa" w:w="2900"/>
            <w:shd w:fill="1F4E79" w:val="clear"/>
            <w:tcMar>
              <w:top w:type="dxa" w:w="70"/>
              <w:left w:type="dxa" w:w="110"/>
              <w:bottom w:type="dxa" w:w="70"/>
              <w:right w:type="dxa" w:w="110"/>
            </w:tcMar>
          </w:tcPr>
          <w:p>
            <w:pPr>
              <w:spacing w:after="20" w:line="250"/>
            </w:pPr>
            <w:r>
              <w:rPr>
                <w:b/>
                <w:bCs/>
                <w:color w:val="FFFFFF"/>
                <w:sz w:val="19"/>
                <w:szCs w:val="19"/>
              </w:rPr>
              <w:t xml:space="preserve">Activity</w:t>
            </w:r>
          </w:p>
        </w:tc>
        <w:tc>
          <w:tcPr>
            <w:tcW w:type="dxa" w:w="1100"/>
            <w:shd w:fill="1F4E79" w:val="clear"/>
            <w:tcMar>
              <w:top w:type="dxa" w:w="70"/>
              <w:left w:type="dxa" w:w="110"/>
              <w:bottom w:type="dxa" w:w="70"/>
              <w:right w:type="dxa" w:w="110"/>
            </w:tcMar>
          </w:tcPr>
          <w:p>
            <w:pPr>
              <w:spacing w:after="20" w:line="250"/>
            </w:pPr>
            <w:r>
              <w:rPr>
                <w:b/>
                <w:bCs/>
                <w:color w:val="FFFFFF"/>
                <w:sz w:val="19"/>
                <w:szCs w:val="19"/>
              </w:rPr>
              <w:t xml:space="preserve">Hrs/wk</w:t>
            </w:r>
          </w:p>
        </w:tc>
        <w:tc>
          <w:tcPr>
            <w:tcW w:type="dxa" w:w="5360"/>
            <w:shd w:fill="1F4E79" w:val="clear"/>
            <w:tcMar>
              <w:top w:type="dxa" w:w="70"/>
              <w:left w:type="dxa" w:w="110"/>
              <w:bottom w:type="dxa" w:w="70"/>
              <w:right w:type="dxa" w:w="110"/>
            </w:tcMar>
          </w:tcPr>
          <w:p>
            <w:pPr>
              <w:spacing w:after="20" w:line="250"/>
            </w:pPr>
            <w:r>
              <w:rPr>
                <w:b/>
                <w:bCs/>
                <w:color w:val="FFFFFF"/>
                <w:sz w:val="19"/>
                <w:szCs w:val="19"/>
              </w:rPr>
              <w:t xml:space="preserve">What it covers</w:t>
            </w:r>
          </w:p>
        </w:tc>
      </w:tr>
      <w:tr>
        <w:tc>
          <w:tcPr>
            <w:tcW w:type="dxa" w:w="2900"/>
            <w:tcMar>
              <w:top w:type="dxa" w:w="70"/>
              <w:left w:type="dxa" w:w="110"/>
              <w:bottom w:type="dxa" w:w="70"/>
              <w:right w:type="dxa" w:w="110"/>
            </w:tcMar>
          </w:tcPr>
          <w:p>
            <w:pPr>
              <w:spacing w:after="20" w:line="250"/>
            </w:pPr>
            <w:r>
              <w:rPr>
                <w:b w:val="false"/>
                <w:bCs w:val="false"/>
                <w:sz w:val="19"/>
                <w:szCs w:val="19"/>
              </w:rPr>
              <w:t xml:space="preserve">Springline working session</w:t>
            </w:r>
          </w:p>
        </w:tc>
        <w:tc>
          <w:tcPr>
            <w:tcW w:type="dxa" w:w="1100"/>
            <w:tcMar>
              <w:top w:type="dxa" w:w="70"/>
              <w:left w:type="dxa" w:w="110"/>
              <w:bottom w:type="dxa" w:w="70"/>
              <w:right w:type="dxa" w:w="110"/>
            </w:tcMar>
          </w:tcPr>
          <w:p>
            <w:pPr>
              <w:spacing w:after="20" w:line="250"/>
            </w:pPr>
            <w:r>
              <w:rPr>
                <w:b w:val="false"/>
                <w:bCs w:val="false"/>
                <w:sz w:val="19"/>
                <w:szCs w:val="19"/>
              </w:rPr>
              <w:t xml:space="preserve">1.5</w:t>
            </w:r>
          </w:p>
        </w:tc>
        <w:tc>
          <w:tcPr>
            <w:tcW w:type="dxa" w:w="5360"/>
            <w:tcMar>
              <w:top w:type="dxa" w:w="70"/>
              <w:left w:type="dxa" w:w="110"/>
              <w:bottom w:type="dxa" w:w="70"/>
              <w:right w:type="dxa" w:w="110"/>
            </w:tcMar>
          </w:tcPr>
          <w:p>
            <w:pPr>
              <w:spacing w:after="20" w:line="250"/>
            </w:pPr>
            <w:r>
              <w:rPr>
                <w:b w:val="false"/>
                <w:bCs w:val="false"/>
                <w:sz w:val="19"/>
                <w:szCs w:val="19"/>
              </w:rPr>
              <w:t xml:space="preserve">Standing weekly with Anthony Laria + internal AI owner; progress, blockers, decisions</w:t>
            </w:r>
          </w:p>
        </w:tc>
      </w:tr>
      <w:tr>
        <w:tc>
          <w:tcPr>
            <w:tcW w:type="dxa" w:w="2900"/>
            <w:shd w:fill="EAF3F9" w:val="clear"/>
            <w:tcMar>
              <w:top w:type="dxa" w:w="70"/>
              <w:left w:type="dxa" w:w="110"/>
              <w:bottom w:type="dxa" w:w="70"/>
              <w:right w:type="dxa" w:w="110"/>
            </w:tcMar>
          </w:tcPr>
          <w:p>
            <w:pPr>
              <w:spacing w:after="20" w:line="250"/>
            </w:pPr>
            <w:r>
              <w:rPr>
                <w:b w:val="false"/>
                <w:bCs w:val="false"/>
                <w:sz w:val="19"/>
                <w:szCs w:val="19"/>
              </w:rPr>
              <w:t xml:space="preserve">Pilot oversight &amp; gate prep</w:t>
            </w:r>
          </w:p>
        </w:tc>
        <w:tc>
          <w:tcPr>
            <w:tcW w:type="dxa" w:w="1100"/>
            <w:shd w:fill="EAF3F9" w:val="clear"/>
            <w:tcMar>
              <w:top w:type="dxa" w:w="70"/>
              <w:left w:type="dxa" w:w="110"/>
              <w:bottom w:type="dxa" w:w="70"/>
              <w:right w:type="dxa" w:w="110"/>
            </w:tcMar>
          </w:tcPr>
          <w:p>
            <w:pPr>
              <w:spacing w:after="20" w:line="250"/>
            </w:pPr>
            <w:r>
              <w:rPr>
                <w:b w:val="false"/>
                <w:bCs w:val="false"/>
                <w:sz w:val="19"/>
                <w:szCs w:val="19"/>
              </w:rPr>
              <w:t xml:space="preserve">2.0</w:t>
            </w:r>
          </w:p>
        </w:tc>
        <w:tc>
          <w:tcPr>
            <w:tcW w:type="dxa" w:w="5360"/>
            <w:shd w:fill="EAF3F9" w:val="clear"/>
            <w:tcMar>
              <w:top w:type="dxa" w:w="70"/>
              <w:left w:type="dxa" w:w="110"/>
              <w:bottom w:type="dxa" w:w="70"/>
              <w:right w:type="dxa" w:w="110"/>
            </w:tcMar>
          </w:tcPr>
          <w:p>
            <w:pPr>
              <w:spacing w:after="20" w:line="250"/>
            </w:pPr>
            <w:r>
              <w:rPr>
                <w:b w:val="false"/>
                <w:bCs w:val="false"/>
                <w:sz w:val="19"/>
                <w:szCs w:val="19"/>
              </w:rPr>
              <w:t xml:space="preserve">Reviewing instrumentation, evidence, hypothesis tracking ahead of monthly gates</w:t>
            </w:r>
          </w:p>
        </w:tc>
      </w:tr>
      <w:tr>
        <w:tc>
          <w:tcPr>
            <w:tcW w:type="dxa" w:w="2900"/>
            <w:tcMar>
              <w:top w:type="dxa" w:w="70"/>
              <w:left w:type="dxa" w:w="110"/>
              <w:bottom w:type="dxa" w:w="70"/>
              <w:right w:type="dxa" w:w="110"/>
            </w:tcMar>
          </w:tcPr>
          <w:p>
            <w:pPr>
              <w:spacing w:after="20" w:line="250"/>
            </w:pPr>
            <w:r>
              <w:rPr>
                <w:b w:val="false"/>
                <w:bCs w:val="false"/>
                <w:sz w:val="19"/>
                <w:szCs w:val="19"/>
              </w:rPr>
              <w:t xml:space="preserve">Strategy &amp; roadmap upkeep</w:t>
            </w:r>
          </w:p>
        </w:tc>
        <w:tc>
          <w:tcPr>
            <w:tcW w:type="dxa" w:w="1100"/>
            <w:tcMar>
              <w:top w:type="dxa" w:w="70"/>
              <w:left w:type="dxa" w:w="110"/>
              <w:bottom w:type="dxa" w:w="70"/>
              <w:right w:type="dxa" w:w="110"/>
            </w:tcMar>
          </w:tcPr>
          <w:p>
            <w:pPr>
              <w:spacing w:after="20" w:line="250"/>
            </w:pPr>
            <w:r>
              <w:rPr>
                <w:b w:val="false"/>
                <w:bCs w:val="false"/>
                <w:sz w:val="19"/>
                <w:szCs w:val="19"/>
              </w:rPr>
              <w:t xml:space="preserve">1.5</w:t>
            </w:r>
          </w:p>
        </w:tc>
        <w:tc>
          <w:tcPr>
            <w:tcW w:type="dxa" w:w="5360"/>
            <w:tcMar>
              <w:top w:type="dxa" w:w="70"/>
              <w:left w:type="dxa" w:w="110"/>
              <w:bottom w:type="dxa" w:w="70"/>
              <w:right w:type="dxa" w:w="110"/>
            </w:tcMar>
          </w:tcPr>
          <w:p>
            <w:pPr>
              <w:spacing w:after="20" w:line="250"/>
            </w:pPr>
            <w:r>
              <w:rPr>
                <w:b w:val="false"/>
                <w:bCs w:val="false"/>
                <w:sz w:val="19"/>
                <w:szCs w:val="19"/>
              </w:rPr>
              <w:t xml:space="preserve">Keeping roadmap and sequencing current as firms and evidence move</w:t>
            </w:r>
          </w:p>
        </w:tc>
      </w:tr>
      <w:tr>
        <w:tc>
          <w:tcPr>
            <w:tcW w:type="dxa" w:w="2900"/>
            <w:shd w:fill="EAF3F9" w:val="clear"/>
            <w:tcMar>
              <w:top w:type="dxa" w:w="70"/>
              <w:left w:type="dxa" w:w="110"/>
              <w:bottom w:type="dxa" w:w="70"/>
              <w:right w:type="dxa" w:w="110"/>
            </w:tcMar>
          </w:tcPr>
          <w:p>
            <w:pPr>
              <w:spacing w:after="20" w:line="250"/>
            </w:pPr>
            <w:r>
              <w:rPr>
                <w:b w:val="false"/>
                <w:bCs w:val="false"/>
                <w:sz w:val="19"/>
                <w:szCs w:val="19"/>
              </w:rPr>
              <w:t xml:space="preserve">Narrative &amp; snapshot upkeep</w:t>
            </w:r>
          </w:p>
        </w:tc>
        <w:tc>
          <w:tcPr>
            <w:tcW w:type="dxa" w:w="1100"/>
            <w:shd w:fill="EAF3F9" w:val="clear"/>
            <w:tcMar>
              <w:top w:type="dxa" w:w="70"/>
              <w:left w:type="dxa" w:w="110"/>
              <w:bottom w:type="dxa" w:w="70"/>
              <w:right w:type="dxa" w:w="110"/>
            </w:tcMar>
          </w:tcPr>
          <w:p>
            <w:pPr>
              <w:spacing w:after="20" w:line="250"/>
            </w:pPr>
            <w:r>
              <w:rPr>
                <w:b w:val="false"/>
                <w:bCs w:val="false"/>
                <w:sz w:val="19"/>
                <w:szCs w:val="19"/>
              </w:rPr>
              <w:t xml:space="preserve">1.0</w:t>
            </w:r>
          </w:p>
        </w:tc>
        <w:tc>
          <w:tcPr>
            <w:tcW w:type="dxa" w:w="5360"/>
            <w:shd w:fill="EAF3F9" w:val="clear"/>
            <w:tcMar>
              <w:top w:type="dxa" w:w="70"/>
              <w:left w:type="dxa" w:w="110"/>
              <w:bottom w:type="dxa" w:w="70"/>
              <w:right w:type="dxa" w:w="110"/>
            </w:tcMar>
          </w:tcPr>
          <w:p>
            <w:pPr>
              <w:spacing w:after="20" w:line="250"/>
            </w:pPr>
            <w:r>
              <w:rPr>
                <w:b w:val="false"/>
                <w:bCs w:val="false"/>
                <w:sz w:val="19"/>
                <w:szCs w:val="19"/>
              </w:rPr>
              <w:t xml:space="preserve">Maintaining the Realized/In-flight/Optioned snapshot</w:t>
            </w:r>
          </w:p>
        </w:tc>
      </w:tr>
      <w:tr>
        <w:tc>
          <w:tcPr>
            <w:tcW w:type="dxa" w:w="2900"/>
            <w:tcMar>
              <w:top w:type="dxa" w:w="70"/>
              <w:left w:type="dxa" w:w="110"/>
              <w:bottom w:type="dxa" w:w="70"/>
              <w:right w:type="dxa" w:w="110"/>
            </w:tcMar>
          </w:tcPr>
          <w:p>
            <w:pPr>
              <w:spacing w:after="20" w:line="250"/>
            </w:pPr>
            <w:r>
              <w:rPr>
                <w:b w:val="false"/>
                <w:bCs w:val="false"/>
                <w:sz w:val="19"/>
                <w:szCs w:val="19"/>
              </w:rPr>
              <w:t xml:space="preserve">Improving-side coordination</w:t>
            </w:r>
          </w:p>
        </w:tc>
        <w:tc>
          <w:tcPr>
            <w:tcW w:type="dxa" w:w="1100"/>
            <w:tcMar>
              <w:top w:type="dxa" w:w="70"/>
              <w:left w:type="dxa" w:w="110"/>
              <w:bottom w:type="dxa" w:w="70"/>
              <w:right w:type="dxa" w:w="110"/>
            </w:tcMar>
          </w:tcPr>
          <w:p>
            <w:pPr>
              <w:spacing w:after="20" w:line="250"/>
            </w:pPr>
            <w:r>
              <w:rPr>
                <w:b w:val="false"/>
                <w:bCs w:val="false"/>
                <w:sz w:val="19"/>
                <w:szCs w:val="19"/>
              </w:rPr>
              <w:t xml:space="preserve">1.0</w:t>
            </w:r>
          </w:p>
        </w:tc>
        <w:tc>
          <w:tcPr>
            <w:tcW w:type="dxa" w:w="5360"/>
            <w:tcMar>
              <w:top w:type="dxa" w:w="70"/>
              <w:left w:type="dxa" w:w="110"/>
              <w:bottom w:type="dxa" w:w="70"/>
              <w:right w:type="dxa" w:w="110"/>
            </w:tcMar>
          </w:tcPr>
          <w:p>
            <w:pPr>
              <w:spacing w:after="20" w:line="250"/>
            </w:pPr>
            <w:r>
              <w:rPr>
                <w:b w:val="false"/>
                <w:bCs w:val="false"/>
                <w:sz w:val="19"/>
                <w:szCs w:val="19"/>
              </w:rPr>
              <w:t xml:space="preserve">Sync with the execution pod you pull in; architecture/model-routing decisions</w:t>
            </w:r>
          </w:p>
        </w:tc>
      </w:tr>
      <w:tr>
        <w:tc>
          <w:tcPr>
            <w:tcW w:type="dxa" w:w="2900"/>
            <w:shd w:fill="EAF3F9" w:val="clear"/>
            <w:tcMar>
              <w:top w:type="dxa" w:w="70"/>
              <w:left w:type="dxa" w:w="110"/>
              <w:bottom w:type="dxa" w:w="70"/>
              <w:right w:type="dxa" w:w="110"/>
            </w:tcMar>
          </w:tcPr>
          <w:p>
            <w:pPr>
              <w:spacing w:after="20" w:line="250"/>
            </w:pPr>
            <w:r>
              <w:rPr>
                <w:b w:val="false"/>
                <w:bCs w:val="false"/>
                <w:sz w:val="19"/>
                <w:szCs w:val="19"/>
              </w:rPr>
              <w:t xml:space="preserve">Stakeholder &amp; ad-hoc</w:t>
            </w:r>
          </w:p>
        </w:tc>
        <w:tc>
          <w:tcPr>
            <w:tcW w:type="dxa" w:w="1100"/>
            <w:shd w:fill="EAF3F9" w:val="clear"/>
            <w:tcMar>
              <w:top w:type="dxa" w:w="70"/>
              <w:left w:type="dxa" w:w="110"/>
              <w:bottom w:type="dxa" w:w="70"/>
              <w:right w:type="dxa" w:w="110"/>
            </w:tcMar>
          </w:tcPr>
          <w:p>
            <w:pPr>
              <w:spacing w:after="20" w:line="250"/>
            </w:pPr>
            <w:r>
              <w:rPr>
                <w:b w:val="false"/>
                <w:bCs w:val="false"/>
                <w:sz w:val="19"/>
                <w:szCs w:val="19"/>
              </w:rPr>
              <w:t xml:space="preserve">1.0</w:t>
            </w:r>
          </w:p>
        </w:tc>
        <w:tc>
          <w:tcPr>
            <w:tcW w:type="dxa" w:w="5360"/>
            <w:shd w:fill="EAF3F9" w:val="clear"/>
            <w:tcMar>
              <w:top w:type="dxa" w:w="70"/>
              <w:left w:type="dxa" w:w="110"/>
              <w:bottom w:type="dxa" w:w="70"/>
              <w:right w:type="dxa" w:w="110"/>
            </w:tcMar>
          </w:tcPr>
          <w:p>
            <w:pPr>
              <w:spacing w:after="20" w:line="250"/>
            </w:pPr>
            <w:r>
              <w:rPr>
                <w:b w:val="false"/>
                <w:bCs w:val="false"/>
                <w:sz w:val="19"/>
                <w:szCs w:val="19"/>
              </w:rPr>
              <w:t xml:space="preserve">CEO check-ins, firm-leader relationship work, unplanned items</w:t>
            </w:r>
          </w:p>
        </w:tc>
      </w:tr>
      <w:tr>
        <w:tc>
          <w:tcPr>
            <w:tcW w:type="dxa" w:w="2900"/>
            <w:tcMar>
              <w:top w:type="dxa" w:w="70"/>
              <w:left w:type="dxa" w:w="110"/>
              <w:bottom w:type="dxa" w:w="70"/>
              <w:right w:type="dxa" w:w="110"/>
            </w:tcMar>
          </w:tcPr>
          <w:p>
            <w:pPr>
              <w:spacing w:after="20" w:line="250"/>
            </w:pPr>
            <w:r>
              <w:rPr>
                <w:b w:val="false"/>
                <w:bCs w:val="false"/>
                <w:sz w:val="19"/>
                <w:szCs w:val="19"/>
              </w:rPr>
              <w:t xml:space="preserve">TOTAL (steady state)</w:t>
            </w:r>
          </w:p>
        </w:tc>
        <w:tc>
          <w:tcPr>
            <w:tcW w:type="dxa" w:w="1100"/>
            <w:tcMar>
              <w:top w:type="dxa" w:w="70"/>
              <w:left w:type="dxa" w:w="110"/>
              <w:bottom w:type="dxa" w:w="70"/>
              <w:right w:type="dxa" w:w="110"/>
            </w:tcMar>
          </w:tcPr>
          <w:p>
            <w:pPr>
              <w:spacing w:after="20" w:line="250"/>
            </w:pPr>
            <w:r>
              <w:rPr>
                <w:b w:val="false"/>
                <w:bCs w:val="false"/>
                <w:sz w:val="19"/>
                <w:szCs w:val="19"/>
              </w:rPr>
              <w:t xml:space="preserve">~8</w:t>
            </w:r>
          </w:p>
        </w:tc>
        <w:tc>
          <w:tcPr>
            <w:tcW w:type="dxa" w:w="5360"/>
            <w:tcMar>
              <w:top w:type="dxa" w:w="70"/>
              <w:left w:type="dxa" w:w="110"/>
              <w:bottom w:type="dxa" w:w="70"/>
              <w:right w:type="dxa" w:w="110"/>
            </w:tcMar>
          </w:tcPr>
          <w:p>
            <w:pPr>
              <w:spacing w:after="20" w:line="250"/>
            </w:pPr>
            <w:r>
              <w:rPr>
                <w:b w:val="false"/>
                <w:bCs w:val="false"/>
                <w:sz w:val="19"/>
                <w:szCs w:val="19"/>
              </w:rPr>
              <w:t xml:space="preserve">Roughly one day per week</w:t>
            </w:r>
          </w:p>
        </w:tc>
      </w:tr>
    </w:tbl>
    <w:p>
      <w:pPr>
        <w:spacing w:after="40"/>
      </w:pPr>
      <w:r>
        <w:t xml:space="preserve"/>
      </w:r>
    </w:p>
    <w:p>
      <w:pPr>
        <w:pStyle w:val="Heading2"/>
      </w:pPr>
      <w:r>
        <w:t xml:space="preserve">Q1 foundation week (Weeks 1–13)</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900"/>
        <w:gridCol w:w="1100"/>
        <w:gridCol w:w="5360"/>
      </w:tblGrid>
      <w:tr>
        <w:trPr>
          <w:tblHeader/>
        </w:trPr>
        <w:tc>
          <w:tcPr>
            <w:tcW w:type="dxa" w:w="2900"/>
            <w:shd w:fill="1F4E79" w:val="clear"/>
            <w:tcMar>
              <w:top w:type="dxa" w:w="70"/>
              <w:left w:type="dxa" w:w="110"/>
              <w:bottom w:type="dxa" w:w="70"/>
              <w:right w:type="dxa" w:w="110"/>
            </w:tcMar>
          </w:tcPr>
          <w:p>
            <w:pPr>
              <w:spacing w:after="20" w:line="250"/>
            </w:pPr>
            <w:r>
              <w:rPr>
                <w:b/>
                <w:bCs/>
                <w:color w:val="FFFFFF"/>
                <w:sz w:val="19"/>
                <w:szCs w:val="19"/>
              </w:rPr>
              <w:t xml:space="preserve">Activity</w:t>
            </w:r>
          </w:p>
        </w:tc>
        <w:tc>
          <w:tcPr>
            <w:tcW w:type="dxa" w:w="1100"/>
            <w:shd w:fill="1F4E79" w:val="clear"/>
            <w:tcMar>
              <w:top w:type="dxa" w:w="70"/>
              <w:left w:type="dxa" w:w="110"/>
              <w:bottom w:type="dxa" w:w="70"/>
              <w:right w:type="dxa" w:w="110"/>
            </w:tcMar>
          </w:tcPr>
          <w:p>
            <w:pPr>
              <w:spacing w:after="20" w:line="250"/>
            </w:pPr>
            <w:r>
              <w:rPr>
                <w:b/>
                <w:bCs/>
                <w:color w:val="FFFFFF"/>
                <w:sz w:val="19"/>
                <w:szCs w:val="19"/>
              </w:rPr>
              <w:t xml:space="preserve">Hrs/wk</w:t>
            </w:r>
          </w:p>
        </w:tc>
        <w:tc>
          <w:tcPr>
            <w:tcW w:type="dxa" w:w="5360"/>
            <w:shd w:fill="1F4E79" w:val="clear"/>
            <w:tcMar>
              <w:top w:type="dxa" w:w="70"/>
              <w:left w:type="dxa" w:w="110"/>
              <w:bottom w:type="dxa" w:w="70"/>
              <w:right w:type="dxa" w:w="110"/>
            </w:tcMar>
          </w:tcPr>
          <w:p>
            <w:pPr>
              <w:spacing w:after="20" w:line="250"/>
            </w:pPr>
            <w:r>
              <w:rPr>
                <w:b/>
                <w:bCs/>
                <w:color w:val="FFFFFF"/>
                <w:sz w:val="19"/>
                <w:szCs w:val="19"/>
              </w:rPr>
              <w:t xml:space="preserve">What it covers</w:t>
            </w:r>
          </w:p>
        </w:tc>
      </w:tr>
      <w:tr>
        <w:tc>
          <w:tcPr>
            <w:tcW w:type="dxa" w:w="2900"/>
            <w:tcMar>
              <w:top w:type="dxa" w:w="70"/>
              <w:left w:type="dxa" w:w="110"/>
              <w:bottom w:type="dxa" w:w="70"/>
              <w:right w:type="dxa" w:w="110"/>
            </w:tcMar>
          </w:tcPr>
          <w:p>
            <w:pPr>
              <w:spacing w:after="20" w:line="250"/>
            </w:pPr>
            <w:r>
              <w:rPr>
                <w:b w:val="false"/>
                <w:bCs w:val="false"/>
                <w:sz w:val="19"/>
                <w:szCs w:val="19"/>
              </w:rPr>
              <w:t xml:space="preserve">Discovery &amp; stakeholder access</w:t>
            </w:r>
          </w:p>
        </w:tc>
        <w:tc>
          <w:tcPr>
            <w:tcW w:type="dxa" w:w="1100"/>
            <w:tcMar>
              <w:top w:type="dxa" w:w="70"/>
              <w:left w:type="dxa" w:w="110"/>
              <w:bottom w:type="dxa" w:w="70"/>
              <w:right w:type="dxa" w:w="110"/>
            </w:tcMar>
          </w:tcPr>
          <w:p>
            <w:pPr>
              <w:spacing w:after="20" w:line="250"/>
            </w:pPr>
            <w:r>
              <w:rPr>
                <w:b w:val="false"/>
                <w:bCs w:val="false"/>
                <w:sz w:val="19"/>
                <w:szCs w:val="19"/>
              </w:rPr>
              <w:t xml:space="preserve">3.0</w:t>
            </w:r>
          </w:p>
        </w:tc>
        <w:tc>
          <w:tcPr>
            <w:tcW w:type="dxa" w:w="5360"/>
            <w:tcMar>
              <w:top w:type="dxa" w:w="70"/>
              <w:left w:type="dxa" w:w="110"/>
              <w:bottom w:type="dxa" w:w="70"/>
              <w:right w:type="dxa" w:w="110"/>
            </w:tcMar>
          </w:tcPr>
          <w:p>
            <w:pPr>
              <w:spacing w:after="20" w:line="250"/>
            </w:pPr>
            <w:r>
              <w:rPr>
                <w:b w:val="false"/>
                <w:bCs w:val="false"/>
                <w:sz w:val="19"/>
                <w:szCs w:val="19"/>
              </w:rPr>
              <w:t xml:space="preserve">Workshops across firms/departments; securing admin and security/legal/HR access</w:t>
            </w:r>
          </w:p>
        </w:tc>
      </w:tr>
      <w:tr>
        <w:tc>
          <w:tcPr>
            <w:tcW w:type="dxa" w:w="2900"/>
            <w:shd w:fill="EAF3F9" w:val="clear"/>
            <w:tcMar>
              <w:top w:type="dxa" w:w="70"/>
              <w:left w:type="dxa" w:w="110"/>
              <w:bottom w:type="dxa" w:w="70"/>
              <w:right w:type="dxa" w:w="110"/>
            </w:tcMar>
          </w:tcPr>
          <w:p>
            <w:pPr>
              <w:spacing w:after="20" w:line="250"/>
            </w:pPr>
            <w:r>
              <w:rPr>
                <w:b w:val="false"/>
                <w:bCs w:val="false"/>
                <w:sz w:val="19"/>
                <w:szCs w:val="19"/>
              </w:rPr>
              <w:t xml:space="preserve">Deliverable authoring (D1–D5)</w:t>
            </w:r>
          </w:p>
        </w:tc>
        <w:tc>
          <w:tcPr>
            <w:tcW w:type="dxa" w:w="1100"/>
            <w:shd w:fill="EAF3F9" w:val="clear"/>
            <w:tcMar>
              <w:top w:type="dxa" w:w="70"/>
              <w:left w:type="dxa" w:w="110"/>
              <w:bottom w:type="dxa" w:w="70"/>
              <w:right w:type="dxa" w:w="110"/>
            </w:tcMar>
          </w:tcPr>
          <w:p>
            <w:pPr>
              <w:spacing w:after="20" w:line="250"/>
            </w:pPr>
            <w:r>
              <w:rPr>
                <w:b w:val="false"/>
                <w:bCs w:val="false"/>
                <w:sz w:val="19"/>
                <w:szCs w:val="19"/>
              </w:rPr>
              <w:t xml:space="preserve">5.0</w:t>
            </w:r>
          </w:p>
        </w:tc>
        <w:tc>
          <w:tcPr>
            <w:tcW w:type="dxa" w:w="5360"/>
            <w:shd w:fill="EAF3F9" w:val="clear"/>
            <w:tcMar>
              <w:top w:type="dxa" w:w="70"/>
              <w:left w:type="dxa" w:w="110"/>
              <w:bottom w:type="dxa" w:w="70"/>
              <w:right w:type="dxa" w:w="110"/>
            </w:tcMar>
          </w:tcPr>
          <w:p>
            <w:pPr>
              <w:spacing w:after="20" w:line="250"/>
            </w:pPr>
            <w:r>
              <w:rPr>
                <w:b w:val="false"/>
                <w:bCs w:val="false"/>
                <w:sz w:val="19"/>
                <w:szCs w:val="19"/>
              </w:rPr>
              <w:t xml:space="preserve">Drafting strategy, roadmap, pilot list, governance baseline, narrative</w:t>
            </w:r>
          </w:p>
        </w:tc>
      </w:tr>
      <w:tr>
        <w:tc>
          <w:tcPr>
            <w:tcW w:type="dxa" w:w="2900"/>
            <w:tcMar>
              <w:top w:type="dxa" w:w="70"/>
              <w:left w:type="dxa" w:w="110"/>
              <w:bottom w:type="dxa" w:w="70"/>
              <w:right w:type="dxa" w:w="110"/>
            </w:tcMar>
          </w:tcPr>
          <w:p>
            <w:pPr>
              <w:spacing w:after="20" w:line="250"/>
            </w:pPr>
            <w:r>
              <w:rPr>
                <w:b w:val="false"/>
                <w:bCs w:val="false"/>
                <w:sz w:val="19"/>
                <w:szCs w:val="19"/>
              </w:rPr>
              <w:t xml:space="preserve">Pilot setup &amp; pod coordination</w:t>
            </w:r>
          </w:p>
        </w:tc>
        <w:tc>
          <w:tcPr>
            <w:tcW w:type="dxa" w:w="1100"/>
            <w:tcMar>
              <w:top w:type="dxa" w:w="70"/>
              <w:left w:type="dxa" w:w="110"/>
              <w:bottom w:type="dxa" w:w="70"/>
              <w:right w:type="dxa" w:w="110"/>
            </w:tcMar>
          </w:tcPr>
          <w:p>
            <w:pPr>
              <w:spacing w:after="20" w:line="250"/>
            </w:pPr>
            <w:r>
              <w:rPr>
                <w:b w:val="false"/>
                <w:bCs w:val="false"/>
                <w:sz w:val="19"/>
                <w:szCs w:val="19"/>
              </w:rPr>
              <w:t xml:space="preserve">2.0</w:t>
            </w:r>
          </w:p>
        </w:tc>
        <w:tc>
          <w:tcPr>
            <w:tcW w:type="dxa" w:w="5360"/>
            <w:tcMar>
              <w:top w:type="dxa" w:w="70"/>
              <w:left w:type="dxa" w:w="110"/>
              <w:bottom w:type="dxa" w:w="70"/>
              <w:right w:type="dxa" w:w="110"/>
            </w:tcMar>
          </w:tcPr>
          <w:p>
            <w:pPr>
              <w:spacing w:after="20" w:line="250"/>
            </w:pPr>
            <w:r>
              <w:rPr>
                <w:b w:val="false"/>
                <w:bCs w:val="false"/>
                <w:sz w:val="19"/>
                <w:szCs w:val="19"/>
              </w:rPr>
              <w:t xml:space="preserve">Standing up pilots, hypotheses, instrumentation with the execution pod</w:t>
            </w:r>
          </w:p>
        </w:tc>
      </w:tr>
      <w:tr>
        <w:tc>
          <w:tcPr>
            <w:tcW w:type="dxa" w:w="2900"/>
            <w:shd w:fill="EAF3F9" w:val="clear"/>
            <w:tcMar>
              <w:top w:type="dxa" w:w="70"/>
              <w:left w:type="dxa" w:w="110"/>
              <w:bottom w:type="dxa" w:w="70"/>
              <w:right w:type="dxa" w:w="110"/>
            </w:tcMar>
          </w:tcPr>
          <w:p>
            <w:pPr>
              <w:spacing w:after="20" w:line="250"/>
            </w:pPr>
            <w:r>
              <w:rPr>
                <w:b w:val="false"/>
                <w:bCs w:val="false"/>
                <w:sz w:val="19"/>
                <w:szCs w:val="19"/>
              </w:rPr>
              <w:t xml:space="preserve">Working sessions &amp; reviews</w:t>
            </w:r>
          </w:p>
        </w:tc>
        <w:tc>
          <w:tcPr>
            <w:tcW w:type="dxa" w:w="1100"/>
            <w:shd w:fill="EAF3F9" w:val="clear"/>
            <w:tcMar>
              <w:top w:type="dxa" w:w="70"/>
              <w:left w:type="dxa" w:w="110"/>
              <w:bottom w:type="dxa" w:w="70"/>
              <w:right w:type="dxa" w:w="110"/>
            </w:tcMar>
          </w:tcPr>
          <w:p>
            <w:pPr>
              <w:spacing w:after="20" w:line="250"/>
            </w:pPr>
            <w:r>
              <w:rPr>
                <w:b w:val="false"/>
                <w:bCs w:val="false"/>
                <w:sz w:val="19"/>
                <w:szCs w:val="19"/>
              </w:rPr>
              <w:t xml:space="preserve">2.0</w:t>
            </w:r>
          </w:p>
        </w:tc>
        <w:tc>
          <w:tcPr>
            <w:tcW w:type="dxa" w:w="5360"/>
            <w:shd w:fill="EAF3F9" w:val="clear"/>
            <w:tcMar>
              <w:top w:type="dxa" w:w="70"/>
              <w:left w:type="dxa" w:w="110"/>
              <w:bottom w:type="dxa" w:w="70"/>
              <w:right w:type="dxa" w:w="110"/>
            </w:tcMar>
          </w:tcPr>
          <w:p>
            <w:pPr>
              <w:spacing w:after="20" w:line="250"/>
            </w:pPr>
            <w:r>
              <w:rPr>
                <w:b w:val="false"/>
                <w:bCs w:val="false"/>
                <w:sz w:val="19"/>
                <w:szCs w:val="19"/>
              </w:rPr>
              <w:t xml:space="preserve">Weekly session + strategy/gate reviews with Tim and Anthony</w:t>
            </w:r>
          </w:p>
        </w:tc>
      </w:tr>
      <w:tr>
        <w:tc>
          <w:tcPr>
            <w:tcW w:type="dxa" w:w="2900"/>
            <w:tcMar>
              <w:top w:type="dxa" w:w="70"/>
              <w:left w:type="dxa" w:w="110"/>
              <w:bottom w:type="dxa" w:w="70"/>
              <w:right w:type="dxa" w:w="110"/>
            </w:tcMar>
          </w:tcPr>
          <w:p>
            <w:pPr>
              <w:spacing w:after="20" w:line="250"/>
            </w:pPr>
            <w:r>
              <w:rPr>
                <w:b w:val="false"/>
                <w:bCs w:val="false"/>
                <w:sz w:val="19"/>
                <w:szCs w:val="19"/>
              </w:rPr>
              <w:t xml:space="preserve">TOTAL (Q1)</w:t>
            </w:r>
          </w:p>
        </w:tc>
        <w:tc>
          <w:tcPr>
            <w:tcW w:type="dxa" w:w="1100"/>
            <w:tcMar>
              <w:top w:type="dxa" w:w="70"/>
              <w:left w:type="dxa" w:w="110"/>
              <w:bottom w:type="dxa" w:w="70"/>
              <w:right w:type="dxa" w:w="110"/>
            </w:tcMar>
          </w:tcPr>
          <w:p>
            <w:pPr>
              <w:spacing w:after="20" w:line="250"/>
            </w:pPr>
            <w:r>
              <w:rPr>
                <w:b w:val="false"/>
                <w:bCs w:val="false"/>
                <w:sz w:val="19"/>
                <w:szCs w:val="19"/>
              </w:rPr>
              <w:t xml:space="preserve">~12</w:t>
            </w:r>
          </w:p>
        </w:tc>
        <w:tc>
          <w:tcPr>
            <w:tcW w:type="dxa" w:w="5360"/>
            <w:tcMar>
              <w:top w:type="dxa" w:w="70"/>
              <w:left w:type="dxa" w:w="110"/>
              <w:bottom w:type="dxa" w:w="70"/>
              <w:right w:type="dxa" w:w="110"/>
            </w:tcMar>
          </w:tcPr>
          <w:p>
            <w:pPr>
              <w:spacing w:after="20" w:line="250"/>
            </w:pPr>
            <w:r>
              <w:rPr>
                <w:b w:val="false"/>
                <w:bCs w:val="false"/>
                <w:sz w:val="19"/>
                <w:szCs w:val="19"/>
              </w:rPr>
              <w:t xml:space="preserve">Roughly 1.5 days per week during foundation</w:t>
            </w:r>
          </w:p>
        </w:tc>
      </w:tr>
    </w:tbl>
    <w:p>
      <w:pPr>
        <w:spacing w:after="50"/>
      </w:pPr>
      <w:r>
        <w:t xml:space="preserve"/>
      </w:r>
    </w:p>
    <w:tbl>
      <w:tblPr>
        <w:tblW w:type="dxa" w:w="9360"/>
        <w:tblBorders>
          <w:top w:val="single" w:color="2E75B6" w:sz="1"/>
          <w:left w:val="single" w:color="2E75B6" w:sz="12"/>
          <w:bottom w:val="single" w:color="2E75B6" w:sz="1"/>
          <w:right w:val="single" w:color="2E75B6" w:sz="1"/>
          <w:insideH w:val="single" w:color="auto" w:sz="4"/>
          <w:insideV w:val="single" w:color="auto" w:sz="4"/>
        </w:tblBorders>
      </w:tblPr>
      <w:tblGrid>
        <w:gridCol w:w="9360"/>
      </w:tblGrid>
      <w:tr>
        <w:tc>
          <w:tcPr>
            <w:tcW w:type="dxa" w:w="9360"/>
            <w:shd w:fill="D5E8F0" w:val="clear"/>
            <w:tcMar>
              <w:top w:type="dxa" w:w="120"/>
              <w:left w:type="dxa" w:w="160"/>
              <w:bottom w:type="dxa" w:w="120"/>
              <w:right w:type="dxa" w:w="160"/>
            </w:tcMar>
          </w:tcPr>
          <w:p>
            <w:pPr>
              <w:spacing w:after="60"/>
            </w:pPr>
            <w:r>
              <w:rPr>
                <w:b/>
                <w:bCs/>
                <w:color w:val="1F4E79"/>
                <w:sz w:val="21"/>
                <w:szCs w:val="21"/>
              </w:rPr>
              <w:t xml:space="preserve">Time-commitment read</w:t>
            </w:r>
          </w:p>
          <w:p>
            <w:pPr>
              <w:spacing w:after="0" w:line="268"/>
            </w:pPr>
            <w:r>
              <w:rPr>
                <w:b/>
                <w:bCs/>
              </w:rPr>
              <w:t xml:space="preserve">Plan for ~12 hrs/week in Q1, settling to ~8 hrs/week (about one day) in steady state. </w:t>
            </w:r>
            <w:r>
              <w:t xml:space="preserve">Two demand spikes recur: the monthly initiative gate (add ~2–3 hrs that week) and the quarterly portfolio gate plus board readout (add ~6–8 hrs that week). If weekly hours creep well past this, it is a signal that execution scope is bleeding into the advisory retainer - re-bid it as a program rather than absorbing it.</w:t>
            </w:r>
          </w:p>
        </w:tc>
      </w:tr>
    </w:tbl>
    <w:p>
      <w:pPr>
        <w:pStyle w:val="Heading1"/>
        <w:pageBreakBefore/>
      </w:pPr>
      <w:r>
        <w:t xml:space="preserve">6. Who You Engage on the Springline Side</w:t>
      </w:r>
    </w:p>
    <w:p>
      <w:pPr>
        <w:spacing w:after="140" w:line="276"/>
      </w:pPr>
      <w:r>
        <w:t xml:space="preserve">Success depends on a small set of named relationships and timely access to a few functions. The proposal’s own assumptions make this explicit: timely access to firm/department leaders for discovery, to Snowflake and M365 admins for provisioning, and to security, legal, and HR for governance - plus active participation in the monthly and quarterly gates.</w:t>
      </w:r>
    </w:p>
    <w:p>
      <w:pPr>
        <w:pStyle w:val="Heading2"/>
      </w:pPr>
      <w:r>
        <w:t xml:space="preserve">Core relationships</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850"/>
        <w:gridCol w:w="1900"/>
        <w:gridCol w:w="4010"/>
        <w:gridCol w:w="1600"/>
      </w:tblGrid>
      <w:tr>
        <w:trPr>
          <w:tblHeader/>
        </w:trPr>
        <w:tc>
          <w:tcPr>
            <w:tcW w:type="dxa" w:w="1850"/>
            <w:shd w:fill="1F4E79" w:val="clear"/>
            <w:tcMar>
              <w:top w:type="dxa" w:w="70"/>
              <w:left w:type="dxa" w:w="110"/>
              <w:bottom w:type="dxa" w:w="70"/>
              <w:right w:type="dxa" w:w="110"/>
            </w:tcMar>
          </w:tcPr>
          <w:p>
            <w:pPr>
              <w:spacing w:after="20" w:line="250"/>
            </w:pPr>
            <w:r>
              <w:rPr>
                <w:b/>
                <w:bCs/>
                <w:color w:val="FFFFFF"/>
                <w:sz w:val="19"/>
                <w:szCs w:val="19"/>
              </w:rPr>
              <w:t xml:space="preserve">Who</w:t>
            </w:r>
          </w:p>
        </w:tc>
        <w:tc>
          <w:tcPr>
            <w:tcW w:type="dxa" w:w="1900"/>
            <w:shd w:fill="1F4E79" w:val="clear"/>
            <w:tcMar>
              <w:top w:type="dxa" w:w="70"/>
              <w:left w:type="dxa" w:w="110"/>
              <w:bottom w:type="dxa" w:w="70"/>
              <w:right w:type="dxa" w:w="110"/>
            </w:tcMar>
          </w:tcPr>
          <w:p>
            <w:pPr>
              <w:spacing w:after="20" w:line="250"/>
            </w:pPr>
            <w:r>
              <w:rPr>
                <w:b/>
                <w:bCs/>
                <w:color w:val="FFFFFF"/>
                <w:sz w:val="19"/>
                <w:szCs w:val="19"/>
              </w:rPr>
              <w:t xml:space="preserve">Role</w:t>
            </w:r>
          </w:p>
        </w:tc>
        <w:tc>
          <w:tcPr>
            <w:tcW w:type="dxa" w:w="4010"/>
            <w:shd w:fill="1F4E79" w:val="clear"/>
            <w:tcMar>
              <w:top w:type="dxa" w:w="70"/>
              <w:left w:type="dxa" w:w="110"/>
              <w:bottom w:type="dxa" w:w="70"/>
              <w:right w:type="dxa" w:w="110"/>
            </w:tcMar>
          </w:tcPr>
          <w:p>
            <w:pPr>
              <w:spacing w:after="20" w:line="250"/>
            </w:pPr>
            <w:r>
              <w:rPr>
                <w:b/>
                <w:bCs/>
                <w:color w:val="FFFFFF"/>
                <w:sz w:val="19"/>
                <w:szCs w:val="19"/>
              </w:rPr>
              <w:t xml:space="preserve">Why they matter to you</w:t>
            </w:r>
          </w:p>
        </w:tc>
        <w:tc>
          <w:tcPr>
            <w:tcW w:type="dxa" w:w="1600"/>
            <w:shd w:fill="1F4E79" w:val="clear"/>
            <w:tcMar>
              <w:top w:type="dxa" w:w="70"/>
              <w:left w:type="dxa" w:w="110"/>
              <w:bottom w:type="dxa" w:w="70"/>
              <w:right w:type="dxa" w:w="110"/>
            </w:tcMar>
          </w:tcPr>
          <w:p>
            <w:pPr>
              <w:spacing w:after="20" w:line="250"/>
            </w:pPr>
            <w:r>
              <w:rPr>
                <w:b/>
                <w:bCs/>
                <w:color w:val="FFFFFF"/>
                <w:sz w:val="19"/>
                <w:szCs w:val="19"/>
              </w:rPr>
              <w:t xml:space="preserve">Cadence</w:t>
            </w:r>
          </w:p>
        </w:tc>
      </w:tr>
      <w:tr>
        <w:tc>
          <w:tcPr>
            <w:tcW w:type="dxa" w:w="1850"/>
            <w:tcMar>
              <w:top w:type="dxa" w:w="70"/>
              <w:left w:type="dxa" w:w="110"/>
              <w:bottom w:type="dxa" w:w="70"/>
              <w:right w:type="dxa" w:w="110"/>
            </w:tcMar>
          </w:tcPr>
          <w:p>
            <w:pPr>
              <w:spacing w:after="20" w:line="250"/>
            </w:pPr>
            <w:r>
              <w:rPr>
                <w:b w:val="false"/>
                <w:bCs w:val="false"/>
                <w:sz w:val="19"/>
                <w:szCs w:val="19"/>
              </w:rPr>
              <w:t xml:space="preserve">Tim Brackney</w:t>
            </w:r>
          </w:p>
        </w:tc>
        <w:tc>
          <w:tcPr>
            <w:tcW w:type="dxa" w:w="1900"/>
            <w:tcMar>
              <w:top w:type="dxa" w:w="70"/>
              <w:left w:type="dxa" w:w="110"/>
              <w:bottom w:type="dxa" w:w="70"/>
              <w:right w:type="dxa" w:w="110"/>
            </w:tcMar>
          </w:tcPr>
          <w:p>
            <w:pPr>
              <w:spacing w:after="20" w:line="250"/>
            </w:pPr>
            <w:r>
              <w:rPr>
                <w:b w:val="false"/>
                <w:bCs w:val="false"/>
                <w:sz w:val="19"/>
                <w:szCs w:val="19"/>
              </w:rPr>
              <w:t xml:space="preserve">CEO</w:t>
            </w:r>
          </w:p>
        </w:tc>
        <w:tc>
          <w:tcPr>
            <w:tcW w:type="dxa" w:w="4010"/>
            <w:tcMar>
              <w:top w:type="dxa" w:w="70"/>
              <w:left w:type="dxa" w:w="110"/>
              <w:bottom w:type="dxa" w:w="70"/>
              <w:right w:type="dxa" w:w="110"/>
            </w:tcMar>
          </w:tcPr>
          <w:p>
            <w:pPr>
              <w:spacing w:after="20" w:line="250"/>
            </w:pPr>
            <w:r>
              <w:rPr>
                <w:b w:val="false"/>
                <w:bCs w:val="false"/>
                <w:sz w:val="19"/>
                <w:szCs w:val="19"/>
              </w:rPr>
              <w:t xml:space="preserve">Your principal. Owns the vision, the board relationship, and the definition of success. A COO-pedigreed operator (ex-President/COO, RGP ~$700M) who expects rigor and quarterly measurement.</w:t>
            </w:r>
          </w:p>
        </w:tc>
        <w:tc>
          <w:tcPr>
            <w:tcW w:type="dxa" w:w="1600"/>
            <w:tcMar>
              <w:top w:type="dxa" w:w="70"/>
              <w:left w:type="dxa" w:w="110"/>
              <w:bottom w:type="dxa" w:w="70"/>
              <w:right w:type="dxa" w:w="110"/>
            </w:tcMar>
          </w:tcPr>
          <w:p>
            <w:pPr>
              <w:spacing w:after="20" w:line="250"/>
            </w:pPr>
            <w:r>
              <w:rPr>
                <w:b w:val="false"/>
                <w:bCs w:val="false"/>
                <w:sz w:val="19"/>
                <w:szCs w:val="19"/>
              </w:rPr>
              <w:t xml:space="preserve">Monthly 1:1 + quarterly gate / readout</w:t>
            </w:r>
          </w:p>
        </w:tc>
      </w:tr>
      <w:tr>
        <w:tc>
          <w:tcPr>
            <w:tcW w:type="dxa" w:w="1850"/>
            <w:shd w:fill="EAF3F9" w:val="clear"/>
            <w:tcMar>
              <w:top w:type="dxa" w:w="70"/>
              <w:left w:type="dxa" w:w="110"/>
              <w:bottom w:type="dxa" w:w="70"/>
              <w:right w:type="dxa" w:w="110"/>
            </w:tcMar>
          </w:tcPr>
          <w:p>
            <w:pPr>
              <w:spacing w:after="20" w:line="250"/>
            </w:pPr>
            <w:r>
              <w:rPr>
                <w:b w:val="false"/>
                <w:bCs w:val="false"/>
                <w:sz w:val="19"/>
                <w:szCs w:val="19"/>
              </w:rPr>
              <w:t xml:space="preserve">Anthony Laria</w:t>
            </w:r>
          </w:p>
        </w:tc>
        <w:tc>
          <w:tcPr>
            <w:tcW w:type="dxa" w:w="1900"/>
            <w:shd w:fill="EAF3F9" w:val="clear"/>
            <w:tcMar>
              <w:top w:type="dxa" w:w="70"/>
              <w:left w:type="dxa" w:w="110"/>
              <w:bottom w:type="dxa" w:w="70"/>
              <w:right w:type="dxa" w:w="110"/>
            </w:tcMar>
          </w:tcPr>
          <w:p>
            <w:pPr>
              <w:spacing w:after="20" w:line="250"/>
            </w:pPr>
            <w:r>
              <w:rPr>
                <w:b w:val="false"/>
                <w:bCs w:val="false"/>
                <w:sz w:val="19"/>
                <w:szCs w:val="19"/>
              </w:rPr>
              <w:t xml:space="preserve">Incoming COO (ran Integration)</w:t>
            </w:r>
          </w:p>
        </w:tc>
        <w:tc>
          <w:tcPr>
            <w:tcW w:type="dxa" w:w="4010"/>
            <w:shd w:fill="EAF3F9" w:val="clear"/>
            <w:tcMar>
              <w:top w:type="dxa" w:w="70"/>
              <w:left w:type="dxa" w:w="110"/>
              <w:bottom w:type="dxa" w:w="70"/>
              <w:right w:type="dxa" w:w="110"/>
            </w:tcMar>
          </w:tcPr>
          <w:p>
            <w:pPr>
              <w:spacing w:after="20" w:line="250"/>
            </w:pPr>
            <w:r>
              <w:rPr>
                <w:b w:val="false"/>
                <w:bCs w:val="false"/>
                <w:sz w:val="19"/>
                <w:szCs w:val="19"/>
              </w:rPr>
              <w:t xml:space="preserve">Your day-to-day execution partner and the operational spine of the firm. Owns how acquired firms absorb change; his integration calendar shapes the roadmap as much as Tim’s priorities.</w:t>
            </w:r>
          </w:p>
        </w:tc>
        <w:tc>
          <w:tcPr>
            <w:tcW w:type="dxa" w:w="1600"/>
            <w:shd w:fill="EAF3F9" w:val="clear"/>
            <w:tcMar>
              <w:top w:type="dxa" w:w="70"/>
              <w:left w:type="dxa" w:w="110"/>
              <w:bottom w:type="dxa" w:w="70"/>
              <w:right w:type="dxa" w:w="110"/>
            </w:tcMar>
          </w:tcPr>
          <w:p>
            <w:pPr>
              <w:spacing w:after="20" w:line="250"/>
            </w:pPr>
            <w:r>
              <w:rPr>
                <w:b w:val="false"/>
                <w:bCs w:val="false"/>
                <w:sz w:val="19"/>
                <w:szCs w:val="19"/>
              </w:rPr>
              <w:t xml:space="preserve">Weekly working session</w:t>
            </w:r>
          </w:p>
        </w:tc>
      </w:tr>
      <w:tr>
        <w:tc>
          <w:tcPr>
            <w:tcW w:type="dxa" w:w="1850"/>
            <w:tcMar>
              <w:top w:type="dxa" w:w="70"/>
              <w:left w:type="dxa" w:w="110"/>
              <w:bottom w:type="dxa" w:w="70"/>
              <w:right w:type="dxa" w:w="110"/>
            </w:tcMar>
          </w:tcPr>
          <w:p>
            <w:pPr>
              <w:spacing w:after="20" w:line="250"/>
            </w:pPr>
            <w:r>
              <w:rPr>
                <w:b w:val="false"/>
                <w:bCs w:val="false"/>
                <w:sz w:val="19"/>
                <w:szCs w:val="19"/>
              </w:rPr>
              <w:t xml:space="preserve">Internal AI owner</w:t>
            </w:r>
          </w:p>
        </w:tc>
        <w:tc>
          <w:tcPr>
            <w:tcW w:type="dxa" w:w="1900"/>
            <w:tcMar>
              <w:top w:type="dxa" w:w="70"/>
              <w:left w:type="dxa" w:w="110"/>
              <w:bottom w:type="dxa" w:w="70"/>
              <w:right w:type="dxa" w:w="110"/>
            </w:tcMar>
          </w:tcPr>
          <w:p>
            <w:pPr>
              <w:spacing w:after="20" w:line="250"/>
            </w:pPr>
            <w:r>
              <w:rPr>
                <w:b w:val="false"/>
                <w:bCs w:val="false"/>
                <w:sz w:val="19"/>
                <w:szCs w:val="19"/>
              </w:rPr>
              <w:t xml:space="preserve">TBD (may not exist yet)</w:t>
            </w:r>
          </w:p>
        </w:tc>
        <w:tc>
          <w:tcPr>
            <w:tcW w:type="dxa" w:w="4010"/>
            <w:tcMar>
              <w:top w:type="dxa" w:w="70"/>
              <w:left w:type="dxa" w:w="110"/>
              <w:bottom w:type="dxa" w:w="70"/>
              <w:right w:type="dxa" w:w="110"/>
            </w:tcMar>
          </w:tcPr>
          <w:p>
            <w:pPr>
              <w:spacing w:after="20" w:line="250"/>
            </w:pPr>
            <w:r>
              <w:rPr>
                <w:b w:val="false"/>
                <w:bCs w:val="false"/>
                <w:sz w:val="19"/>
                <w:szCs w:val="19"/>
              </w:rPr>
              <w:t xml:space="preserve">If one exists, you augment and accelerate - not replace. If not, flag the gap early; you need a day-to-day counterpart inside Springline.</w:t>
            </w:r>
          </w:p>
        </w:tc>
        <w:tc>
          <w:tcPr>
            <w:tcW w:type="dxa" w:w="1600"/>
            <w:tcMar>
              <w:top w:type="dxa" w:w="70"/>
              <w:left w:type="dxa" w:w="110"/>
              <w:bottom w:type="dxa" w:w="70"/>
              <w:right w:type="dxa" w:w="110"/>
            </w:tcMar>
          </w:tcPr>
          <w:p>
            <w:pPr>
              <w:spacing w:after="20" w:line="250"/>
            </w:pPr>
            <w:r>
              <w:rPr>
                <w:b w:val="false"/>
                <w:bCs w:val="false"/>
                <w:sz w:val="19"/>
                <w:szCs w:val="19"/>
              </w:rPr>
              <w:t xml:space="preserve">Weekly / as stood up</w:t>
            </w:r>
          </w:p>
        </w:tc>
      </w:tr>
      <w:tr>
        <w:tc>
          <w:tcPr>
            <w:tcW w:type="dxa" w:w="1850"/>
            <w:shd w:fill="EAF3F9" w:val="clear"/>
            <w:tcMar>
              <w:top w:type="dxa" w:w="70"/>
              <w:left w:type="dxa" w:w="110"/>
              <w:bottom w:type="dxa" w:w="70"/>
              <w:right w:type="dxa" w:w="110"/>
            </w:tcMar>
          </w:tcPr>
          <w:p>
            <w:pPr>
              <w:spacing w:after="20" w:line="250"/>
            </w:pPr>
            <w:r>
              <w:rPr>
                <w:b w:val="false"/>
                <w:bCs w:val="false"/>
                <w:sz w:val="19"/>
                <w:szCs w:val="19"/>
              </w:rPr>
              <w:t xml:space="preserve">Improving delivery pod</w:t>
            </w:r>
          </w:p>
        </w:tc>
        <w:tc>
          <w:tcPr>
            <w:tcW w:type="dxa" w:w="1900"/>
            <w:shd w:fill="EAF3F9" w:val="clear"/>
            <w:tcMar>
              <w:top w:type="dxa" w:w="70"/>
              <w:left w:type="dxa" w:w="110"/>
              <w:bottom w:type="dxa" w:w="70"/>
              <w:right w:type="dxa" w:w="110"/>
            </w:tcMar>
          </w:tcPr>
          <w:p>
            <w:pPr>
              <w:spacing w:after="20" w:line="250"/>
            </w:pPr>
            <w:r>
              <w:rPr>
                <w:b w:val="false"/>
                <w:bCs w:val="false"/>
                <w:sz w:val="19"/>
                <w:szCs w:val="19"/>
              </w:rPr>
              <w:t xml:space="preserve">Execution capability you pull per build cycle (AI lead + embedded engineers)</w:t>
            </w:r>
          </w:p>
        </w:tc>
        <w:tc>
          <w:tcPr>
            <w:tcW w:type="dxa" w:w="4010"/>
            <w:shd w:fill="EAF3F9" w:val="clear"/>
            <w:tcMar>
              <w:top w:type="dxa" w:w="70"/>
              <w:left w:type="dxa" w:w="110"/>
              <w:bottom w:type="dxa" w:w="70"/>
              <w:right w:type="dxa" w:w="110"/>
            </w:tcMar>
          </w:tcPr>
          <w:p>
            <w:pPr>
              <w:spacing w:after="20" w:line="250"/>
            </w:pPr>
            <w:r>
              <w:rPr>
                <w:b w:val="false"/>
                <w:bCs w:val="false"/>
                <w:sz w:val="19"/>
                <w:szCs w:val="19"/>
              </w:rPr>
              <w:t xml:space="preserve">Not a co-lead. You are the sole Fractional CAIO and own strategy, governance, and narrative; the pod builds and instruments pilots against your hypotheses, bid per program.</w:t>
            </w:r>
          </w:p>
        </w:tc>
        <w:tc>
          <w:tcPr>
            <w:tcW w:type="dxa" w:w="1600"/>
            <w:shd w:fill="EAF3F9" w:val="clear"/>
            <w:tcMar>
              <w:top w:type="dxa" w:w="70"/>
              <w:left w:type="dxa" w:w="110"/>
              <w:bottom w:type="dxa" w:w="70"/>
              <w:right w:type="dxa" w:w="110"/>
            </w:tcMar>
          </w:tcPr>
          <w:p>
            <w:pPr>
              <w:spacing w:after="20" w:line="250"/>
            </w:pPr>
            <w:r>
              <w:rPr>
                <w:b w:val="false"/>
                <w:bCs w:val="false"/>
                <w:sz w:val="19"/>
                <w:szCs w:val="19"/>
              </w:rPr>
              <w:t xml:space="preserve">Per build cycle</w:t>
            </w:r>
          </w:p>
        </w:tc>
      </w:tr>
    </w:tbl>
    <w:p>
      <w:pPr>
        <w:pStyle w:val="Heading2"/>
      </w:pPr>
      <w:r>
        <w:t xml:space="preserve">Functional access you need</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200"/>
        <w:gridCol w:w="5360"/>
        <w:gridCol w:w="1800"/>
      </w:tblGrid>
      <w:tr>
        <w:trPr>
          <w:tblHeader/>
        </w:trPr>
        <w:tc>
          <w:tcPr>
            <w:tcW w:type="dxa" w:w="2200"/>
            <w:shd w:fill="1F4E79" w:val="clear"/>
            <w:tcMar>
              <w:top w:type="dxa" w:w="70"/>
              <w:left w:type="dxa" w:w="110"/>
              <w:bottom w:type="dxa" w:w="70"/>
              <w:right w:type="dxa" w:w="110"/>
            </w:tcMar>
          </w:tcPr>
          <w:p>
            <w:pPr>
              <w:spacing w:after="20" w:line="250"/>
            </w:pPr>
            <w:r>
              <w:rPr>
                <w:b/>
                <w:bCs/>
                <w:color w:val="FFFFFF"/>
                <w:sz w:val="19"/>
                <w:szCs w:val="19"/>
              </w:rPr>
              <w:t xml:space="preserve">Function</w:t>
            </w:r>
          </w:p>
        </w:tc>
        <w:tc>
          <w:tcPr>
            <w:tcW w:type="dxa" w:w="5360"/>
            <w:shd w:fill="1F4E79" w:val="clear"/>
            <w:tcMar>
              <w:top w:type="dxa" w:w="70"/>
              <w:left w:type="dxa" w:w="110"/>
              <w:bottom w:type="dxa" w:w="70"/>
              <w:right w:type="dxa" w:w="110"/>
            </w:tcMar>
          </w:tcPr>
          <w:p>
            <w:pPr>
              <w:spacing w:after="20" w:line="250"/>
            </w:pPr>
            <w:r>
              <w:rPr>
                <w:b/>
                <w:bCs/>
                <w:color w:val="FFFFFF"/>
                <w:sz w:val="19"/>
                <w:szCs w:val="19"/>
              </w:rPr>
              <w:t xml:space="preserve">What you need from them</w:t>
            </w:r>
          </w:p>
        </w:tc>
        <w:tc>
          <w:tcPr>
            <w:tcW w:type="dxa" w:w="1800"/>
            <w:shd w:fill="1F4E79" w:val="clear"/>
            <w:tcMar>
              <w:top w:type="dxa" w:w="70"/>
              <w:left w:type="dxa" w:w="110"/>
              <w:bottom w:type="dxa" w:w="70"/>
              <w:right w:type="dxa" w:w="110"/>
            </w:tcMar>
          </w:tcPr>
          <w:p>
            <w:pPr>
              <w:spacing w:after="20" w:line="250"/>
            </w:pPr>
            <w:r>
              <w:rPr>
                <w:b/>
                <w:bCs/>
                <w:color w:val="FFFFFF"/>
                <w:sz w:val="19"/>
                <w:szCs w:val="19"/>
              </w:rPr>
              <w:t xml:space="preserve">When</w:t>
            </w:r>
          </w:p>
        </w:tc>
      </w:tr>
      <w:tr>
        <w:tc>
          <w:tcPr>
            <w:tcW w:type="dxa" w:w="2200"/>
            <w:tcMar>
              <w:top w:type="dxa" w:w="70"/>
              <w:left w:type="dxa" w:w="110"/>
              <w:bottom w:type="dxa" w:w="70"/>
              <w:right w:type="dxa" w:w="110"/>
            </w:tcMar>
          </w:tcPr>
          <w:p>
            <w:pPr>
              <w:spacing w:after="20" w:line="250"/>
            </w:pPr>
            <w:r>
              <w:rPr>
                <w:b w:val="false"/>
                <w:bCs w:val="false"/>
                <w:sz w:val="19"/>
                <w:szCs w:val="19"/>
              </w:rPr>
              <w:t xml:space="preserve">Snowflake &amp; M365 admins</w:t>
            </w:r>
          </w:p>
        </w:tc>
        <w:tc>
          <w:tcPr>
            <w:tcW w:type="dxa" w:w="5360"/>
            <w:tcMar>
              <w:top w:type="dxa" w:w="70"/>
              <w:left w:type="dxa" w:w="110"/>
              <w:bottom w:type="dxa" w:w="70"/>
              <w:right w:type="dxa" w:w="110"/>
            </w:tcMar>
          </w:tcPr>
          <w:p>
            <w:pPr>
              <w:spacing w:after="20" w:line="250"/>
            </w:pPr>
            <w:r>
              <w:rPr>
                <w:b w:val="false"/>
                <w:bCs w:val="false"/>
                <w:sz w:val="19"/>
                <w:szCs w:val="19"/>
              </w:rPr>
              <w:t xml:space="preserve">Environment provisioning, data-foundation state per firm, tenancy status</w:t>
            </w:r>
          </w:p>
        </w:tc>
        <w:tc>
          <w:tcPr>
            <w:tcW w:type="dxa" w:w="1800"/>
            <w:tcMar>
              <w:top w:type="dxa" w:w="70"/>
              <w:left w:type="dxa" w:w="110"/>
              <w:bottom w:type="dxa" w:w="70"/>
              <w:right w:type="dxa" w:w="110"/>
            </w:tcMar>
          </w:tcPr>
          <w:p>
            <w:pPr>
              <w:spacing w:after="20" w:line="250"/>
            </w:pPr>
            <w:r>
              <w:rPr>
                <w:b w:val="false"/>
                <w:bCs w:val="false"/>
                <w:sz w:val="19"/>
                <w:szCs w:val="19"/>
              </w:rPr>
              <w:t xml:space="preserve">Weeks 1–8</w:t>
            </w:r>
          </w:p>
        </w:tc>
      </w:tr>
      <w:tr>
        <w:tc>
          <w:tcPr>
            <w:tcW w:type="dxa" w:w="2200"/>
            <w:shd w:fill="EAF3F9" w:val="clear"/>
            <w:tcMar>
              <w:top w:type="dxa" w:w="70"/>
              <w:left w:type="dxa" w:w="110"/>
              <w:bottom w:type="dxa" w:w="70"/>
              <w:right w:type="dxa" w:w="110"/>
            </w:tcMar>
          </w:tcPr>
          <w:p>
            <w:pPr>
              <w:spacing w:after="20" w:line="250"/>
            </w:pPr>
            <w:r>
              <w:rPr>
                <w:b w:val="false"/>
                <w:bCs w:val="false"/>
                <w:sz w:val="19"/>
                <w:szCs w:val="19"/>
              </w:rPr>
              <w:t xml:space="preserve">Security &amp; IT</w:t>
            </w:r>
          </w:p>
        </w:tc>
        <w:tc>
          <w:tcPr>
            <w:tcW w:type="dxa" w:w="5360"/>
            <w:shd w:fill="EAF3F9" w:val="clear"/>
            <w:tcMar>
              <w:top w:type="dxa" w:w="70"/>
              <w:left w:type="dxa" w:w="110"/>
              <w:bottom w:type="dxa" w:w="70"/>
              <w:right w:type="dxa" w:w="110"/>
            </w:tcMar>
          </w:tcPr>
          <w:p>
            <w:pPr>
              <w:spacing w:after="20" w:line="250"/>
            </w:pPr>
            <w:r>
              <w:rPr>
                <w:b w:val="false"/>
                <w:bCs w:val="false"/>
                <w:sz w:val="19"/>
                <w:szCs w:val="19"/>
              </w:rPr>
              <w:t xml:space="preserve">Controls baseline, audit-logging standards, data residency</w:t>
            </w:r>
          </w:p>
        </w:tc>
        <w:tc>
          <w:tcPr>
            <w:tcW w:type="dxa" w:w="1800"/>
            <w:shd w:fill="EAF3F9" w:val="clear"/>
            <w:tcMar>
              <w:top w:type="dxa" w:w="70"/>
              <w:left w:type="dxa" w:w="110"/>
              <w:bottom w:type="dxa" w:w="70"/>
              <w:right w:type="dxa" w:w="110"/>
            </w:tcMar>
          </w:tcPr>
          <w:p>
            <w:pPr>
              <w:spacing w:after="20" w:line="250"/>
            </w:pPr>
            <w:r>
              <w:rPr>
                <w:b w:val="false"/>
                <w:bCs w:val="false"/>
                <w:sz w:val="19"/>
                <w:szCs w:val="19"/>
              </w:rPr>
              <w:t xml:space="preserve">Weeks 7–8 (governance)</w:t>
            </w:r>
          </w:p>
        </w:tc>
      </w:tr>
      <w:tr>
        <w:tc>
          <w:tcPr>
            <w:tcW w:type="dxa" w:w="2200"/>
            <w:tcMar>
              <w:top w:type="dxa" w:w="70"/>
              <w:left w:type="dxa" w:w="110"/>
              <w:bottom w:type="dxa" w:w="70"/>
              <w:right w:type="dxa" w:w="110"/>
            </w:tcMar>
          </w:tcPr>
          <w:p>
            <w:pPr>
              <w:spacing w:after="20" w:line="250"/>
            </w:pPr>
            <w:r>
              <w:rPr>
                <w:b w:val="false"/>
                <w:bCs w:val="false"/>
                <w:sz w:val="19"/>
                <w:szCs w:val="19"/>
              </w:rPr>
              <w:t xml:space="preserve">Legal</w:t>
            </w:r>
          </w:p>
        </w:tc>
        <w:tc>
          <w:tcPr>
            <w:tcW w:type="dxa" w:w="5360"/>
            <w:tcMar>
              <w:top w:type="dxa" w:w="70"/>
              <w:left w:type="dxa" w:w="110"/>
              <w:bottom w:type="dxa" w:w="70"/>
              <w:right w:type="dxa" w:w="110"/>
            </w:tcMar>
          </w:tcPr>
          <w:p>
            <w:pPr>
              <w:spacing w:after="20" w:line="250"/>
            </w:pPr>
            <w:r>
              <w:rPr>
                <w:b w:val="false"/>
                <w:bCs w:val="false"/>
                <w:sz w:val="19"/>
                <w:szCs w:val="19"/>
              </w:rPr>
              <w:t xml:space="preserve">Data-privacy controls, NDA/confidentiality boundaries, attest/non-attest separation</w:t>
            </w:r>
          </w:p>
        </w:tc>
        <w:tc>
          <w:tcPr>
            <w:tcW w:type="dxa" w:w="1800"/>
            <w:tcMar>
              <w:top w:type="dxa" w:w="70"/>
              <w:left w:type="dxa" w:w="110"/>
              <w:bottom w:type="dxa" w:w="70"/>
              <w:right w:type="dxa" w:w="110"/>
            </w:tcMar>
          </w:tcPr>
          <w:p>
            <w:pPr>
              <w:spacing w:after="20" w:line="250"/>
            </w:pPr>
            <w:r>
              <w:rPr>
                <w:b w:val="false"/>
                <w:bCs w:val="false"/>
                <w:sz w:val="19"/>
                <w:szCs w:val="19"/>
              </w:rPr>
              <w:t xml:space="preserve">Weeks 7–8</w:t>
            </w:r>
          </w:p>
        </w:tc>
      </w:tr>
      <w:tr>
        <w:tc>
          <w:tcPr>
            <w:tcW w:type="dxa" w:w="2200"/>
            <w:shd w:fill="EAF3F9" w:val="clear"/>
            <w:tcMar>
              <w:top w:type="dxa" w:w="70"/>
              <w:left w:type="dxa" w:w="110"/>
              <w:bottom w:type="dxa" w:w="70"/>
              <w:right w:type="dxa" w:w="110"/>
            </w:tcMar>
          </w:tcPr>
          <w:p>
            <w:pPr>
              <w:spacing w:after="20" w:line="250"/>
            </w:pPr>
            <w:r>
              <w:rPr>
                <w:b w:val="false"/>
                <w:bCs w:val="false"/>
                <w:sz w:val="19"/>
                <w:szCs w:val="19"/>
              </w:rPr>
              <w:t xml:space="preserve">HR</w:t>
            </w:r>
          </w:p>
        </w:tc>
        <w:tc>
          <w:tcPr>
            <w:tcW w:type="dxa" w:w="5360"/>
            <w:shd w:fill="EAF3F9" w:val="clear"/>
            <w:tcMar>
              <w:top w:type="dxa" w:w="70"/>
              <w:left w:type="dxa" w:w="110"/>
              <w:bottom w:type="dxa" w:w="70"/>
              <w:right w:type="dxa" w:w="110"/>
            </w:tcMar>
          </w:tcPr>
          <w:p>
            <w:pPr>
              <w:spacing w:after="20" w:line="250"/>
            </w:pPr>
            <w:r>
              <w:rPr>
                <w:b w:val="false"/>
                <w:bCs w:val="false"/>
                <w:sz w:val="19"/>
                <w:szCs w:val="19"/>
              </w:rPr>
              <w:t xml:space="preserve">Policy compliance, change-management posture, workforce-impact framing</w:t>
            </w:r>
          </w:p>
        </w:tc>
        <w:tc>
          <w:tcPr>
            <w:tcW w:type="dxa" w:w="1800"/>
            <w:shd w:fill="EAF3F9" w:val="clear"/>
            <w:tcMar>
              <w:top w:type="dxa" w:w="70"/>
              <w:left w:type="dxa" w:w="110"/>
              <w:bottom w:type="dxa" w:w="70"/>
              <w:right w:type="dxa" w:w="110"/>
            </w:tcMar>
          </w:tcPr>
          <w:p>
            <w:pPr>
              <w:spacing w:after="20" w:line="250"/>
            </w:pPr>
            <w:r>
              <w:rPr>
                <w:b w:val="false"/>
                <w:bCs w:val="false"/>
                <w:sz w:val="19"/>
                <w:szCs w:val="19"/>
              </w:rPr>
              <w:t xml:space="preserve">Weeks 7–8</w:t>
            </w:r>
          </w:p>
        </w:tc>
      </w:tr>
      <w:tr>
        <w:tc>
          <w:tcPr>
            <w:tcW w:type="dxa" w:w="2200"/>
            <w:tcMar>
              <w:top w:type="dxa" w:w="70"/>
              <w:left w:type="dxa" w:w="110"/>
              <w:bottom w:type="dxa" w:w="70"/>
              <w:right w:type="dxa" w:w="110"/>
            </w:tcMar>
          </w:tcPr>
          <w:p>
            <w:pPr>
              <w:spacing w:after="20" w:line="250"/>
            </w:pPr>
            <w:r>
              <w:rPr>
                <w:b w:val="false"/>
                <w:bCs w:val="false"/>
                <w:sz w:val="19"/>
                <w:szCs w:val="19"/>
              </w:rPr>
              <w:t xml:space="preserve">Firm &amp; department leaders</w:t>
            </w:r>
          </w:p>
        </w:tc>
        <w:tc>
          <w:tcPr>
            <w:tcW w:type="dxa" w:w="5360"/>
            <w:tcMar>
              <w:top w:type="dxa" w:w="70"/>
              <w:left w:type="dxa" w:w="110"/>
              <w:bottom w:type="dxa" w:w="70"/>
              <w:right w:type="dxa" w:w="110"/>
            </w:tcMar>
          </w:tcPr>
          <w:p>
            <w:pPr>
              <w:spacing w:after="20" w:line="250"/>
            </w:pPr>
            <w:r>
              <w:rPr>
                <w:b w:val="false"/>
                <w:bCs w:val="false"/>
                <w:sz w:val="19"/>
                <w:szCs w:val="19"/>
              </w:rPr>
              <w:t xml:space="preserve">Discovery input, pilot candidates, lead-firm selection</w:t>
            </w:r>
          </w:p>
        </w:tc>
        <w:tc>
          <w:tcPr>
            <w:tcW w:type="dxa" w:w="1800"/>
            <w:tcMar>
              <w:top w:type="dxa" w:w="70"/>
              <w:left w:type="dxa" w:w="110"/>
              <w:bottom w:type="dxa" w:w="70"/>
              <w:right w:type="dxa" w:w="110"/>
            </w:tcMar>
          </w:tcPr>
          <w:p>
            <w:pPr>
              <w:spacing w:after="20" w:line="250"/>
            </w:pPr>
            <w:r>
              <w:rPr>
                <w:b w:val="false"/>
                <w:bCs w:val="false"/>
                <w:sz w:val="19"/>
                <w:szCs w:val="19"/>
              </w:rPr>
              <w:t xml:space="preserve">Weeks 1–3, then per pilot</w:t>
            </w:r>
          </w:p>
        </w:tc>
      </w:tr>
    </w:tbl>
    <w:p>
      <w:pPr>
        <w:pStyle w:val="Heading2"/>
      </w:pPr>
      <w:r>
        <w:t xml:space="preserve">Background stakeholder - Trinity Hunt Partners</w:t>
      </w:r>
    </w:p>
    <w:p>
      <w:pPr>
        <w:spacing w:after="140" w:line="276"/>
      </w:pPr>
      <w:r>
        <w:t xml:space="preserve">Trinity Hunt (Davis Fox, VP) backs both Springline and Improving and made the original introduction. Treat the shared sponsor as a </w:t>
      </w:r>
      <w:r>
        <w:rPr>
          <w:b/>
          <w:bCs/>
        </w:rPr>
        <w:t xml:space="preserve">trust accelerant, not a closing lever. </w:t>
      </w:r>
      <w:r>
        <w:t xml:space="preserve">It warms the relationship and gives the engagement implicit support, but the work must stand on its own merits and the engagement must remain visibly arm’s-length. You will help Springline state that independence clearly to its team and stakeholders. Trinity Hunt’s interest in a differentiated asset at exit is the real reason the investor-narrative deliverable matters.</w:t>
      </w:r>
    </w:p>
    <w:p>
      <w:pPr>
        <w:pStyle w:val="Heading2"/>
      </w:pPr>
      <w:r>
        <w:t xml:space="preserve">Political landscape to manage</w:t>
      </w:r>
    </w:p>
    <w:p>
      <w:pPr>
        <w:pStyle w:val="ListParagraph"/>
        <w:numPr>
          <w:ilvl w:val="0"/>
          <w:numId w:val="2"/>
        </w:numPr>
        <w:spacing w:after="70" w:line="268"/>
      </w:pPr>
      <w:r>
        <w:rPr>
          <w:b/>
          <w:bCs/>
        </w:rPr>
        <w:t xml:space="preserve">Federated veto points. </w:t>
      </w:r>
      <w:r>
        <w:t xml:space="preserve">Twelve firms with independent partners means twelve potential blockers. Win one firm visibly, let pull do the work across the rest.</w:t>
      </w:r>
    </w:p>
    <w:p>
      <w:pPr>
        <w:pStyle w:val="ListParagraph"/>
        <w:numPr>
          <w:ilvl w:val="0"/>
          <w:numId w:val="2"/>
        </w:numPr>
        <w:spacing w:after="70" w:line="268"/>
      </w:pPr>
      <w:r>
        <w:rPr>
          <w:b/>
          <w:bCs/>
        </w:rPr>
        <w:t xml:space="preserve">Budget control. </w:t>
      </w:r>
      <w:r>
        <w:t xml:space="preserve">Determine early whether tech budget is centralized or federated - it changes how you fund and sequence pilots.</w:t>
      </w:r>
    </w:p>
    <w:p>
      <w:pPr>
        <w:pStyle w:val="ListParagraph"/>
        <w:numPr>
          <w:ilvl w:val="0"/>
          <w:numId w:val="2"/>
        </w:numPr>
        <w:spacing w:after="70" w:line="268"/>
      </w:pPr>
      <w:r>
        <w:rPr>
          <w:b/>
          <w:bCs/>
        </w:rPr>
        <w:t xml:space="preserve">Prior AI attempts. </w:t>
      </w:r>
      <w:r>
        <w:t xml:space="preserve">Find out which firms already tried a pilot and what the organizational memory is. You are building on - or recovering from - that narrative.</w:t>
      </w:r>
    </w:p>
    <w:p>
      <w:pPr>
        <w:pStyle w:val="ListParagraph"/>
        <w:numPr>
          <w:ilvl w:val="0"/>
          <w:numId w:val="2"/>
        </w:numPr>
        <w:spacing w:after="70" w:line="268"/>
      </w:pPr>
      <w:r>
        <w:rPr>
          <w:b/>
          <w:bCs/>
        </w:rPr>
        <w:t xml:space="preserve">Culture-first CEO. </w:t>
      </w:r>
      <w:r>
        <w:t xml:space="preserve">Tim treats people-first culture as the competitive differentiator. Frame AI in employee-experience and capacity terms, not headcount reduction - it is also the honest ROI math here.</w:t>
      </w:r>
    </w:p>
    <w:p>
      <w:pPr>
        <w:pStyle w:val="Heading1"/>
        <w:pageBreakBefore/>
      </w:pPr>
      <w:r>
        <w:t xml:space="preserve">7. Risks to Manage From Day One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2500"/>
        <w:gridCol w:w="3160"/>
        <w:gridCol w:w="3700"/>
      </w:tblGrid>
      <w:tr>
        <w:trPr>
          <w:tblHeader/>
        </w:trPr>
        <w:tc>
          <w:tcPr>
            <w:tcW w:type="dxa" w:w="2500"/>
            <w:shd w:fill="1F4E79" w:val="clear"/>
            <w:tcMar>
              <w:top w:type="dxa" w:w="70"/>
              <w:left w:type="dxa" w:w="110"/>
              <w:bottom w:type="dxa" w:w="70"/>
              <w:right w:type="dxa" w:w="110"/>
            </w:tcMar>
          </w:tcPr>
          <w:p>
            <w:pPr>
              <w:spacing w:after="20" w:line="250"/>
            </w:pPr>
            <w:r>
              <w:rPr>
                <w:b/>
                <w:bCs/>
                <w:color w:val="FFFFFF"/>
                <w:sz w:val="19"/>
                <w:szCs w:val="19"/>
              </w:rPr>
              <w:t xml:space="preserve">Risk</w:t>
            </w:r>
          </w:p>
        </w:tc>
        <w:tc>
          <w:tcPr>
            <w:tcW w:type="dxa" w:w="3160"/>
            <w:shd w:fill="1F4E79" w:val="clear"/>
            <w:tcMar>
              <w:top w:type="dxa" w:w="70"/>
              <w:left w:type="dxa" w:w="110"/>
              <w:bottom w:type="dxa" w:w="70"/>
              <w:right w:type="dxa" w:w="110"/>
            </w:tcMar>
          </w:tcPr>
          <w:p>
            <w:pPr>
              <w:spacing w:after="20" w:line="250"/>
            </w:pPr>
            <w:r>
              <w:rPr>
                <w:b/>
                <w:bCs/>
                <w:color w:val="FFFFFF"/>
                <w:sz w:val="19"/>
                <w:szCs w:val="19"/>
              </w:rPr>
              <w:t xml:space="preserve">Signal</w:t>
            </w:r>
          </w:p>
        </w:tc>
        <w:tc>
          <w:tcPr>
            <w:tcW w:type="dxa" w:w="3700"/>
            <w:shd w:fill="1F4E79" w:val="clear"/>
            <w:tcMar>
              <w:top w:type="dxa" w:w="70"/>
              <w:left w:type="dxa" w:w="110"/>
              <w:bottom w:type="dxa" w:w="70"/>
              <w:right w:type="dxa" w:w="110"/>
            </w:tcMar>
          </w:tcPr>
          <w:p>
            <w:pPr>
              <w:spacing w:after="20" w:line="250"/>
            </w:pPr>
            <w:r>
              <w:rPr>
                <w:b/>
                <w:bCs/>
                <w:color w:val="FFFFFF"/>
                <w:sz w:val="19"/>
                <w:szCs w:val="19"/>
              </w:rPr>
              <w:t xml:space="preserve">Your move</w:t>
            </w:r>
          </w:p>
        </w:tc>
      </w:tr>
      <w:tr>
        <w:tc>
          <w:tcPr>
            <w:tcW w:type="dxa" w:w="2500"/>
            <w:tcMar>
              <w:top w:type="dxa" w:w="70"/>
              <w:left w:type="dxa" w:w="110"/>
              <w:bottom w:type="dxa" w:w="70"/>
              <w:right w:type="dxa" w:w="110"/>
            </w:tcMar>
          </w:tcPr>
          <w:p>
            <w:pPr>
              <w:spacing w:after="20" w:line="250"/>
            </w:pPr>
            <w:r>
              <w:rPr>
                <w:b w:val="false"/>
                <w:bCs w:val="false"/>
                <w:sz w:val="19"/>
                <w:szCs w:val="19"/>
              </w:rPr>
              <w:t xml:space="preserve">Scope creep into the retainer</w:t>
            </w:r>
          </w:p>
        </w:tc>
        <w:tc>
          <w:tcPr>
            <w:tcW w:type="dxa" w:w="3160"/>
            <w:tcMar>
              <w:top w:type="dxa" w:w="70"/>
              <w:left w:type="dxa" w:w="110"/>
              <w:bottom w:type="dxa" w:w="70"/>
              <w:right w:type="dxa" w:w="110"/>
            </w:tcMar>
          </w:tcPr>
          <w:p>
            <w:pPr>
              <w:spacing w:after="20" w:line="250"/>
            </w:pPr>
            <w:r>
              <w:rPr>
                <w:b w:val="false"/>
                <w:bCs w:val="false"/>
                <w:sz w:val="19"/>
                <w:szCs w:val="19"/>
              </w:rPr>
              <w:t xml:space="preserve">“Can you also run the M365 rollout / manage vendors?”</w:t>
            </w:r>
          </w:p>
        </w:tc>
        <w:tc>
          <w:tcPr>
            <w:tcW w:type="dxa" w:w="3700"/>
            <w:tcMar>
              <w:top w:type="dxa" w:w="70"/>
              <w:left w:type="dxa" w:w="110"/>
              <w:bottom w:type="dxa" w:w="70"/>
              <w:right w:type="dxa" w:w="110"/>
            </w:tcMar>
          </w:tcPr>
          <w:p>
            <w:pPr>
              <w:spacing w:after="20" w:line="250"/>
            </w:pPr>
            <w:r>
              <w:rPr>
                <w:b w:val="false"/>
                <w:bCs w:val="false"/>
                <w:sz w:val="19"/>
                <w:szCs w:val="19"/>
              </w:rPr>
              <w:t xml:space="preserve">Hold the line: that is a separate execution bid with its own ROI hypothesis. Retainer = strategy, governance, narrative.</w:t>
            </w:r>
          </w:p>
        </w:tc>
      </w:tr>
      <w:tr>
        <w:tc>
          <w:tcPr>
            <w:tcW w:type="dxa" w:w="2500"/>
            <w:shd w:fill="EAF3F9" w:val="clear"/>
            <w:tcMar>
              <w:top w:type="dxa" w:w="70"/>
              <w:left w:type="dxa" w:w="110"/>
              <w:bottom w:type="dxa" w:w="70"/>
              <w:right w:type="dxa" w:w="110"/>
            </w:tcMar>
          </w:tcPr>
          <w:p>
            <w:pPr>
              <w:spacing w:after="20" w:line="250"/>
            </w:pPr>
            <w:r>
              <w:rPr>
                <w:b w:val="false"/>
                <w:bCs w:val="false"/>
                <w:sz w:val="19"/>
                <w:szCs w:val="19"/>
              </w:rPr>
              <w:t xml:space="preserve">Federated resistance</w:t>
            </w:r>
          </w:p>
        </w:tc>
        <w:tc>
          <w:tcPr>
            <w:tcW w:type="dxa" w:w="3160"/>
            <w:shd w:fill="EAF3F9" w:val="clear"/>
            <w:tcMar>
              <w:top w:type="dxa" w:w="70"/>
              <w:left w:type="dxa" w:w="110"/>
              <w:bottom w:type="dxa" w:w="70"/>
              <w:right w:type="dxa" w:w="110"/>
            </w:tcMar>
          </w:tcPr>
          <w:p>
            <w:pPr>
              <w:spacing w:after="20" w:line="250"/>
            </w:pPr>
            <w:r>
              <w:rPr>
                <w:b w:val="false"/>
                <w:bCs w:val="false"/>
                <w:sz w:val="19"/>
                <w:szCs w:val="19"/>
              </w:rPr>
              <w:t xml:space="preserve">A firm’s partners stall or refuse a pilot</w:t>
            </w:r>
          </w:p>
        </w:tc>
        <w:tc>
          <w:tcPr>
            <w:tcW w:type="dxa" w:w="3700"/>
            <w:shd w:fill="EAF3F9" w:val="clear"/>
            <w:tcMar>
              <w:top w:type="dxa" w:w="70"/>
              <w:left w:type="dxa" w:w="110"/>
              <w:bottom w:type="dxa" w:w="70"/>
              <w:right w:type="dxa" w:w="110"/>
            </w:tcMar>
          </w:tcPr>
          <w:p>
            <w:pPr>
              <w:spacing w:after="20" w:line="250"/>
            </w:pPr>
            <w:r>
              <w:rPr>
                <w:b w:val="false"/>
                <w:bCs w:val="false"/>
                <w:sz w:val="19"/>
                <w:szCs w:val="19"/>
              </w:rPr>
              <w:t xml:space="preserve">Re-sequence to a willing firm; use the win to create pull. Never force a centralized mandate first.</w:t>
            </w:r>
          </w:p>
        </w:tc>
      </w:tr>
      <w:tr>
        <w:tc>
          <w:tcPr>
            <w:tcW w:type="dxa" w:w="2500"/>
            <w:tcMar>
              <w:top w:type="dxa" w:w="70"/>
              <w:left w:type="dxa" w:w="110"/>
              <w:bottom w:type="dxa" w:w="70"/>
              <w:right w:type="dxa" w:w="110"/>
            </w:tcMar>
          </w:tcPr>
          <w:p>
            <w:pPr>
              <w:spacing w:after="20" w:line="250"/>
            </w:pPr>
            <w:r>
              <w:rPr>
                <w:b w:val="false"/>
                <w:bCs w:val="false"/>
                <w:sz w:val="19"/>
                <w:szCs w:val="19"/>
              </w:rPr>
              <w:t xml:space="preserve">Governance lag</w:t>
            </w:r>
          </w:p>
        </w:tc>
        <w:tc>
          <w:tcPr>
            <w:tcW w:type="dxa" w:w="3160"/>
            <w:tcMar>
              <w:top w:type="dxa" w:w="70"/>
              <w:left w:type="dxa" w:w="110"/>
              <w:bottom w:type="dxa" w:w="70"/>
              <w:right w:type="dxa" w:w="110"/>
            </w:tcMar>
          </w:tcPr>
          <w:p>
            <w:pPr>
              <w:spacing w:after="20" w:line="250"/>
            </w:pPr>
            <w:r>
              <w:rPr>
                <w:b w:val="false"/>
                <w:bCs w:val="false"/>
                <w:sz w:val="19"/>
                <w:szCs w:val="19"/>
              </w:rPr>
              <w:t xml:space="preserve">Pressure to launch Stage 4 workflows before controls exist</w:t>
            </w:r>
          </w:p>
        </w:tc>
        <w:tc>
          <w:tcPr>
            <w:tcW w:type="dxa" w:w="3700"/>
            <w:tcMar>
              <w:top w:type="dxa" w:w="70"/>
              <w:left w:type="dxa" w:w="110"/>
              <w:bottom w:type="dxa" w:w="70"/>
              <w:right w:type="dxa" w:w="110"/>
            </w:tcMar>
          </w:tcPr>
          <w:p>
            <w:pPr>
              <w:spacing w:after="20" w:line="250"/>
            </w:pPr>
            <w:r>
              <w:rPr>
                <w:b w:val="false"/>
                <w:bCs w:val="false"/>
                <w:sz w:val="19"/>
                <w:szCs w:val="19"/>
              </w:rPr>
              <w:t xml:space="preserve">Refuse to cross the Stage 4 gate without the baseline. It is the one non-negotiable.</w:t>
            </w:r>
          </w:p>
        </w:tc>
      </w:tr>
      <w:tr>
        <w:tc>
          <w:tcPr>
            <w:tcW w:type="dxa" w:w="2500"/>
            <w:shd w:fill="EAF3F9" w:val="clear"/>
            <w:tcMar>
              <w:top w:type="dxa" w:w="70"/>
              <w:left w:type="dxa" w:w="110"/>
              <w:bottom w:type="dxa" w:w="70"/>
              <w:right w:type="dxa" w:w="110"/>
            </w:tcMar>
          </w:tcPr>
          <w:p>
            <w:pPr>
              <w:spacing w:after="20" w:line="250"/>
            </w:pPr>
            <w:r>
              <w:rPr>
                <w:b w:val="false"/>
                <w:bCs w:val="false"/>
                <w:sz w:val="19"/>
                <w:szCs w:val="19"/>
              </w:rPr>
              <w:t xml:space="preserve">Exit-timing whiplash</w:t>
            </w:r>
          </w:p>
        </w:tc>
        <w:tc>
          <w:tcPr>
            <w:tcW w:type="dxa" w:w="3160"/>
            <w:shd w:fill="EAF3F9" w:val="clear"/>
            <w:tcMar>
              <w:top w:type="dxa" w:w="70"/>
              <w:left w:type="dxa" w:w="110"/>
              <w:bottom w:type="dxa" w:w="70"/>
              <w:right w:type="dxa" w:w="110"/>
            </w:tcMar>
          </w:tcPr>
          <w:p>
            <w:pPr>
              <w:spacing w:after="20" w:line="250"/>
            </w:pPr>
            <w:r>
              <w:rPr>
                <w:b w:val="false"/>
                <w:bCs w:val="false"/>
                <w:sz w:val="19"/>
                <w:szCs w:val="19"/>
              </w:rPr>
              <w:t xml:space="preserve">Plan anchored to a single close date</w:t>
            </w:r>
          </w:p>
        </w:tc>
        <w:tc>
          <w:tcPr>
            <w:tcW w:type="dxa" w:w="3700"/>
            <w:shd w:fill="EAF3F9" w:val="clear"/>
            <w:tcMar>
              <w:top w:type="dxa" w:w="70"/>
              <w:left w:type="dxa" w:w="110"/>
              <w:bottom w:type="dxa" w:w="70"/>
              <w:right w:type="dxa" w:w="110"/>
            </w:tcMar>
          </w:tcPr>
          <w:p>
            <w:pPr>
              <w:spacing w:after="20" w:line="250"/>
            </w:pPr>
            <w:r>
              <w:rPr>
                <w:b w:val="false"/>
                <w:bCs w:val="false"/>
                <w:sz w:val="19"/>
                <w:szCs w:val="19"/>
              </w:rPr>
              <w:t xml:space="preserve">Keep the horizon funding model - envelopes, not dates. The snapshot stays current at month 9, 15, or 24.</w:t>
            </w:r>
          </w:p>
        </w:tc>
      </w:tr>
      <w:tr>
        <w:tc>
          <w:tcPr>
            <w:tcW w:type="dxa" w:w="2500"/>
            <w:tcMar>
              <w:top w:type="dxa" w:w="70"/>
              <w:left w:type="dxa" w:w="110"/>
              <w:bottom w:type="dxa" w:w="70"/>
              <w:right w:type="dxa" w:w="110"/>
            </w:tcMar>
          </w:tcPr>
          <w:p>
            <w:pPr>
              <w:spacing w:after="20" w:line="250"/>
            </w:pPr>
            <w:r>
              <w:rPr>
                <w:b w:val="false"/>
                <w:bCs w:val="false"/>
                <w:sz w:val="19"/>
                <w:szCs w:val="19"/>
              </w:rPr>
              <w:t xml:space="preserve">Internal-hire ambiguity</w:t>
            </w:r>
          </w:p>
        </w:tc>
        <w:tc>
          <w:tcPr>
            <w:tcW w:type="dxa" w:w="3160"/>
            <w:tcMar>
              <w:top w:type="dxa" w:w="70"/>
              <w:left w:type="dxa" w:w="110"/>
              <w:bottom w:type="dxa" w:w="70"/>
              <w:right w:type="dxa" w:w="110"/>
            </w:tcMar>
          </w:tcPr>
          <w:p>
            <w:pPr>
              <w:spacing w:after="20" w:line="250"/>
            </w:pPr>
            <w:r>
              <w:rPr>
                <w:b w:val="false"/>
                <w:bCs w:val="false"/>
                <w:sz w:val="19"/>
                <w:szCs w:val="19"/>
              </w:rPr>
              <w:t xml:space="preserve">Springline hires its own AI lead</w:t>
            </w:r>
          </w:p>
        </w:tc>
        <w:tc>
          <w:tcPr>
            <w:tcW w:type="dxa" w:w="3700"/>
            <w:tcMar>
              <w:top w:type="dxa" w:w="70"/>
              <w:left w:type="dxa" w:w="110"/>
              <w:bottom w:type="dxa" w:w="70"/>
              <w:right w:type="dxa" w:w="110"/>
            </w:tcMar>
          </w:tcPr>
          <w:p>
            <w:pPr>
              <w:spacing w:after="20" w:line="250"/>
            </w:pPr>
            <w:r>
              <w:rPr>
                <w:b w:val="false"/>
                <w:bCs w:val="false"/>
                <w:sz w:val="19"/>
                <w:szCs w:val="19"/>
              </w:rPr>
              <w:t xml:space="preserve">Reframe to augment-and-accelerate, not replace. Define the division of labor explicitly.</w:t>
            </w:r>
          </w:p>
        </w:tc>
      </w:tr>
      <w:tr>
        <w:tc>
          <w:tcPr>
            <w:tcW w:type="dxa" w:w="2500"/>
            <w:shd w:fill="EAF3F9" w:val="clear"/>
            <w:tcMar>
              <w:top w:type="dxa" w:w="70"/>
              <w:left w:type="dxa" w:w="110"/>
              <w:bottom w:type="dxa" w:w="70"/>
              <w:right w:type="dxa" w:w="110"/>
            </w:tcMar>
          </w:tcPr>
          <w:p>
            <w:pPr>
              <w:spacing w:after="20" w:line="250"/>
            </w:pPr>
            <w:r>
              <w:rPr>
                <w:b w:val="false"/>
                <w:bCs w:val="false"/>
                <w:sz w:val="19"/>
                <w:szCs w:val="19"/>
              </w:rPr>
              <w:t xml:space="preserve">Over-leaning on shared PE backer</w:t>
            </w:r>
          </w:p>
        </w:tc>
        <w:tc>
          <w:tcPr>
            <w:tcW w:type="dxa" w:w="3160"/>
            <w:shd w:fill="EAF3F9" w:val="clear"/>
            <w:tcMar>
              <w:top w:type="dxa" w:w="70"/>
              <w:left w:type="dxa" w:w="110"/>
              <w:bottom w:type="dxa" w:w="70"/>
              <w:right w:type="dxa" w:w="110"/>
            </w:tcMar>
          </w:tcPr>
          <w:p>
            <w:pPr>
              <w:spacing w:after="20" w:line="250"/>
            </w:pPr>
            <w:r>
              <w:rPr>
                <w:b w:val="false"/>
                <w:bCs w:val="false"/>
                <w:sz w:val="19"/>
                <w:szCs w:val="19"/>
              </w:rPr>
              <w:t xml:space="preserve">Relationship used as pressure</w:t>
            </w:r>
          </w:p>
        </w:tc>
        <w:tc>
          <w:tcPr>
            <w:tcW w:type="dxa" w:w="3700"/>
            <w:shd w:fill="EAF3F9" w:val="clear"/>
            <w:tcMar>
              <w:top w:type="dxa" w:w="70"/>
              <w:left w:type="dxa" w:w="110"/>
              <w:bottom w:type="dxa" w:w="70"/>
              <w:right w:type="dxa" w:w="110"/>
            </w:tcMar>
          </w:tcPr>
          <w:p>
            <w:pPr>
              <w:spacing w:after="20" w:line="250"/>
            </w:pPr>
            <w:r>
              <w:rPr>
                <w:b w:val="false"/>
                <w:bCs w:val="false"/>
                <w:sz w:val="19"/>
                <w:szCs w:val="19"/>
              </w:rPr>
              <w:t xml:space="preserve">Use it for warmth and context once; let the proposal stand on merits. Keep independence visible.</w:t>
            </w:r>
          </w:p>
        </w:tc>
      </w:tr>
    </w:tbl>
    <w:p>
      <w:pPr>
        <w:pBdr>
          <w:bottom w:val="single" w:color="2E75B6" w:sz="6" w:space="1"/>
        </w:pBdr>
        <w:spacing w:after="160" w:before="60"/>
      </w:pPr>
      <w:r>
        <w:t xml:space="preserve"/>
      </w:r>
    </w:p>
    <w:p>
      <w:pPr>
        <w:spacing w:after="140" w:line="276"/>
      </w:pPr>
      <w:r>
        <w:rPr>
          <w:b/>
          <w:bCs/>
        </w:rPr>
        <w:t xml:space="preserve">Bottom line. </w:t>
      </w:r>
      <w:r>
        <w:t xml:space="preserve">Your first 90 days buy the right to the next 90. If by day 90 the strategy is approved, the governance spine is in place, two pilots are running on real hypotheses, and Tim is holding a narrative he can take to Trinity Hunt - you have proven the model and earned the cadence. Everything after that is the loop tightening quarter over quarter.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360"/>
      </w:tabs>
    </w:pPr>
    <w:r>
      <w:rPr>
        <w:color w:val="595959"/>
        <w:sz w:val="16"/>
        <w:szCs w:val="16"/>
      </w:rPr>
      <w:t xml:space="preserve">Springline · Fractional CAIO Game Plan · Improving - Confidential</w:t>
    </w:r>
    <w:r>
      <w:rPr>
        <w:color w:val="595959"/>
        <w:sz w:val="16"/>
        <w:szCs w:val="16"/>
      </w:rPr>
      <w:t xml:space="preserve">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2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2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Springline Fractional CAIO - Engagement Game Plan</dc:title>
  <dc:creator>David O'Hara - Improving</dc:creator>
  <cp:lastModifiedBy>Un-named</cp:lastModifiedBy>
  <cp:revision>1</cp:revision>
  <dcterms:created xsi:type="dcterms:W3CDTF">2026-06-18T19:25:36.985Z</dcterms:created>
  <dcterms:modified xsi:type="dcterms:W3CDTF">2026-06-18T19:25:36.985Z</dcterms:modified>
</cp:coreProperties>
</file>

<file path=docProps/custom.xml><?xml version="1.0" encoding="utf-8"?>
<Properties xmlns="http://schemas.openxmlformats.org/officeDocument/2006/custom-properties" xmlns:vt="http://schemas.openxmlformats.org/officeDocument/2006/docPropsVTypes"/>
</file>