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F32EF" w14:textId="77777777" w:rsidR="00AF2B4D" w:rsidRDefault="00B33065">
      <w:r>
        <w:rPr>
          <w:rFonts w:ascii="Georgia" w:hAnsi="Georgia"/>
          <w:b/>
          <w:color w:val="012756"/>
          <w:sz w:val="40"/>
        </w:rPr>
        <w:t>Systemic Compliance: SC.IMS + SC.ORB</w:t>
      </w:r>
    </w:p>
    <w:p w14:paraId="5A01BC3C" w14:textId="77777777" w:rsidR="00AF2B4D" w:rsidRDefault="00B33065">
      <w:r>
        <w:rPr>
          <w:color w:val="295D9D"/>
          <w:sz w:val="24"/>
        </w:rPr>
        <w:t>What we have, what it does, the markets, and the strategy to maximize value</w:t>
      </w:r>
    </w:p>
    <w:p w14:paraId="0F9F3998" w14:textId="77777777" w:rsidR="00AF2B4D" w:rsidRDefault="00B33065">
      <w:pPr>
        <w:spacing w:after="160"/>
      </w:pPr>
      <w:r>
        <w:rPr>
          <w:color w:val="666666"/>
          <w:sz w:val="19"/>
        </w:rPr>
        <w:t>Briefing prepared for David O'Hara, Improving  |  2026-07-08  |  Internal / Confidential</w:t>
      </w:r>
    </w:p>
    <w:p w14:paraId="6A712FFE" w14:textId="77777777" w:rsidR="00AF2B4D" w:rsidRDefault="00B33065">
      <w:pPr>
        <w:spacing w:after="120"/>
      </w:pPr>
      <w:r>
        <w:rPr>
          <w:i/>
          <w:color w:val="666666"/>
          <w:sz w:val="21"/>
        </w:rPr>
        <w:t xml:space="preserve">Purpose. This briefing gives you a complete picture of what Systemic Compliance (SC) has built between SC.IMS (the framework and IP) and SC.ORB (the platform), what the combination can accomplish, the markets it can serve, and our strategy to grow the business and maximize enterprise value. The goal of our meeting is your guidance on three things: how best to integrate SC.IMS and SC.ORB into a scalable product, how to position what we have for the greatest marketing potential, and how to maximize the value </w:t>
      </w:r>
      <w:r>
        <w:rPr>
          <w:i/>
          <w:color w:val="666666"/>
          <w:sz w:val="21"/>
        </w:rPr>
        <w:t>of the company.</w:t>
      </w:r>
    </w:p>
    <w:p w14:paraId="134B10D2" w14:textId="77777777" w:rsidR="00AF2B4D" w:rsidRDefault="00B33065">
      <w:pPr>
        <w:spacing w:before="240" w:after="80"/>
      </w:pPr>
      <w:r>
        <w:rPr>
          <w:rFonts w:ascii="Georgia" w:hAnsi="Georgia"/>
          <w:b/>
          <w:color w:val="012756"/>
          <w:sz w:val="30"/>
        </w:rPr>
        <w:t>1. The thesis: compliance should be systemic</w:t>
      </w:r>
    </w:p>
    <w:p w14:paraId="41D11132" w14:textId="77777777" w:rsidR="00AF2B4D" w:rsidRDefault="00B33065">
      <w:pPr>
        <w:spacing w:after="120"/>
      </w:pPr>
      <w:r>
        <w:rPr>
          <w:sz w:val="21"/>
        </w:rPr>
        <w:t>Compliance today is fragmented: requirements live in one place, procedures in another, records in a third, and training in a fourth, so a change in one place is rarely reflected everywhere it matters. SC's thesis is that compliance should be systemic - one connected system where every record keeps a permanent link to the requirement that justifies it, and a change ripples automatically to everything it touches. We proved the thesis first in pipeline safety, the most requirement-dense, contractor-heavy, mult</w:t>
      </w:r>
      <w:r>
        <w:rPr>
          <w:sz w:val="21"/>
        </w:rPr>
        <w:t>i-jurisdiction corner of the market.</w:t>
      </w:r>
    </w:p>
    <w:p w14:paraId="0C8D7AE4" w14:textId="77777777" w:rsidR="00AF2B4D" w:rsidRDefault="00B33065">
      <w:pPr>
        <w:spacing w:before="240" w:after="80"/>
      </w:pPr>
      <w:r>
        <w:rPr>
          <w:rFonts w:ascii="Georgia" w:hAnsi="Georgia"/>
          <w:b/>
          <w:color w:val="012756"/>
          <w:sz w:val="30"/>
        </w:rPr>
        <w:t>2. What SC is: a compliance operating system, proven first in pipeline safety</w:t>
      </w:r>
    </w:p>
    <w:p w14:paraId="2AB03A7F" w14:textId="77777777" w:rsidR="00AF2B4D" w:rsidRDefault="00B33065">
      <w:pPr>
        <w:spacing w:after="120"/>
      </w:pPr>
      <w:r>
        <w:rPr>
          <w:sz w:val="21"/>
        </w:rPr>
        <w:t>SC is not a pipeline-compliance consultancy that happens to have software. SC is a vertical-agnostic compliance operating system whose first instantiation is pipeline safety. Pipeline safety is the proof instance and the cash engine; the asset underneath is the system. That framing matters for value: a buyer underwrites a much larger market and a longer runway for a portable compliance operating system than for the best single-vertical firm. Concretely, SC is a stack of separable assets:</w:t>
      </w:r>
    </w:p>
    <w:p w14:paraId="45C0E06B" w14:textId="77777777" w:rsidR="00AF2B4D" w:rsidRDefault="00B33065">
      <w:pPr>
        <w:pStyle w:val="ListBullet"/>
        <w:spacing w:after="60"/>
      </w:pPr>
      <w:r>
        <w:rPr>
          <w:sz w:val="21"/>
        </w:rPr>
        <w:t>The IP and framework (SC.IMS): the regulatory-linkage engine, the MOC ripple engine, the gap-analysis method, the Competence Architect training engine, the Competence &amp; Progression Framework, and the peer-benchmarking corpus.</w:t>
      </w:r>
    </w:p>
    <w:p w14:paraId="136E5140" w14:textId="77777777" w:rsidR="00AF2B4D" w:rsidRDefault="00B33065">
      <w:pPr>
        <w:pStyle w:val="ListBullet"/>
        <w:spacing w:after="60"/>
      </w:pPr>
      <w:r>
        <w:rPr>
          <w:sz w:val="21"/>
        </w:rPr>
        <w:t>The platform (SC.ORB) and its recurring revenue.</w:t>
      </w:r>
    </w:p>
    <w:p w14:paraId="0A2FB8B4" w14:textId="77777777" w:rsidR="00AF2B4D" w:rsidRDefault="00B33065">
      <w:pPr>
        <w:pStyle w:val="ListBullet"/>
        <w:spacing w:after="60"/>
      </w:pPr>
      <w:r>
        <w:rPr>
          <w:sz w:val="21"/>
        </w:rPr>
        <w:t>The services and consulting lines (the cash engine): roughly thirty priced deliverables, Co-Source, and training/LMS.</w:t>
      </w:r>
    </w:p>
    <w:p w14:paraId="63CD8A8F" w14:textId="77777777" w:rsidR="00AF2B4D" w:rsidRDefault="00B33065">
      <w:pPr>
        <w:spacing w:before="240" w:after="80"/>
      </w:pPr>
      <w:r>
        <w:rPr>
          <w:rFonts w:ascii="Georgia" w:hAnsi="Georgia"/>
          <w:b/>
          <w:color w:val="012756"/>
          <w:sz w:val="30"/>
        </w:rPr>
        <w:t>3. SC.IMS - the framework and the intellectual property</w:t>
      </w:r>
    </w:p>
    <w:p w14:paraId="5F49807D" w14:textId="77777777" w:rsidR="00AF2B4D" w:rsidRDefault="00B33065">
      <w:pPr>
        <w:spacing w:after="120"/>
      </w:pPr>
      <w:r>
        <w:rPr>
          <w:sz w:val="21"/>
        </w:rPr>
        <w:t>SC.IMS is the operating-system logic: the connected model of requirements, procedures, records, competence, and change. Its core engines are the defensible IP:</w:t>
      </w:r>
    </w:p>
    <w:p w14:paraId="21D334DF" w14:textId="77777777" w:rsidR="00AF2B4D" w:rsidRDefault="00B33065">
      <w:pPr>
        <w:pStyle w:val="ListBullet"/>
        <w:spacing w:after="60"/>
      </w:pPr>
      <w:r>
        <w:rPr>
          <w:sz w:val="21"/>
        </w:rPr>
        <w:t>Regulatory-linkage / crosswalk engine.</w:t>
      </w:r>
    </w:p>
    <w:p w14:paraId="3EA01359" w14:textId="77777777" w:rsidR="00AF2B4D" w:rsidRDefault="00B33065">
      <w:pPr>
        <w:spacing w:after="80"/>
      </w:pPr>
      <w:r>
        <w:rPr>
          <w:sz w:val="20"/>
        </w:rPr>
        <w:t xml:space="preserve">A curated, cross-standard, multi-state regulatory-requirements graph (internal count on the order of 750 entities and ~1,066 typed links; exact figures being verified before external use). It ties covered tasks, CFR </w:t>
      </w:r>
      <w:r>
        <w:rPr>
          <w:sz w:val="20"/>
        </w:rPr>
        <w:lastRenderedPageBreak/>
        <w:t>citations, consensus standards, obligations, procedures, and roles together, so requirement-to-record traceability is a byproduct. This is the single most defensible piece of IP.</w:t>
      </w:r>
    </w:p>
    <w:p w14:paraId="1E1309FC" w14:textId="77777777" w:rsidR="00AF2B4D" w:rsidRDefault="00B33065">
      <w:pPr>
        <w:pStyle w:val="ListBullet"/>
        <w:spacing w:after="60"/>
      </w:pPr>
      <w:r>
        <w:rPr>
          <w:sz w:val="21"/>
        </w:rPr>
        <w:t>MOC ripple engine.</w:t>
      </w:r>
    </w:p>
    <w:p w14:paraId="5B72DB6B" w14:textId="77777777" w:rsidR="00AF2B4D" w:rsidRDefault="00B33065">
      <w:pPr>
        <w:spacing w:after="80"/>
      </w:pPr>
      <w:r>
        <w:rPr>
          <w:sz w:val="20"/>
        </w:rPr>
        <w:t>Given a proposed change, it traverses the graph and predicts every upstream driver, downstream dependent, and related item, each labeled with the link that explains the dependency - the 'change in one place is a change everywhere it matters' capability, delivered as a working tool with a full closed-loop lifecycle and audit trail.</w:t>
      </w:r>
    </w:p>
    <w:p w14:paraId="60586DAA" w14:textId="77777777" w:rsidR="00AF2B4D" w:rsidRDefault="00B33065">
      <w:pPr>
        <w:pStyle w:val="ListBullet"/>
        <w:spacing w:after="60"/>
      </w:pPr>
      <w:r>
        <w:rPr>
          <w:sz w:val="21"/>
        </w:rPr>
        <w:t>Competence Architect.</w:t>
      </w:r>
    </w:p>
    <w:p w14:paraId="3B73EBC6" w14:textId="77777777" w:rsidR="00AF2B4D" w:rsidRDefault="00B33065">
      <w:pPr>
        <w:spacing w:after="80"/>
      </w:pPr>
      <w:r>
        <w:rPr>
          <w:sz w:val="20"/>
        </w:rPr>
        <w:t>A training-generation engine: one authored Training Object per task or topic renders every delivery vehicle (instructor-led, self-study, on-the-job, participant workbook, exam, and interactive CBT) plus decks, built to the operator's own procedure over the regulatory floor, with generated house graphics.</w:t>
      </w:r>
    </w:p>
    <w:p w14:paraId="6928DCAD" w14:textId="77777777" w:rsidR="00AF2B4D" w:rsidRDefault="00B33065">
      <w:pPr>
        <w:pStyle w:val="ListBullet"/>
        <w:spacing w:after="60"/>
      </w:pPr>
      <w:r>
        <w:rPr>
          <w:sz w:val="21"/>
        </w:rPr>
        <w:t>Competence &amp; Progression Framework (CPF).</w:t>
      </w:r>
    </w:p>
    <w:p w14:paraId="5FA6B934" w14:textId="77777777" w:rsidR="00AF2B4D" w:rsidRDefault="00B33065">
      <w:pPr>
        <w:spacing w:after="80"/>
      </w:pPr>
      <w:r>
        <w:rPr>
          <w:sz w:val="20"/>
        </w:rPr>
        <w:t>The most portable, least pipeline-dependent IP SC owns - the concrete answer to what SC carries into a new vertical (rail, power, chemical).</w:t>
      </w:r>
    </w:p>
    <w:p w14:paraId="1A1BF05C" w14:textId="77777777" w:rsidR="00AF2B4D" w:rsidRDefault="00B33065">
      <w:pPr>
        <w:pStyle w:val="ListBullet"/>
        <w:spacing w:after="60"/>
      </w:pPr>
      <w:r>
        <w:rPr>
          <w:sz w:val="21"/>
        </w:rPr>
        <w:t>Gap-analysis method + peer-benchmarking corpus.</w:t>
      </w:r>
    </w:p>
    <w:p w14:paraId="3CE0C58D" w14:textId="77777777" w:rsidR="00AF2B4D" w:rsidRDefault="00B33065">
      <w:pPr>
        <w:spacing w:after="80"/>
      </w:pPr>
      <w:r>
        <w:rPr>
          <w:sz w:val="20"/>
        </w:rPr>
        <w:t>A source-traceable gap-analysis method (per requirement, per covered task) and an accreting, de-identified operator-to-operator benchmarking corpus that gets stronger with every engagement.</w:t>
      </w:r>
    </w:p>
    <w:p w14:paraId="16077AAE" w14:textId="77777777" w:rsidR="00AF2B4D" w:rsidRDefault="00B33065">
      <w:pPr>
        <w:spacing w:before="240" w:after="80"/>
      </w:pPr>
      <w:r>
        <w:rPr>
          <w:rFonts w:ascii="Georgia" w:hAnsi="Georgia"/>
          <w:b/>
          <w:color w:val="012756"/>
          <w:sz w:val="30"/>
        </w:rPr>
        <w:t>4. SC.ORB - the platform</w:t>
      </w:r>
    </w:p>
    <w:p w14:paraId="37FA317D" w14:textId="77777777" w:rsidR="00AF2B4D" w:rsidRDefault="00B33065">
      <w:pPr>
        <w:spacing w:after="120"/>
      </w:pPr>
      <w:r>
        <w:rPr>
          <w:sz w:val="21"/>
        </w:rPr>
        <w:t>SC.ORB is the software that operationalizes the framework at scale for multi-user, automated delivery. The authoritative inventory is 65 features across 18 business areas (build status today: 35 built, 8 in progress, 22 planned; 'planned' features are in scope, not out). The 18 areas:</w:t>
      </w:r>
    </w:p>
    <w:p w14:paraId="14495ECE" w14:textId="77777777" w:rsidR="00AF2B4D" w:rsidRDefault="00B33065">
      <w:pPr>
        <w:spacing w:after="120"/>
      </w:pPr>
      <w:r>
        <w:rPr>
          <w:sz w:val="20"/>
        </w:rPr>
        <w:t>Platform Foundation; Company &amp; People Management; Onboarding &amp; Subscriptions; Access &amp; Security; Operator Qualification; ORB / Requirements Repository; Management of Change; Safe Work Permit; Drug &amp; Alcohol; Certificates of Insurance; SC.ORBoard (dashboards); SC-Score; LMS; Audits; Notifications; AI Assistance; Demo Readiness; Production Readiness.</w:t>
      </w:r>
    </w:p>
    <w:p w14:paraId="5DC6C8DF" w14:textId="77777777" w:rsidR="00AF2B4D" w:rsidRDefault="00B33065">
      <w:pPr>
        <w:spacing w:after="120"/>
      </w:pPr>
      <w:r>
        <w:rPr>
          <w:sz w:val="20"/>
        </w:rPr>
        <w:t>Commercially, SC.ORB is the recurring core, sold on an operator-funded model: an internal rate of $98 per records-bearing worker per year (contractors are not charged a recurring fee to stay in the system), plus a banded platform license by contractor-company count. A representative operator baseline in the current model is about $70,000 per year. (Figures are internal/confidential and drawn from the adopted quote tool.)</w:t>
      </w:r>
    </w:p>
    <w:p w14:paraId="2E14EA28" w14:textId="77777777" w:rsidR="00AF2B4D" w:rsidRDefault="00B33065">
      <w:pPr>
        <w:spacing w:before="240" w:after="80"/>
      </w:pPr>
      <w:r>
        <w:rPr>
          <w:rFonts w:ascii="Georgia" w:hAnsi="Georgia"/>
          <w:b/>
          <w:color w:val="012756"/>
          <w:sz w:val="30"/>
        </w:rPr>
        <w:t>5. How SC.IMS and SC.ORB fit together (the integration opportunity)</w:t>
      </w:r>
    </w:p>
    <w:p w14:paraId="7367BD85" w14:textId="77777777" w:rsidR="00AF2B4D" w:rsidRDefault="00B33065">
      <w:pPr>
        <w:spacing w:after="120"/>
      </w:pPr>
      <w:r>
        <w:rPr>
          <w:sz w:val="21"/>
        </w:rPr>
        <w:t xml:space="preserve">SC.IMS is where the intelligence lives; SC.ORB is how it is delivered at scale. Today several of the framework's engines exist as rigorous, human-run capability (the linkage engine, the MOC ripple tool, Competence Architect, peer-benchmarking). The value-multiplying step - and the core of what we would value your guidance on - is productizing those engines into SC.ORB so they run multi-user, automated, and at scale: the linkage graph as the platform's requirements backbone, the MOC ripple engine as the MOC </w:t>
      </w:r>
      <w:r>
        <w:rPr>
          <w:sz w:val="21"/>
        </w:rPr>
        <w:t>module, Competence Architect as the training/LMS engine, and peer-</w:t>
      </w:r>
      <w:r>
        <w:rPr>
          <w:sz w:val="21"/>
        </w:rPr>
        <w:lastRenderedPageBreak/>
        <w:t>benchmarking as a data product. Integration is what turns bespoke expertise into durable, sellable software and recurring revenue.</w:t>
      </w:r>
    </w:p>
    <w:p w14:paraId="6DDE91F9" w14:textId="77777777" w:rsidR="00AF2B4D" w:rsidRDefault="00B33065">
      <w:pPr>
        <w:spacing w:before="240" w:after="80"/>
      </w:pPr>
      <w:r>
        <w:rPr>
          <w:rFonts w:ascii="Georgia" w:hAnsi="Georgia"/>
          <w:b/>
          <w:color w:val="012756"/>
          <w:sz w:val="30"/>
        </w:rPr>
        <w:t>6. What we sell: four front doors, one connected system</w:t>
      </w:r>
    </w:p>
    <w:p w14:paraId="0E92E4A3" w14:textId="77777777" w:rsidR="00AF2B4D" w:rsidRDefault="00B33065">
      <w:pPr>
        <w:spacing w:after="120"/>
      </w:pPr>
      <w:r>
        <w:rPr>
          <w:sz w:val="21"/>
        </w:rPr>
        <w:t>The catalog is deep, but it presents as four front doors, one connected system. Each door is standalone-valuable and connects to the others within the same system:</w:t>
      </w:r>
    </w:p>
    <w:p w14:paraId="3459F956" w14:textId="77777777" w:rsidR="00AF2B4D" w:rsidRDefault="00B33065">
      <w:pPr>
        <w:pStyle w:val="ListBullet"/>
        <w:spacing w:after="60"/>
      </w:pPr>
      <w:r>
        <w:rPr>
          <w:sz w:val="21"/>
        </w:rPr>
        <w:t>Contractor Management - your contractors qualified to your procedures, with SWP, D&amp;A, and COI enforced on SC.ORB; expands into more modules toward a full PSMS.</w:t>
      </w:r>
    </w:p>
    <w:p w14:paraId="7ABF33F3" w14:textId="77777777" w:rsidR="00AF2B4D" w:rsidRDefault="00B33065">
      <w:pPr>
        <w:pStyle w:val="ListBullet"/>
        <w:spacing w:after="60"/>
      </w:pPr>
      <w:r>
        <w:rPr>
          <w:sz w:val="21"/>
        </w:rPr>
        <w:t>Training &amp; Competence - a competence framework and operator-specific courses in four formats with equivalency crediting, in your LMS or ours.</w:t>
      </w:r>
    </w:p>
    <w:p w14:paraId="1438FE12" w14:textId="77777777" w:rsidR="00AF2B4D" w:rsidRDefault="00B33065">
      <w:pPr>
        <w:pStyle w:val="ListBullet"/>
        <w:spacing w:after="60"/>
      </w:pPr>
      <w:r>
        <w:rPr>
          <w:sz w:val="21"/>
        </w:rPr>
        <w:t>Consulting - scoped senior expertise across 49 CFR 190-199 for a specific deadline, inspection, or gap.</w:t>
      </w:r>
    </w:p>
    <w:p w14:paraId="6977B7B4" w14:textId="77777777" w:rsidR="00AF2B4D" w:rsidRDefault="00B33065">
      <w:pPr>
        <w:pStyle w:val="ListBullet"/>
        <w:spacing w:after="60"/>
      </w:pPr>
      <w:r>
        <w:rPr>
          <w:sz w:val="21"/>
        </w:rPr>
        <w:t>PSMS / IMS build and assessment readiness - conformance scorecards and a remediation roadmap, expanding to the full integrated management system.</w:t>
      </w:r>
    </w:p>
    <w:p w14:paraId="30CF52F4" w14:textId="77777777" w:rsidR="00AF2B4D" w:rsidRDefault="00B33065">
      <w:pPr>
        <w:spacing w:after="120"/>
      </w:pPr>
      <w:r>
        <w:rPr>
          <w:sz w:val="21"/>
        </w:rPr>
        <w:t>The connected system underneath all four is SC.ORB (the recurring platform) plus Co-Source (a four-tier managed-compliance subscription: Foundation, Essential, Managed, Embedded). Consulting lands the relationship and generates cash; the subscription is the asset a buyer pays a premium for. Every engagement starts with a Phase-0 assessment and is filed into its right place in the operator's IMS - standalone today, ready to integrate. A low-friction on-ramp is the gap-analysis variant of any deliverable at r</w:t>
      </w:r>
      <w:r>
        <w:rPr>
          <w:sz w:val="21"/>
        </w:rPr>
        <w:t>oughly 30 percent of build cost.</w:t>
      </w:r>
    </w:p>
    <w:p w14:paraId="1CAE16F6" w14:textId="77777777" w:rsidR="00AF2B4D" w:rsidRDefault="00B33065">
      <w:pPr>
        <w:spacing w:before="240" w:after="80"/>
      </w:pPr>
      <w:r>
        <w:rPr>
          <w:rFonts w:ascii="Georgia" w:hAnsi="Georgia"/>
          <w:b/>
          <w:color w:val="012756"/>
          <w:sz w:val="30"/>
        </w:rPr>
        <w:t>7. The pricing disruption (the message, not a footnote)</w:t>
      </w:r>
    </w:p>
    <w:p w14:paraId="5DB3974F" w14:textId="77777777" w:rsidR="00AF2B4D" w:rsidRDefault="00B33065">
      <w:pPr>
        <w:pStyle w:val="ListBullet"/>
        <w:spacing w:after="60"/>
      </w:pPr>
      <w:r>
        <w:rPr>
          <w:sz w:val="21"/>
        </w:rPr>
        <w:t>Fixed-price, value-based consulting instead of the industry's time-and-materials culture.</w:t>
      </w:r>
    </w:p>
    <w:p w14:paraId="4DC09787" w14:textId="77777777" w:rsidR="00AF2B4D" w:rsidRDefault="00B33065">
      <w:pPr>
        <w:pStyle w:val="ListBullet"/>
        <w:spacing w:after="60"/>
      </w:pPr>
      <w:r>
        <w:rPr>
          <w:sz w:val="21"/>
        </w:rPr>
        <w:t>Operator-funded platform instead of the contractor-pays incumbents (Veriforce, ISN). Moving who pays removes the switching cost and frees the contractor - something incumbents whose revenue depends on charging contractors cannot copy.</w:t>
      </w:r>
    </w:p>
    <w:p w14:paraId="7081EA1C" w14:textId="77777777" w:rsidR="00AF2B4D" w:rsidRDefault="00B33065">
      <w:pPr>
        <w:pStyle w:val="ListBullet"/>
        <w:spacing w:after="60"/>
      </w:pPr>
      <w:r>
        <w:rPr>
          <w:sz w:val="21"/>
        </w:rPr>
        <w:t>Co-Source: priced on value, costed on capacity - a fractional compliance department instead of a single hire.</w:t>
      </w:r>
    </w:p>
    <w:p w14:paraId="42FF2CBB" w14:textId="77777777" w:rsidR="00AF2B4D" w:rsidRDefault="00B33065">
      <w:pPr>
        <w:spacing w:after="120"/>
      </w:pPr>
      <w:r>
        <w:rPr>
          <w:sz w:val="21"/>
        </w:rPr>
        <w:t>These combine into a two-sided demand loop: contractors become distribution rather than cost (they carry SC to the next operator), and consulting manufactures the pull into the platform.</w:t>
      </w:r>
    </w:p>
    <w:p w14:paraId="5263E5D0" w14:textId="77777777" w:rsidR="00AF2B4D" w:rsidRDefault="00B33065">
      <w:pPr>
        <w:spacing w:before="240" w:after="80"/>
      </w:pPr>
      <w:r>
        <w:rPr>
          <w:rFonts w:ascii="Georgia" w:hAnsi="Georgia"/>
          <w:b/>
          <w:color w:val="012756"/>
          <w:sz w:val="30"/>
        </w:rPr>
        <w:t>8. Markets</w:t>
      </w:r>
    </w:p>
    <w:p w14:paraId="5D743B45" w14:textId="77777777" w:rsidR="00AF2B4D" w:rsidRDefault="00B33065">
      <w:pPr>
        <w:spacing w:after="120"/>
      </w:pPr>
      <w:r>
        <w:rPr>
          <w:sz w:val="21"/>
        </w:rPr>
        <w:t>Beachhead: U.S. pipeline operators - gas transmission, midstream, hazardous-liquid, and gas distribution (LDC) - plus the contractors who serve them and the trade associations that convene them. Best-fit qualifying signals: regulatory intensity, contractor-heaviness (the larger the contractor workforce, the larger the platform value), multi-state footprint (drives the full IMS and the single-course multi-jurisdiction training advantage), and incumbent platform (anyone on Veriforce or ISN is a switch target)</w:t>
      </w:r>
      <w:r>
        <w:rPr>
          <w:sz w:val="21"/>
        </w:rPr>
        <w:t>. The live pipeline already spans these segments, with near-term reference logos and a flagship account in progress.</w:t>
      </w:r>
    </w:p>
    <w:p w14:paraId="4F12B6AF" w14:textId="77777777" w:rsidR="00AF2B4D" w:rsidRDefault="00B33065">
      <w:pPr>
        <w:spacing w:after="120"/>
      </w:pPr>
      <w:r>
        <w:rPr>
          <w:sz w:val="21"/>
        </w:rPr>
        <w:lastRenderedPageBreak/>
        <w:t>Adjacency and portability: because the linkage engine and the CPF are vertical-agnostic, the same operating system extends to other heavily regulated verticals - rail, power, chemical, and beyond - which is what makes the addressable market, and the valuation multiple, materially larger than pipeline alone.</w:t>
      </w:r>
    </w:p>
    <w:p w14:paraId="1BF731A4" w14:textId="77777777" w:rsidR="00AF2B4D" w:rsidRDefault="00B33065">
      <w:pPr>
        <w:spacing w:before="240" w:after="80"/>
      </w:pPr>
      <w:r>
        <w:rPr>
          <w:rFonts w:ascii="Georgia" w:hAnsi="Georgia"/>
          <w:b/>
          <w:color w:val="012756"/>
          <w:sz w:val="30"/>
        </w:rPr>
        <w:t>9. Strategy: growth and maximizing the value of SC</w:t>
      </w:r>
    </w:p>
    <w:p w14:paraId="753820CA" w14:textId="77777777" w:rsidR="00AF2B4D" w:rsidRDefault="00B33065">
      <w:pPr>
        <w:spacing w:after="120"/>
      </w:pPr>
      <w:r>
        <w:rPr>
          <w:sz w:val="21"/>
        </w:rPr>
        <w:t>The objective is enterprise value in three to four years, with optionality preserved. The flywheel: use fixed-price consulting cash to fund the recurring-revenue (ARR) build and the operational de-risking, rather than treating consulting as the destination. The value drivers we are deliberately building: recurring revenue, a defensible moat (the linkage IP and the operator-funded model), clean and separable IP, operations that do not depend on the founder, and a documented, portable framework.</w:t>
      </w:r>
    </w:p>
    <w:p w14:paraId="054ED8C7" w14:textId="77777777" w:rsidR="00AF2B4D" w:rsidRDefault="00B33065">
      <w:pPr>
        <w:spacing w:before="120" w:after="40"/>
      </w:pPr>
      <w:r>
        <w:rPr>
          <w:b/>
          <w:color w:val="295D9D"/>
        </w:rPr>
        <w:t>Three exit doors we keep open</w:t>
      </w:r>
    </w:p>
    <w:p w14:paraId="3CDEF347" w14:textId="77777777" w:rsidR="00AF2B4D" w:rsidRDefault="00B33065">
      <w:pPr>
        <w:pStyle w:val="ListBullet"/>
        <w:spacing w:after="60"/>
      </w:pPr>
      <w:r>
        <w:rPr>
          <w:sz w:val="21"/>
        </w:rPr>
        <w:t>Sale of the whole company.</w:t>
      </w:r>
    </w:p>
    <w:p w14:paraId="5027D258" w14:textId="77777777" w:rsidR="00AF2B4D" w:rsidRDefault="00B33065">
      <w:pPr>
        <w:pStyle w:val="ListBullet"/>
        <w:spacing w:after="60"/>
      </w:pPr>
      <w:r>
        <w:rPr>
          <w:sz w:val="21"/>
        </w:rPr>
        <w:t>License of part of the IP or structure to an acquirer (the linkage dataset/graph is the natural candidate).</w:t>
      </w:r>
    </w:p>
    <w:p w14:paraId="22BD54DC" w14:textId="77777777" w:rsidR="00AF2B4D" w:rsidRDefault="00B33065">
      <w:pPr>
        <w:pStyle w:val="ListBullet"/>
        <w:spacing w:after="60"/>
      </w:pPr>
      <w:r>
        <w:rPr>
          <w:sz w:val="21"/>
        </w:rPr>
        <w:t>A new venture that repurposes the framework for a different regulated vertical (the CPF is what travels).</w:t>
      </w:r>
    </w:p>
    <w:p w14:paraId="546D3C0F" w14:textId="77777777" w:rsidR="00AF2B4D" w:rsidRDefault="00B33065">
      <w:pPr>
        <w:spacing w:before="120" w:after="40"/>
      </w:pPr>
      <w:r>
        <w:rPr>
          <w:b/>
          <w:color w:val="295D9D"/>
        </w:rPr>
        <w:t>Crown-jewel, separately valuable IP</w:t>
      </w:r>
    </w:p>
    <w:p w14:paraId="7DA5F7DE" w14:textId="77777777" w:rsidR="00AF2B4D" w:rsidRDefault="00B33065">
      <w:pPr>
        <w:spacing w:after="120"/>
      </w:pPr>
      <w:r>
        <w:rPr>
          <w:sz w:val="20"/>
        </w:rPr>
        <w:t>The regulatory-intelligence dataset and multi-standard linkage graph (most defensible; the license door); the CPF (most portable; the new-vertical door); the MOC ripple engine; Competence Architect; and the peer-benchmarking corpus. The same fundamentals serve all three doors, so SC does not have to bet on one exit shape now - the job is to build the fundamentals and keep the doors open.</w:t>
      </w:r>
    </w:p>
    <w:p w14:paraId="6322F97B" w14:textId="77777777" w:rsidR="00AF2B4D" w:rsidRDefault="00B33065">
      <w:pPr>
        <w:spacing w:before="240" w:after="80"/>
      </w:pPr>
      <w:r>
        <w:rPr>
          <w:rFonts w:ascii="Georgia" w:hAnsi="Georgia"/>
          <w:b/>
          <w:color w:val="012756"/>
          <w:sz w:val="30"/>
        </w:rPr>
        <w:t>10. Where we would value Improving's guidance</w:t>
      </w:r>
    </w:p>
    <w:p w14:paraId="4FC9CB02" w14:textId="77777777" w:rsidR="00AF2B4D" w:rsidRDefault="00B33065">
      <w:pPr>
        <w:pStyle w:val="ListBullet"/>
        <w:spacing w:after="60"/>
      </w:pPr>
      <w:r>
        <w:rPr>
          <w:sz w:val="21"/>
        </w:rPr>
        <w:t>Integration architecture and roadmap - how to productize the SC.IMS engines (linkage graph, MOC ripple, Competence Architect, peer-benchmarking) into SC.ORB, sequencing, and build-vs-buy.</w:t>
      </w:r>
    </w:p>
    <w:p w14:paraId="0B7DF814" w14:textId="77777777" w:rsidR="00AF2B4D" w:rsidRDefault="00B33065">
      <w:pPr>
        <w:pStyle w:val="ListBullet"/>
        <w:spacing w:after="60"/>
      </w:pPr>
      <w:r>
        <w:rPr>
          <w:sz w:val="21"/>
        </w:rPr>
        <w:t>Positioning for the greatest marketing potential - how to tell the 'compliance operating system' story to maximize category leadership and pull.</w:t>
      </w:r>
    </w:p>
    <w:p w14:paraId="7AA2BD67" w14:textId="77777777" w:rsidR="00AF2B4D" w:rsidRDefault="00B33065">
      <w:pPr>
        <w:pStyle w:val="ListBullet"/>
        <w:spacing w:after="60"/>
      </w:pPr>
      <w:r>
        <w:rPr>
          <w:sz w:val="21"/>
        </w:rPr>
        <w:t>Maximizing company value - product, data, and IP structure that supports the highest multiple and the widest set of exit options.</w:t>
      </w:r>
    </w:p>
    <w:p w14:paraId="504903B7" w14:textId="77777777" w:rsidR="00AF2B4D" w:rsidRDefault="00B33065">
      <w:pPr>
        <w:pStyle w:val="ListBullet"/>
        <w:spacing w:after="60"/>
      </w:pPr>
      <w:r>
        <w:rPr>
          <w:sz w:val="21"/>
        </w:rPr>
        <w:t>AI architecture for delivering and operating the services - how best to structure SC's use of AI, including a path to a closed / private AI environment and/or a practical, secure hybrid approach that protects client data and SC's proprietary IP (the linkage graph, methods, and content) while preserving the speed advantage.</w:t>
      </w:r>
    </w:p>
    <w:p w14:paraId="1C206185" w14:textId="77777777" w:rsidR="00AF2B4D" w:rsidRDefault="00B33065">
      <w:pPr>
        <w:spacing w:after="40"/>
      </w:pPr>
      <w:r>
        <w:rPr>
          <w:i/>
          <w:color w:val="666666"/>
          <w:sz w:val="18"/>
        </w:rPr>
        <w:t>Honesty notes: SC.ORB is in active build (launching 2026); feature statuses reflect build progress, not scope. Pricing and the linkage-graph counts are internal figures to confirm before any external use. We make no savings-percentage or market-size claims here. SC is not a law firm; nothing here is legal advice.</w:t>
      </w:r>
    </w:p>
    <w:sectPr w:rsidR="00AF2B4D"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9CD40" w14:textId="77777777" w:rsidR="00B33065" w:rsidRDefault="00B33065">
      <w:pPr>
        <w:spacing w:after="0" w:line="240" w:lineRule="auto"/>
      </w:pPr>
      <w:r>
        <w:separator/>
      </w:r>
    </w:p>
  </w:endnote>
  <w:endnote w:type="continuationSeparator" w:id="0">
    <w:p w14:paraId="42D8BE28" w14:textId="77777777" w:rsidR="00B33065" w:rsidRDefault="00B33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D7C07" w14:textId="77777777" w:rsidR="00AF2B4D" w:rsidRDefault="00B33065">
    <w:pPr>
      <w:pStyle w:val="Footer"/>
      <w:jc w:val="center"/>
    </w:pPr>
    <w:r>
      <w:rPr>
        <w:color w:val="888888"/>
        <w:sz w:val="16"/>
      </w:rPr>
      <w:t xml:space="preserve">Systemic Compliance   |   SC.IMS + SC.ORB Briefing - Improving   |   Confidential   |   Page </w:t>
    </w:r>
    <w:r>
      <w:fldChar w:fldCharType="begin"/>
    </w:r>
    <w:r>
      <w:instrText>PAGE</w:instrText>
    </w:r>
    <w:r>
      <w:fldChar w:fldCharType="separate"/>
    </w:r>
    <w:r w:rsidR="003C110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0B900" w14:textId="77777777" w:rsidR="00B33065" w:rsidRDefault="00B33065">
      <w:pPr>
        <w:spacing w:after="0" w:line="240" w:lineRule="auto"/>
      </w:pPr>
      <w:r>
        <w:separator/>
      </w:r>
    </w:p>
  </w:footnote>
  <w:footnote w:type="continuationSeparator" w:id="0">
    <w:p w14:paraId="6A74C183" w14:textId="77777777" w:rsidR="00B33065" w:rsidRDefault="00B330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9DFD0" w14:textId="77777777" w:rsidR="00AF2B4D" w:rsidRDefault="00B33065">
    <w:pPr>
      <w:pStyle w:val="Header"/>
    </w:pPr>
    <w:r>
      <w:rPr>
        <w:noProof/>
      </w:rPr>
      <w:drawing>
        <wp:inline distT="0" distB="0" distL="0" distR="0" wp14:anchorId="370D940F" wp14:editId="1EF5C5EA">
          <wp:extent cx="1554480" cy="5203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_Logo.png"/>
                  <pic:cNvPicPr/>
                </pic:nvPicPr>
                <pic:blipFill>
                  <a:blip r:embed="rId1"/>
                  <a:stretch>
                    <a:fillRect/>
                  </a:stretch>
                </pic:blipFill>
                <pic:spPr>
                  <a:xfrm>
                    <a:off x="0" y="0"/>
                    <a:ext cx="1554480" cy="52031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8296506">
    <w:abstractNumId w:val="8"/>
  </w:num>
  <w:num w:numId="2" w16cid:durableId="350759567">
    <w:abstractNumId w:val="6"/>
  </w:num>
  <w:num w:numId="3" w16cid:durableId="1451851536">
    <w:abstractNumId w:val="5"/>
  </w:num>
  <w:num w:numId="4" w16cid:durableId="90325731">
    <w:abstractNumId w:val="4"/>
  </w:num>
  <w:num w:numId="5" w16cid:durableId="444807117">
    <w:abstractNumId w:val="7"/>
  </w:num>
  <w:num w:numId="6" w16cid:durableId="1531381758">
    <w:abstractNumId w:val="3"/>
  </w:num>
  <w:num w:numId="7" w16cid:durableId="227769143">
    <w:abstractNumId w:val="2"/>
  </w:num>
  <w:num w:numId="8" w16cid:durableId="818691319">
    <w:abstractNumId w:val="1"/>
  </w:num>
  <w:num w:numId="9" w16cid:durableId="1157767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110A"/>
    <w:rsid w:val="00893CE6"/>
    <w:rsid w:val="00AA1D8D"/>
    <w:rsid w:val="00AF2B4D"/>
    <w:rsid w:val="00B3306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3E016"/>
  <w14:defaultImageDpi w14:val="300"/>
  <w15:docId w15:val="{EA9E891B-2C53-44E7-8DB1-CA21D5962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127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95D9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95D9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127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1678</Words>
  <Characters>9566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Graham</cp:lastModifiedBy>
  <cp:revision>2</cp:revision>
  <dcterms:created xsi:type="dcterms:W3CDTF">2026-07-08T12:01:00Z</dcterms:created>
  <dcterms:modified xsi:type="dcterms:W3CDTF">2026-07-08T12:01:00Z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a82a08c1-701f-4380-aa6c-3456714b9d48</vt:lpwstr>
  </property>
</Properties>
</file>