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A7A8" w14:textId="77777777" w:rsidR="00006930" w:rsidRDefault="00E065AB">
      <w:pPr>
        <w:spacing w:before="200" w:after="80"/>
      </w:pPr>
      <w:r>
        <w:rPr>
          <w:b/>
          <w:bCs/>
          <w:color w:val="1F4E79"/>
          <w:sz w:val="52"/>
          <w:szCs w:val="52"/>
        </w:rPr>
        <w:t>Engagement Proposal</w:t>
      </w:r>
    </w:p>
    <w:p w14:paraId="16C0A7A9" w14:textId="77777777" w:rsidR="00006930" w:rsidRDefault="00E065AB">
      <w:pPr>
        <w:spacing w:after="60"/>
      </w:pPr>
      <w:r>
        <w:rPr>
          <w:b/>
          <w:bCs/>
          <w:color w:val="404040"/>
          <w:sz w:val="28"/>
          <w:szCs w:val="28"/>
        </w:rPr>
        <w:t xml:space="preserve">Specialty </w:t>
      </w:r>
      <w:proofErr w:type="gramStart"/>
      <w:r>
        <w:rPr>
          <w:b/>
          <w:bCs/>
          <w:color w:val="404040"/>
          <w:sz w:val="28"/>
          <w:szCs w:val="28"/>
        </w:rPr>
        <w:t>Capital  /</w:t>
      </w:r>
      <w:proofErr w:type="gramEnd"/>
      <w:r>
        <w:rPr>
          <w:b/>
          <w:bCs/>
          <w:color w:val="404040"/>
          <w:sz w:val="28"/>
          <w:szCs w:val="28"/>
        </w:rPr>
        <w:t xml:space="preserve">  Code Explorer Discovery Engagement</w:t>
      </w:r>
    </w:p>
    <w:p w14:paraId="16C0A7AA" w14:textId="77777777" w:rsidR="00006930" w:rsidRDefault="00E065AB">
      <w:pPr>
        <w:spacing w:after="320"/>
      </w:pPr>
      <w:r>
        <w:rPr>
          <w:color w:val="808080"/>
        </w:rPr>
        <w:t xml:space="preserve">April </w:t>
      </w:r>
      <w:proofErr w:type="gramStart"/>
      <w:r>
        <w:rPr>
          <w:color w:val="808080"/>
        </w:rPr>
        <w:t>2026  |</w:t>
      </w:r>
      <w:proofErr w:type="gramEnd"/>
      <w:r>
        <w:rPr>
          <w:color w:val="808080"/>
        </w:rPr>
        <w:t xml:space="preserve">  Confidential</w:t>
      </w:r>
    </w:p>
    <w:p w14:paraId="16C0A7AB" w14:textId="77777777" w:rsidR="00006930" w:rsidRDefault="00006930">
      <w:pPr>
        <w:pBdr>
          <w:bottom w:val="single" w:sz="6" w:space="1" w:color="1F4E79"/>
        </w:pBdr>
        <w:spacing w:before="120"/>
      </w:pPr>
    </w:p>
    <w:p w14:paraId="16C0A7AC" w14:textId="77777777" w:rsidR="00006930" w:rsidRDefault="00E065AB">
      <w:pPr>
        <w:spacing w:before="360" w:after="120"/>
      </w:pPr>
      <w:r>
        <w:rPr>
          <w:b/>
          <w:bCs/>
          <w:color w:val="1F4E79"/>
          <w:sz w:val="24"/>
          <w:szCs w:val="24"/>
        </w:rPr>
        <w:t>WHAT WE HEARD</w:t>
      </w:r>
    </w:p>
    <w:p w14:paraId="16C0A7AD" w14:textId="77777777" w:rsidR="00006930" w:rsidRDefault="00E065AB">
      <w:pPr>
        <w:spacing w:before="80" w:after="80"/>
      </w:pPr>
      <w:r>
        <w:t>Specialty Capital operates two instances of a third-party SaaS platform as the core system for its small-business lending operation: one for the US and one for the international book. The platform runs an estimated one million lines of PHP. There is no source code access. No tribal knowledge from the original developers. The desired outcome is a single, internally owned, multi-tenant platform that Specialty Capital controls.</w:t>
      </w:r>
    </w:p>
    <w:p w14:paraId="16C0A7AE" w14:textId="77777777" w:rsidR="00006930" w:rsidRDefault="00E065AB">
      <w:pPr>
        <w:spacing w:before="80" w:after="200"/>
      </w:pPr>
      <w:r>
        <w:t>That outcome is straightforward in concept and genuinely hard in execution. You can’t build a replacement if you don’t understand what you’re replacing. You can’t scope the work, staff it, or price it without a detailed picture of what the current system does: its data model, its business logic, its integration surface, and where the two instances diverge. That’s the gap this engagement closes.</w:t>
      </w:r>
    </w:p>
    <w:p w14:paraId="16C0A7AF" w14:textId="77777777" w:rsidR="00006930" w:rsidRDefault="00006930">
      <w:pPr>
        <w:pBdr>
          <w:bottom w:val="single" w:sz="6" w:space="1" w:color="1F4E79"/>
        </w:pBdr>
        <w:spacing w:before="120"/>
      </w:pPr>
    </w:p>
    <w:p w14:paraId="16C0A7B0" w14:textId="77777777" w:rsidR="00006930" w:rsidRDefault="00E065AB">
      <w:pPr>
        <w:spacing w:before="360" w:after="120"/>
      </w:pPr>
      <w:r>
        <w:rPr>
          <w:b/>
          <w:bCs/>
          <w:color w:val="1F4E79"/>
          <w:sz w:val="24"/>
          <w:szCs w:val="24"/>
        </w:rPr>
        <w:t>OUR APPROACH</w:t>
      </w:r>
    </w:p>
    <w:p w14:paraId="16C0A7B1" w14:textId="534D7617" w:rsidR="00006930" w:rsidRDefault="00E065AB">
      <w:pPr>
        <w:spacing w:before="80" w:after="120"/>
      </w:pPr>
      <w:r>
        <w:t>Improving will deploy Code Explorer, our internal LLM-based tool that maps legacy systems</w:t>
      </w:r>
      <w:r>
        <w:t xml:space="preserve">. Working from database schemas, API surfaces, observed runtime behavior, and any available documentation, Code Explorer builds a structured, interrogatable model of what the system </w:t>
      </w:r>
      <w:proofErr w:type="gramStart"/>
      <w:r>
        <w:t>actually does</w:t>
      </w:r>
      <w:proofErr w:type="gramEnd"/>
      <w:r>
        <w:t>.</w:t>
      </w:r>
    </w:p>
    <w:p w14:paraId="16C0A7B2" w14:textId="77777777" w:rsidR="00006930" w:rsidRDefault="00E065AB">
      <w:pPr>
        <w:spacing w:before="80" w:after="100"/>
      </w:pPr>
      <w:r>
        <w:t>This engagement delivers three phases over five weeks: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3620"/>
        <w:gridCol w:w="3000"/>
      </w:tblGrid>
      <w:tr w:rsidR="00006930" w14:paraId="16C0A7B7" w14:textId="77777777">
        <w:tblPrEx>
          <w:tblCellMar>
            <w:top w:w="0" w:type="dxa"/>
            <w:bottom w:w="0" w:type="dxa"/>
          </w:tblCellMar>
        </w:tblPrEx>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50" w:type="dxa"/>
              <w:bottom w:w="100" w:type="dxa"/>
              <w:right w:w="150" w:type="dxa"/>
            </w:tcMar>
            <w:vAlign w:val="center"/>
          </w:tcPr>
          <w:p w14:paraId="16C0A7B3" w14:textId="77777777" w:rsidR="00006930" w:rsidRDefault="00E065AB">
            <w:r>
              <w:rPr>
                <w:b/>
                <w:bCs/>
                <w:color w:val="FFFFFF"/>
              </w:rPr>
              <w:t>Phase</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50" w:type="dxa"/>
              <w:bottom w:w="100" w:type="dxa"/>
              <w:right w:w="150" w:type="dxa"/>
            </w:tcMar>
            <w:vAlign w:val="center"/>
          </w:tcPr>
          <w:p w14:paraId="16C0A7B4" w14:textId="77777777" w:rsidR="00006930" w:rsidRDefault="00E065AB">
            <w:r>
              <w:rPr>
                <w:b/>
                <w:bCs/>
                <w:color w:val="FFFFFF"/>
              </w:rPr>
              <w:t>Timeline</w:t>
            </w:r>
          </w:p>
        </w:tc>
        <w:tc>
          <w:tcPr>
            <w:tcW w:w="362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50" w:type="dxa"/>
              <w:bottom w:w="100" w:type="dxa"/>
              <w:right w:w="150" w:type="dxa"/>
            </w:tcMar>
            <w:vAlign w:val="center"/>
          </w:tcPr>
          <w:p w14:paraId="16C0A7B5" w14:textId="77777777" w:rsidR="00006930" w:rsidRDefault="00E065AB">
            <w:r>
              <w:rPr>
                <w:b/>
                <w:bCs/>
                <w:color w:val="FFFFFF"/>
              </w:rPr>
              <w:t>What We Do</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50" w:type="dxa"/>
              <w:bottom w:w="100" w:type="dxa"/>
              <w:right w:w="150" w:type="dxa"/>
            </w:tcMar>
            <w:vAlign w:val="center"/>
          </w:tcPr>
          <w:p w14:paraId="16C0A7B6" w14:textId="77777777" w:rsidR="00006930" w:rsidRDefault="00E065AB">
            <w:r>
              <w:rPr>
                <w:b/>
                <w:bCs/>
                <w:color w:val="FFFFFF"/>
              </w:rPr>
              <w:t>Deliverable</w:t>
            </w:r>
          </w:p>
        </w:tc>
      </w:tr>
      <w:tr w:rsidR="00006930" w14:paraId="16C0A7BC"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B8" w14:textId="77777777" w:rsidR="00006930" w:rsidRDefault="00E065AB">
            <w:r>
              <w:rPr>
                <w:b/>
                <w:bCs/>
                <w:color w:val="1F4E79"/>
              </w:rPr>
              <w:t>1: Orient</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50" w:type="dxa"/>
              <w:bottom w:w="100" w:type="dxa"/>
              <w:right w:w="150" w:type="dxa"/>
            </w:tcMar>
            <w:vAlign w:val="center"/>
          </w:tcPr>
          <w:p w14:paraId="16C0A7B9" w14:textId="77777777" w:rsidR="00006930" w:rsidRDefault="00E065AB">
            <w:r>
              <w:rPr>
                <w:color w:val="000000"/>
              </w:rPr>
              <w:t>Week 1</w:t>
            </w:r>
          </w:p>
        </w:tc>
        <w:tc>
          <w:tcPr>
            <w:tcW w:w="36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tcPr>
          <w:p w14:paraId="16C0A7BA" w14:textId="77777777" w:rsidR="00006930" w:rsidRDefault="00E065AB">
            <w:r>
              <w:t>Access setup and scope confirmation. Define the unknowns: what must the system do that we don’t yet know? Agree on the investigative personas and question sets that will drive Phase 2.</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vAlign w:val="center"/>
          </w:tcPr>
          <w:p w14:paraId="16C0A7BB" w14:textId="77777777" w:rsidR="00006930" w:rsidRDefault="00E065AB">
            <w:r>
              <w:rPr>
                <w:color w:val="000000"/>
              </w:rPr>
              <w:t>Initial requirements list and investigation plan</w:t>
            </w:r>
          </w:p>
        </w:tc>
      </w:tr>
      <w:tr w:rsidR="00006930" w14:paraId="16C0A7C1"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BD" w14:textId="77777777" w:rsidR="00006930" w:rsidRDefault="00E065AB">
            <w:r>
              <w:rPr>
                <w:b/>
                <w:bCs/>
                <w:color w:val="1F4E79"/>
              </w:rPr>
              <w:t>2: Investigate</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50" w:type="dxa"/>
              <w:bottom w:w="100" w:type="dxa"/>
              <w:right w:w="150" w:type="dxa"/>
            </w:tcMar>
            <w:vAlign w:val="center"/>
          </w:tcPr>
          <w:p w14:paraId="16C0A7BE" w14:textId="77777777" w:rsidR="00006930" w:rsidRDefault="00E065AB">
            <w:r>
              <w:rPr>
                <w:color w:val="000000"/>
              </w:rPr>
              <w:t>Weeks 2–4</w:t>
            </w:r>
          </w:p>
        </w:tc>
        <w:tc>
          <w:tcPr>
            <w:tcW w:w="36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tcPr>
          <w:p w14:paraId="16C0A7BF" w14:textId="77777777" w:rsidR="00006930" w:rsidRDefault="00E065AB">
            <w:r>
              <w:t>Run Code Explorer against available system inputs: database schema, API endpoints, UI behavior, integration logs, and any accessible documentation. Interrogate both the US and international instances. Map divergence between them.</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vAlign w:val="center"/>
          </w:tcPr>
          <w:p w14:paraId="16C0A7C0" w14:textId="77777777" w:rsidR="00006930" w:rsidRDefault="00E065AB">
            <w:r>
              <w:rPr>
                <w:color w:val="000000"/>
              </w:rPr>
              <w:t>Validated AI model + interrogation results per business domain</w:t>
            </w:r>
          </w:p>
        </w:tc>
      </w:tr>
      <w:tr w:rsidR="00006930" w14:paraId="16C0A7C7"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C2" w14:textId="77777777" w:rsidR="00006930" w:rsidRDefault="00E065AB">
            <w:r>
              <w:rPr>
                <w:b/>
                <w:bCs/>
                <w:color w:val="1F4E79"/>
              </w:rPr>
              <w:t>3: Artifacts</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50" w:type="dxa"/>
              <w:bottom w:w="100" w:type="dxa"/>
              <w:right w:w="150" w:type="dxa"/>
            </w:tcMar>
            <w:vAlign w:val="center"/>
          </w:tcPr>
          <w:p w14:paraId="16C0A7C3" w14:textId="77777777" w:rsidR="00006930" w:rsidRDefault="00E065AB">
            <w:r>
              <w:rPr>
                <w:color w:val="000000"/>
              </w:rPr>
              <w:t>Week 5</w:t>
            </w:r>
          </w:p>
        </w:tc>
        <w:tc>
          <w:tcPr>
            <w:tcW w:w="36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tcPr>
          <w:p w14:paraId="16C0A7C4" w14:textId="77777777" w:rsidR="00006930" w:rsidRDefault="00E065AB">
            <w:r>
              <w:t>Produce structured documentation from investigation results: domain map, data model summary, business logic inventory, and delta analysis across instances. Deliver Code Explorer itself, configured and trained on your system, with documentation and training so your team can continue using it after the engagement ends.</w:t>
            </w:r>
          </w:p>
        </w:tc>
        <w:tc>
          <w:tcPr>
            <w:tcW w:w="30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tcPr>
          <w:p w14:paraId="16C0A7C5" w14:textId="77777777" w:rsidR="00006930" w:rsidRDefault="00E065AB">
            <w:r>
              <w:rPr>
                <w:b/>
                <w:bCs/>
              </w:rPr>
              <w:t>Code Explorer, configured and trained on your system, with documentation and handoff training</w:t>
            </w:r>
          </w:p>
          <w:p w14:paraId="16C0A7C6" w14:textId="77777777" w:rsidR="00006930" w:rsidRDefault="00E065AB">
            <w:r>
              <w:t>Domain map, data model summary, business logic inventory, instance delta analysis</w:t>
            </w:r>
          </w:p>
        </w:tc>
      </w:tr>
    </w:tbl>
    <w:p w14:paraId="16C0A7C8" w14:textId="77777777" w:rsidR="00006930" w:rsidRDefault="00006930">
      <w:pPr>
        <w:spacing w:before="200"/>
      </w:pPr>
    </w:p>
    <w:p w14:paraId="16C0A7CA" w14:textId="77777777" w:rsidR="00006930" w:rsidRDefault="00E065AB">
      <w:pPr>
        <w:spacing w:before="360" w:after="120"/>
      </w:pPr>
      <w:r>
        <w:rPr>
          <w:b/>
          <w:bCs/>
          <w:color w:val="1F4E79"/>
          <w:sz w:val="24"/>
          <w:szCs w:val="24"/>
        </w:rPr>
        <w:t>WHY IMPROVING</w:t>
      </w:r>
    </w:p>
    <w:p w14:paraId="16C0A7CB" w14:textId="77777777" w:rsidR="00006930" w:rsidRDefault="00E065AB">
      <w:pPr>
        <w:spacing w:before="80" w:after="100"/>
      </w:pPr>
      <w:r>
        <w:t>We’re not starting from zero, and we’re not treating this like a normal discovery engagement.</w:t>
      </w:r>
    </w:p>
    <w:p w14:paraId="16C0A7CC" w14:textId="77777777" w:rsidR="00006930" w:rsidRDefault="00E065AB">
      <w:pPr>
        <w:pStyle w:val="ListParagraph"/>
        <w:numPr>
          <w:ilvl w:val="0"/>
          <w:numId w:val="2"/>
        </w:numPr>
        <w:spacing w:before="60" w:after="60"/>
      </w:pPr>
      <w:r>
        <w:rPr>
          <w:b/>
          <w:bCs/>
        </w:rPr>
        <w:t xml:space="preserve">No source code required. </w:t>
      </w:r>
      <w:r>
        <w:t xml:space="preserve">Code Explorer is purpose-built for this. It was designed to map complex systems when the source isn’t </w:t>
      </w:r>
      <w:proofErr w:type="gramStart"/>
      <w:r>
        <w:t>available</w:t>
      </w:r>
      <w:proofErr w:type="gramEnd"/>
      <w:r>
        <w:t xml:space="preserve"> and the original developers are gone. That’s the default condition here, not an exception we have to work around.</w:t>
      </w:r>
    </w:p>
    <w:p w14:paraId="16C0A7CD" w14:textId="77777777" w:rsidR="00006930" w:rsidRDefault="00E065AB">
      <w:pPr>
        <w:pStyle w:val="ListParagraph"/>
        <w:numPr>
          <w:ilvl w:val="0"/>
          <w:numId w:val="2"/>
        </w:numPr>
        <w:spacing w:before="60" w:after="60"/>
      </w:pPr>
      <w:r>
        <w:rPr>
          <w:b/>
          <w:bCs/>
        </w:rPr>
        <w:t xml:space="preserve">Legacy modernization depth. </w:t>
      </w:r>
      <w:r>
        <w:t>Deep experience with M&amp;A consolidation, dual-instance architectures, and the kind of technical debt that accumulates inside SaaS platforms that were never meant to be replaced.</w:t>
      </w:r>
    </w:p>
    <w:p w14:paraId="16C0A7CE" w14:textId="77777777" w:rsidR="00006930" w:rsidRDefault="00E065AB">
      <w:pPr>
        <w:pStyle w:val="ListParagraph"/>
        <w:numPr>
          <w:ilvl w:val="0"/>
          <w:numId w:val="2"/>
        </w:numPr>
        <w:spacing w:before="60" w:after="60"/>
      </w:pPr>
      <w:r>
        <w:rPr>
          <w:b/>
          <w:bCs/>
        </w:rPr>
        <w:t xml:space="preserve">AI-native, execution-first. </w:t>
      </w:r>
      <w:r>
        <w:t>We use AI to compress the timeline. A manual codebase analysis of this scope would take months. Code Explorer does it in weeks and produces artifacts that are immediately actionable for whoever builds the replacement.</w:t>
      </w:r>
    </w:p>
    <w:p w14:paraId="16C0A7CF" w14:textId="77777777" w:rsidR="00006930" w:rsidRDefault="00E065AB">
      <w:pPr>
        <w:pStyle w:val="ListParagraph"/>
        <w:numPr>
          <w:ilvl w:val="0"/>
          <w:numId w:val="2"/>
        </w:numPr>
        <w:spacing w:before="60" w:after="60"/>
      </w:pPr>
      <w:r>
        <w:rPr>
          <w:b/>
          <w:bCs/>
        </w:rPr>
        <w:t xml:space="preserve">No hidden agenda. </w:t>
      </w:r>
      <w:r>
        <w:t>We’re not the incumbent. We have no stake in what the replacement platform turns out to be. The artifacts belong to Specialty Capital to use however you choose.</w:t>
      </w:r>
    </w:p>
    <w:p w14:paraId="16C0A7D0" w14:textId="77777777" w:rsidR="00006930" w:rsidRDefault="00006930">
      <w:pPr>
        <w:spacing w:before="200"/>
      </w:pPr>
    </w:p>
    <w:p w14:paraId="16C0A7D1" w14:textId="77777777" w:rsidR="00006930" w:rsidRDefault="00006930">
      <w:pPr>
        <w:pBdr>
          <w:bottom w:val="single" w:sz="6" w:space="1" w:color="1F4E79"/>
        </w:pBdr>
        <w:spacing w:before="120"/>
      </w:pPr>
    </w:p>
    <w:p w14:paraId="16C0A7D2" w14:textId="77777777" w:rsidR="00006930" w:rsidRDefault="00E065AB">
      <w:pPr>
        <w:spacing w:before="360" w:after="120"/>
      </w:pPr>
      <w:r>
        <w:rPr>
          <w:b/>
          <w:bCs/>
          <w:color w:val="1F4E79"/>
          <w:sz w:val="24"/>
          <w:szCs w:val="24"/>
        </w:rPr>
        <w:t>PROPOSED ENGAGEMENT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006930" w14:paraId="16C0A7D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D3" w14:textId="77777777" w:rsidR="00006930" w:rsidRDefault="00E065AB">
            <w:r>
              <w:rPr>
                <w:b/>
                <w:bCs/>
                <w:color w:val="1F4E79"/>
              </w:rPr>
              <w:t>Duration</w:t>
            </w:r>
          </w:p>
        </w:tc>
        <w:tc>
          <w:tcPr>
            <w:tcW w:w="73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vAlign w:val="center"/>
          </w:tcPr>
          <w:p w14:paraId="16C0A7D4" w14:textId="77777777" w:rsidR="00006930" w:rsidRDefault="00E065AB">
            <w:r>
              <w:rPr>
                <w:color w:val="000000"/>
              </w:rPr>
              <w:t>5 weeks</w:t>
            </w:r>
          </w:p>
        </w:tc>
      </w:tr>
      <w:tr w:rsidR="00006930" w14:paraId="16C0A7D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D6" w14:textId="77777777" w:rsidR="00006930" w:rsidRDefault="00E065AB">
            <w:r>
              <w:rPr>
                <w:b/>
                <w:bCs/>
                <w:color w:val="1F4E79"/>
              </w:rPr>
              <w:t>Team</w:t>
            </w:r>
          </w:p>
        </w:tc>
        <w:tc>
          <w:tcPr>
            <w:tcW w:w="732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50" w:type="dxa"/>
              <w:bottom w:w="100" w:type="dxa"/>
              <w:right w:w="150" w:type="dxa"/>
            </w:tcMar>
            <w:vAlign w:val="center"/>
          </w:tcPr>
          <w:p w14:paraId="16C0A7D7" w14:textId="77777777" w:rsidR="00006930" w:rsidRDefault="00E065AB">
            <w:r>
              <w:rPr>
                <w:color w:val="000000"/>
              </w:rPr>
              <w:t>2 consultants: AI Solutions Architect + Senior Engineer</w:t>
            </w:r>
          </w:p>
        </w:tc>
      </w:tr>
      <w:tr w:rsidR="00006930" w14:paraId="16C0A7D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D9" w14:textId="77777777" w:rsidR="00006930" w:rsidRDefault="00E065AB">
            <w:r>
              <w:rPr>
                <w:b/>
                <w:bCs/>
                <w:color w:val="1F4E79"/>
              </w:rPr>
              <w:t>Engagement Model</w:t>
            </w:r>
          </w:p>
        </w:tc>
        <w:tc>
          <w:tcPr>
            <w:tcW w:w="73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vAlign w:val="center"/>
          </w:tcPr>
          <w:p w14:paraId="16C0A7DA" w14:textId="77777777" w:rsidR="00006930" w:rsidRDefault="00E065AB">
            <w:r>
              <w:rPr>
                <w:color w:val="000000"/>
              </w:rPr>
              <w:t>Fixed fee</w:t>
            </w:r>
          </w:p>
        </w:tc>
      </w:tr>
      <w:tr w:rsidR="00006930" w14:paraId="16C0A7D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DC" w14:textId="77777777" w:rsidR="00006930" w:rsidRDefault="00E065AB">
            <w:r>
              <w:rPr>
                <w:b/>
                <w:bCs/>
                <w:color w:val="1F4E79"/>
              </w:rPr>
              <w:t>Fee</w:t>
            </w:r>
          </w:p>
        </w:tc>
        <w:tc>
          <w:tcPr>
            <w:tcW w:w="732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50" w:type="dxa"/>
              <w:bottom w:w="100" w:type="dxa"/>
              <w:right w:w="150" w:type="dxa"/>
            </w:tcMar>
          </w:tcPr>
          <w:p w14:paraId="16C0A7DD" w14:textId="77777777" w:rsidR="00006930" w:rsidRDefault="00E065AB">
            <w:r>
              <w:rPr>
                <w:b/>
                <w:bCs/>
                <w:color w:val="1F4E79"/>
                <w:sz w:val="24"/>
                <w:szCs w:val="24"/>
              </w:rPr>
              <w:t>$50,000</w:t>
            </w:r>
          </w:p>
        </w:tc>
      </w:tr>
      <w:tr w:rsidR="00006930" w14:paraId="16C0A7E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DF" w14:textId="77777777" w:rsidR="00006930" w:rsidRDefault="00E065AB">
            <w:r>
              <w:rPr>
                <w:b/>
                <w:bCs/>
                <w:color w:val="1F4E79"/>
              </w:rPr>
              <w:t>Client Provides</w:t>
            </w:r>
          </w:p>
        </w:tc>
        <w:tc>
          <w:tcPr>
            <w:tcW w:w="732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50" w:type="dxa"/>
              <w:bottom w:w="100" w:type="dxa"/>
              <w:right w:w="150" w:type="dxa"/>
            </w:tcMar>
            <w:vAlign w:val="center"/>
          </w:tcPr>
          <w:p w14:paraId="16C0A7E0" w14:textId="77777777" w:rsidR="00006930" w:rsidRDefault="00E065AB">
            <w:r>
              <w:rPr>
                <w:color w:val="000000"/>
              </w:rPr>
              <w:t>System access (read-only): database schemas, API documentation, available integration specs, sandbox or staging environment</w:t>
            </w:r>
          </w:p>
        </w:tc>
      </w:tr>
      <w:tr w:rsidR="00006930" w14:paraId="16C0A7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EEAF1"/>
            <w:tcMar>
              <w:top w:w="100" w:type="dxa"/>
              <w:left w:w="150" w:type="dxa"/>
              <w:bottom w:w="100" w:type="dxa"/>
              <w:right w:w="150" w:type="dxa"/>
            </w:tcMar>
            <w:vAlign w:val="center"/>
          </w:tcPr>
          <w:p w14:paraId="16C0A7E2" w14:textId="77777777" w:rsidR="00006930" w:rsidRDefault="00E065AB">
            <w:r>
              <w:rPr>
                <w:b/>
                <w:bCs/>
                <w:color w:val="1F4E79"/>
              </w:rPr>
              <w:t>Deliverables Ownership</w:t>
            </w:r>
          </w:p>
        </w:tc>
        <w:tc>
          <w:tcPr>
            <w:tcW w:w="732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50" w:type="dxa"/>
              <w:bottom w:w="100" w:type="dxa"/>
              <w:right w:w="150" w:type="dxa"/>
            </w:tcMar>
            <w:vAlign w:val="center"/>
          </w:tcPr>
          <w:p w14:paraId="16C0A7E3" w14:textId="77777777" w:rsidR="00006930" w:rsidRDefault="00E065AB">
            <w:r>
              <w:rPr>
                <w:color w:val="000000"/>
              </w:rPr>
              <w:t>Code Explorer and all artifacts delivered to Specialty Capital. No ongoing licensing or dependency on Improving tooling to continue using it.</w:t>
            </w:r>
          </w:p>
        </w:tc>
      </w:tr>
    </w:tbl>
    <w:p w14:paraId="16C0A7E5" w14:textId="77777777" w:rsidR="00006930" w:rsidRDefault="00006930">
      <w:pPr>
        <w:spacing w:before="200"/>
      </w:pPr>
    </w:p>
    <w:sectPr w:rsidR="0000693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EB11" w14:textId="77777777" w:rsidR="00E065AB" w:rsidRDefault="00E065AB">
      <w:r>
        <w:separator/>
      </w:r>
    </w:p>
  </w:endnote>
  <w:endnote w:type="continuationSeparator" w:id="0">
    <w:p w14:paraId="5045384D" w14:textId="77777777" w:rsidR="00E065AB" w:rsidRDefault="00E06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A7E7" w14:textId="1DD207F7" w:rsidR="00006930" w:rsidRDefault="00E065AB">
    <w:pPr>
      <w:pBdr>
        <w:top w:val="single" w:sz="4" w:space="4" w:color="1F4E79"/>
      </w:pBdr>
      <w:tabs>
        <w:tab w:val="right" w:pos="9360"/>
      </w:tabs>
    </w:pPr>
    <w:proofErr w:type="gramStart"/>
    <w:r>
      <w:rPr>
        <w:color w:val="808080"/>
        <w:sz w:val="16"/>
        <w:szCs w:val="16"/>
      </w:rPr>
      <w:t>Confidential  |</w:t>
    </w:r>
    <w:proofErr w:type="gramEnd"/>
    <w:r>
      <w:rPr>
        <w:color w:val="808080"/>
        <w:sz w:val="16"/>
        <w:szCs w:val="16"/>
      </w:rPr>
      <w:t xml:space="preserve">  improving.com</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11B4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1895F" w14:textId="77777777" w:rsidR="00E065AB" w:rsidRDefault="00E065AB">
      <w:r>
        <w:separator/>
      </w:r>
    </w:p>
  </w:footnote>
  <w:footnote w:type="continuationSeparator" w:id="0">
    <w:p w14:paraId="734477BF" w14:textId="77777777" w:rsidR="00E065AB" w:rsidRDefault="00E06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A7E6" w14:textId="77777777" w:rsidR="00006930" w:rsidRDefault="00E065AB">
    <w:pPr>
      <w:pBdr>
        <w:bottom w:val="single" w:sz="4" w:space="4" w:color="1F4E79"/>
      </w:pBdr>
      <w:tabs>
        <w:tab w:val="right" w:pos="9360"/>
      </w:tabs>
      <w:spacing w:after="80"/>
    </w:pPr>
    <w:r>
      <w:rPr>
        <w:b/>
        <w:bCs/>
        <w:color w:val="1F4E79"/>
        <w:sz w:val="22"/>
        <w:szCs w:val="22"/>
      </w:rPr>
      <w:t>IMPROVING</w:t>
    </w:r>
    <w:r>
      <w:rPr>
        <w:sz w:val="22"/>
        <w:szCs w:val="22"/>
      </w:rPr>
      <w:tab/>
    </w:r>
    <w:r>
      <w:rPr>
        <w:color w:val="808080"/>
        <w:sz w:val="18"/>
        <w:szCs w:val="18"/>
      </w:rPr>
      <w:t xml:space="preserve">Engagement </w:t>
    </w:r>
    <w:proofErr w:type="gramStart"/>
    <w:r>
      <w:rPr>
        <w:color w:val="808080"/>
        <w:sz w:val="18"/>
        <w:szCs w:val="18"/>
      </w:rPr>
      <w:t>Proposal  |</w:t>
    </w:r>
    <w:proofErr w:type="gramEnd"/>
    <w:r>
      <w:rPr>
        <w:color w:val="808080"/>
        <w:sz w:val="18"/>
        <w:szCs w:val="18"/>
      </w:rPr>
      <w:t xml:space="preserve">  Specialty </w:t>
    </w:r>
    <w:proofErr w:type="gramStart"/>
    <w:r>
      <w:rPr>
        <w:color w:val="808080"/>
        <w:sz w:val="18"/>
        <w:szCs w:val="18"/>
      </w:rPr>
      <w:t>Capital  |</w:t>
    </w:r>
    <w:proofErr w:type="gramEnd"/>
    <w:r>
      <w:rPr>
        <w:color w:val="8080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92A45"/>
    <w:multiLevelType w:val="hybridMultilevel"/>
    <w:tmpl w:val="9FC48AD6"/>
    <w:lvl w:ilvl="0" w:tplc="A190B0A4">
      <w:start w:val="1"/>
      <w:numFmt w:val="bullet"/>
      <w:lvlText w:val="•"/>
      <w:lvlJc w:val="left"/>
      <w:pPr>
        <w:ind w:left="540" w:hanging="260"/>
      </w:pPr>
    </w:lvl>
    <w:lvl w:ilvl="1" w:tplc="F8BE280A">
      <w:numFmt w:val="decimal"/>
      <w:lvlText w:val=""/>
      <w:lvlJc w:val="left"/>
    </w:lvl>
    <w:lvl w:ilvl="2" w:tplc="568CD538">
      <w:numFmt w:val="decimal"/>
      <w:lvlText w:val=""/>
      <w:lvlJc w:val="left"/>
    </w:lvl>
    <w:lvl w:ilvl="3" w:tplc="5F4691C6">
      <w:numFmt w:val="decimal"/>
      <w:lvlText w:val=""/>
      <w:lvlJc w:val="left"/>
    </w:lvl>
    <w:lvl w:ilvl="4" w:tplc="F2264D54">
      <w:numFmt w:val="decimal"/>
      <w:lvlText w:val=""/>
      <w:lvlJc w:val="left"/>
    </w:lvl>
    <w:lvl w:ilvl="5" w:tplc="E30E3D38">
      <w:numFmt w:val="decimal"/>
      <w:lvlText w:val=""/>
      <w:lvlJc w:val="left"/>
    </w:lvl>
    <w:lvl w:ilvl="6" w:tplc="E0F6D7E6">
      <w:numFmt w:val="decimal"/>
      <w:lvlText w:val=""/>
      <w:lvlJc w:val="left"/>
    </w:lvl>
    <w:lvl w:ilvl="7" w:tplc="2BDE6D14">
      <w:numFmt w:val="decimal"/>
      <w:lvlText w:val=""/>
      <w:lvlJc w:val="left"/>
    </w:lvl>
    <w:lvl w:ilvl="8" w:tplc="0D96A12E">
      <w:numFmt w:val="decimal"/>
      <w:lvlText w:val=""/>
      <w:lvlJc w:val="left"/>
    </w:lvl>
  </w:abstractNum>
  <w:abstractNum w:abstractNumId="1" w15:restartNumberingAfterBreak="0">
    <w:nsid w:val="77EB4D1C"/>
    <w:multiLevelType w:val="hybridMultilevel"/>
    <w:tmpl w:val="92BCB714"/>
    <w:lvl w:ilvl="0" w:tplc="277E9108">
      <w:start w:val="1"/>
      <w:numFmt w:val="bullet"/>
      <w:lvlText w:val="●"/>
      <w:lvlJc w:val="left"/>
      <w:pPr>
        <w:ind w:left="720" w:hanging="360"/>
      </w:pPr>
    </w:lvl>
    <w:lvl w:ilvl="1" w:tplc="595EE3A2">
      <w:start w:val="1"/>
      <w:numFmt w:val="bullet"/>
      <w:lvlText w:val="○"/>
      <w:lvlJc w:val="left"/>
      <w:pPr>
        <w:ind w:left="1440" w:hanging="360"/>
      </w:pPr>
    </w:lvl>
    <w:lvl w:ilvl="2" w:tplc="5A96A764">
      <w:start w:val="1"/>
      <w:numFmt w:val="bullet"/>
      <w:lvlText w:val="■"/>
      <w:lvlJc w:val="left"/>
      <w:pPr>
        <w:ind w:left="2160" w:hanging="360"/>
      </w:pPr>
    </w:lvl>
    <w:lvl w:ilvl="3" w:tplc="36CED856">
      <w:start w:val="1"/>
      <w:numFmt w:val="bullet"/>
      <w:lvlText w:val="●"/>
      <w:lvlJc w:val="left"/>
      <w:pPr>
        <w:ind w:left="2880" w:hanging="360"/>
      </w:pPr>
    </w:lvl>
    <w:lvl w:ilvl="4" w:tplc="DED40354">
      <w:start w:val="1"/>
      <w:numFmt w:val="bullet"/>
      <w:lvlText w:val="○"/>
      <w:lvlJc w:val="left"/>
      <w:pPr>
        <w:ind w:left="3600" w:hanging="360"/>
      </w:pPr>
    </w:lvl>
    <w:lvl w:ilvl="5" w:tplc="FF002696">
      <w:start w:val="1"/>
      <w:numFmt w:val="bullet"/>
      <w:lvlText w:val="■"/>
      <w:lvlJc w:val="left"/>
      <w:pPr>
        <w:ind w:left="4320" w:hanging="360"/>
      </w:pPr>
    </w:lvl>
    <w:lvl w:ilvl="6" w:tplc="923EF780">
      <w:start w:val="1"/>
      <w:numFmt w:val="bullet"/>
      <w:lvlText w:val="●"/>
      <w:lvlJc w:val="left"/>
      <w:pPr>
        <w:ind w:left="5040" w:hanging="360"/>
      </w:pPr>
    </w:lvl>
    <w:lvl w:ilvl="7" w:tplc="A8902D68">
      <w:start w:val="1"/>
      <w:numFmt w:val="bullet"/>
      <w:lvlText w:val="●"/>
      <w:lvlJc w:val="left"/>
      <w:pPr>
        <w:ind w:left="5760" w:hanging="360"/>
      </w:pPr>
    </w:lvl>
    <w:lvl w:ilvl="8" w:tplc="42FAF50A">
      <w:start w:val="1"/>
      <w:numFmt w:val="bullet"/>
      <w:lvlText w:val="●"/>
      <w:lvlJc w:val="left"/>
      <w:pPr>
        <w:ind w:left="6480" w:hanging="360"/>
      </w:pPr>
    </w:lvl>
  </w:abstractNum>
  <w:num w:numId="1" w16cid:durableId="859314652">
    <w:abstractNumId w:val="1"/>
    <w:lvlOverride w:ilvl="0">
      <w:startOverride w:val="1"/>
    </w:lvlOverride>
  </w:num>
  <w:num w:numId="2" w16cid:durableId="577709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30"/>
    <w:rsid w:val="00006930"/>
    <w:rsid w:val="00011B47"/>
    <w:rsid w:val="000C747E"/>
    <w:rsid w:val="004E718B"/>
    <w:rsid w:val="00866308"/>
    <w:rsid w:val="00E0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C0A7A8"/>
  <w15:docId w15:val="{4B74C7FA-C173-3A47-A43E-454D57CB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3297</Characters>
  <Application>Microsoft Office Word</Application>
  <DocSecurity>0</DocSecurity>
  <Lines>99</Lines>
  <Paragraphs>51</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4</cp:revision>
  <dcterms:created xsi:type="dcterms:W3CDTF">2026-04-02T22:13:00Z</dcterms:created>
  <dcterms:modified xsi:type="dcterms:W3CDTF">2026-04-02T22:15:00Z</dcterms:modified>
</cp:coreProperties>
</file>