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005596"/>
      </w:pPr>
      <w:r>
        <w:rPr>
          <w:rFonts w:ascii="Khula" w:hAnsi="Khula" w:cs="Khula"/>
          <w:b w:val="0"/>
          <w:color w:val="005596"/>
          <w:sz w:val="12"/>
        </w:rPr>
        <w:t xml:space="preserve"> </w:t>
      </w:r>
    </w:p>
    <w:p>
      <w:pPr>
        <w:spacing w:before="0" w:after="0" w:line="240" w:lineRule="auto"/>
        <w:shd w:val="clear" w:color="auto" w:fill="4597D3"/>
      </w:pPr>
      <w:r>
        <w:rPr>
          <w:rFonts w:ascii="Khula" w:hAnsi="Khula" w:cs="Khula"/>
          <w:b w:val="0"/>
          <w:color w:val="4597D3"/>
          <w:sz w:val="12"/>
        </w:rPr>
        <w:t xml:space="preserve"> </w:t>
      </w:r>
    </w:p>
    <w:p>
      <w:pPr>
        <w:spacing w:before="0" w:after="0" w:line="240" w:lineRule="auto"/>
        <w:shd w:val="clear" w:color="auto" w:fill="5BC2A7"/>
      </w:pPr>
      <w:r>
        <w:rPr>
          <w:rFonts w:ascii="Khula" w:hAnsi="Khula" w:cs="Khula"/>
          <w:b w:val="0"/>
          <w:color w:val="5BC2A7"/>
          <w:sz w:val="12"/>
        </w:rPr>
        <w:t xml:space="preserve"> </w:t>
      </w:r>
    </w:p>
    <w:p>
      <w:r>
        <w:drawing>
          <wp:inline xmlns:a="http://schemas.openxmlformats.org/drawingml/2006/main" xmlns:pic="http://schemas.openxmlformats.org/drawingml/2006/picture">
            <wp:extent cx="2194560" cy="660197"/>
            <wp:docPr id="1" name="Picture 1"/>
            <wp:cNvGraphicFramePr>
              <a:graphicFrameLocks noChangeAspect="1"/>
            </wp:cNvGraphicFramePr>
            <a:graphic>
              <a:graphicData uri="http://schemas.openxmlformats.org/drawingml/2006/picture">
                <pic:pic>
                  <pic:nvPicPr>
                    <pic:cNvPr id="0" name="logo-full-blue.png"/>
                    <pic:cNvPicPr/>
                  </pic:nvPicPr>
                  <pic:blipFill>
                    <a:blip r:embed="rId10"/>
                    <a:stretch>
                      <a:fillRect/>
                    </a:stretch>
                  </pic:blipFill>
                  <pic:spPr>
                    <a:xfrm>
                      <a:off x="0" y="0"/>
                      <a:ext cx="2194560" cy="660197"/>
                    </a:xfrm>
                    <a:prstGeom prst="rect"/>
                  </pic:spPr>
                </pic:pic>
              </a:graphicData>
            </a:graphic>
          </wp:inline>
        </w:drawing>
      </w:r>
    </w:p>
    <w:p/>
    <w:p/>
    <w:p/>
    <w:p>
      <w:pPr>
        <w:pBdr>
          <w:bottom w:val="single" w:sz="24" w:space="4" w:color="5BC2A7"/>
        </w:pBdr>
      </w:pPr>
      <w:r>
        <w:rPr>
          <w:rFonts w:ascii="Poppins" w:hAnsi="Poppins" w:cs="Poppins"/>
          <w:b/>
          <w:color w:val="005596"/>
          <w:sz w:val="80"/>
        </w:rPr>
        <w:t>David O'Hara</w:t>
      </w:r>
    </w:p>
    <w:p>
      <w:pPr>
        <w:spacing w:after="240"/>
      </w:pPr>
      <w:r>
        <w:rPr>
          <w:rFonts w:ascii="Khula" w:hAnsi="Khula" w:cs="Khula"/>
          <w:b w:val="0"/>
          <w:color w:val="606060"/>
          <w:sz w:val="36"/>
        </w:rPr>
        <w:t>Fractional Chief AI Officer  |  Improving</w:t>
      </w:r>
    </w:p>
    <w:p/>
    <w:p/>
    <w:p>
      <w:r>
        <w:rPr>
          <w:rFonts w:ascii="Poppins" w:hAnsi="Poppins" w:cs="Poppins"/>
          <w:b/>
          <w:color w:val="4597D3"/>
          <w:sz w:val="20"/>
        </w:rPr>
        <w:t>PREPARED BY</w:t>
      </w:r>
    </w:p>
    <w:p>
      <w:r>
        <w:rPr>
          <w:rFonts w:ascii="Khula" w:hAnsi="Khula" w:cs="Khula"/>
          <w:b w:val="0"/>
          <w:color w:val="222222"/>
          <w:sz w:val="28"/>
        </w:rPr>
        <w:t>Improving  |  improving.com</w:t>
      </w:r>
    </w:p>
    <w:p>
      <w:r>
        <w:rPr>
          <w:rFonts w:ascii="Khula" w:hAnsi="Khula" w:cs="Khula"/>
          <w:b w:val="0"/>
          <w:color w:val="606060"/>
          <w:sz w:val="22"/>
        </w:rPr>
        <w:t>June 2026</w:t>
      </w:r>
    </w:p>
    <w:p>
      <w:r>
        <w:br w:type="page"/>
      </w:r>
    </w:p>
    <w:p>
      <w:pPr>
        <w:spacing w:before="360" w:after="120"/>
        <w:pBdr>
          <w:bottom w:val="single" w:sz="16" w:space="2" w:color="5BC2A7"/>
        </w:pBdr>
      </w:pPr>
      <w:r>
        <w:rPr>
          <w:rFonts w:ascii="Poppins" w:hAnsi="Poppins" w:cs="Poppins"/>
          <w:b/>
          <w:color w:val="005596"/>
          <w:sz w:val="48"/>
        </w:rPr>
        <w:t>Builder. Strategist. Operator.</w:t>
      </w:r>
    </w:p>
    <w:p>
      <w:r>
        <w:rPr>
          <w:rFonts w:ascii="Khula" w:hAnsi="Khula" w:cs="Khula"/>
          <w:b w:val="0"/>
          <w:color w:val="222222"/>
          <w:sz w:val="22"/>
        </w:rPr>
        <w:t>David O'Hara co-founded Improving in 2007 and spent fourteen years as President, growing the firm into a $300M+ modern digital services company with 2,500+ practitioners across North America, Latin America, and India. He has operated at the intersection of technology and business strategy his entire career — running P&amp;Ls, building delivery organizations, and advising C-suites through transformations most consultants only theorize about.</w:t>
      </w:r>
    </w:p>
    <w:p>
      <w:pPr>
        <w:spacing w:before="360" w:after="120"/>
        <w:pBdr>
          <w:bottom w:val="single" w:sz="16" w:space="2" w:color="5BC2A7"/>
        </w:pBdr>
      </w:pPr>
      <w:r>
        <w:rPr>
          <w:rFonts w:ascii="Poppins" w:hAnsi="Poppins" w:cs="Poppins"/>
          <w:b/>
          <w:color w:val="005596"/>
          <w:sz w:val="48"/>
        </w:rPr>
        <w:t>AI Strategy at the Enterprise Level</w:t>
      </w:r>
    </w:p>
    <w:p>
      <w:r>
        <w:rPr>
          <w:rFonts w:ascii="Khula" w:hAnsi="Khula" w:cs="Khula"/>
          <w:b w:val="0"/>
          <w:color w:val="222222"/>
          <w:sz w:val="22"/>
        </w:rPr>
        <w:t>Over the past two years David has become one of Improving's primary AI strategists, working directly with enterprise and mid-market clients to design AI programs that move from curiosity to production. He runs executive AI workshops, co-leads Improving's AI maturity framework, and has guided clients through fail-fast, evidence-gated AI roadmaps across financial services, healthcare, and professional services. He speaks regularly on the enterprise AI shift — Forbes AI Roundtables, Convergence AI, and executive forums — and brings a practitioner's instinct: prove it cheap before you scale it.</w:t>
      </w:r>
    </w:p>
    <w:p>
      <w:pPr>
        <w:spacing w:before="360" w:after="120"/>
        <w:pBdr>
          <w:bottom w:val="single" w:sz="16" w:space="2" w:color="5BC2A7"/>
        </w:pBdr>
      </w:pPr>
      <w:r>
        <w:rPr>
          <w:rFonts w:ascii="Poppins" w:hAnsi="Poppins" w:cs="Poppins"/>
          <w:b/>
          <w:color w:val="005596"/>
          <w:sz w:val="48"/>
        </w:rPr>
        <w:t>Board-Level Credibility</w:t>
      </w:r>
    </w:p>
    <w:p>
      <w:r>
        <w:rPr>
          <w:rFonts w:ascii="Khula" w:hAnsi="Khula" w:cs="Khula"/>
          <w:b w:val="0"/>
          <w:color w:val="222222"/>
          <w:sz w:val="22"/>
        </w:rPr>
        <w:t>David serves on the board of United Texas Bank and the advisory board of Terra Arma. He is a founding member of the Forbes Dallas Business Council, sits on the YPO Regional Executive Board for the Western Region, and is a graduate of the Stagen Leadership Academy's Integral Leadership Program. He has coached senior executives through the Senior Leadership Initiative since 2013. He understands board dynamics, investor narratives, and the pressure leadership teams face when preparing an organization for its next stage of growth.</w:t>
      </w:r>
    </w:p>
    <w:tbl>
      <w:tblPr>
        <w:tblW w:type="auto" w:w="0"/>
        <w:tblLayout w:type="autofit"/>
        <w:tblLook w:firstColumn="1" w:firstRow="1" w:lastColumn="0" w:lastRow="0" w:noHBand="0" w:noVBand="1" w:val="04A0"/>
      </w:tblPr>
      <w:tblGrid>
        <w:gridCol w:w="9360"/>
      </w:tblGrid>
      <w:tr>
        <w:tc>
          <w:tcPr>
            <w:tcW w:type="dxa" w:w="9360"/>
            <w:vAlign w:val="center"/>
            <w:shd w:val="clear" w:color="auto" w:fill="F5F5F5"/>
            <w:tcBorders>
              <w:top w:val="nil"/>
              <w:right w:val="nil"/>
              <w:bottom w:val="nil"/>
              <w:left w:val="single" w:sz="36" w:color="005596"/>
            </w:tcBorders>
          </w:tcPr>
          <w:p>
            <w:pPr>
              <w:spacing w:before="160" w:after="160"/>
              <w:ind w:left="216"/>
            </w:pPr>
            <w:r>
              <w:rPr>
                <w:rFonts w:ascii="Khula" w:hAnsi="Khula" w:cs="Khula"/>
                <w:b w:val="0"/>
                <w:color w:val="222222"/>
                <w:sz w:val="22"/>
              </w:rPr>
              <w:t>David doesn't show up with slide decks. He shows up with a system — sequenced, governed, and tied to real operating evidence. That's what makes him effective as a Fractional Chief AI Officer: the rare combination of someone who has built at scale, led technology strategy at the executive level, and can translate AI investment into a story that holds up under scrutiny.</w:t>
            </w:r>
          </w:p>
        </w:tc>
      </w:tr>
    </w:tbl>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8" w:space="4" w:color="4597D3"/>
      </w:pBdr>
    </w:pPr>
    <w:r>
      <w:rPr>
        <w:rFonts w:ascii="Khula" w:hAnsi="Khula" w:cs="Khula"/>
        <w:b w:val="0"/>
        <w:color w:val="606060"/>
        <w:sz w:val="18"/>
      </w:rPr>
      <w:t>improving.com   ·   It's what we 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20"/>
    </w:pPr>
    <w:rPr>
      <w:rFonts w:ascii="Khula" w:hAnsi="Khul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