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005596"/>
      </w:pPr>
      <w:r>
        <w:rPr>
          <w:rFonts w:ascii="Khula" w:hAnsi="Khula" w:cs="Khula"/>
          <w:b w:val="0"/>
          <w:color w:val="005596"/>
          <w:sz w:val="12"/>
        </w:rPr>
        <w:t xml:space="preserve"> </w:t>
      </w:r>
    </w:p>
    <w:p>
      <w:pPr>
        <w:spacing w:before="0" w:after="0" w:line="240" w:lineRule="auto"/>
        <w:shd w:val="clear" w:color="auto" w:fill="4597D3"/>
      </w:pPr>
      <w:r>
        <w:rPr>
          <w:rFonts w:ascii="Khula" w:hAnsi="Khula" w:cs="Khula"/>
          <w:b w:val="0"/>
          <w:color w:val="4597D3"/>
          <w:sz w:val="12"/>
        </w:rPr>
        <w:t xml:space="preserve"> </w:t>
      </w:r>
    </w:p>
    <w:p>
      <w:pPr>
        <w:spacing w:before="0" w:after="0" w:line="240" w:lineRule="auto"/>
        <w:shd w:val="clear" w:color="auto" w:fill="5BC2A7"/>
      </w:pPr>
      <w:r>
        <w:rPr>
          <w:rFonts w:ascii="Khula" w:hAnsi="Khula" w:cs="Khula"/>
          <w:b w:val="0"/>
          <w:color w:val="5BC2A7"/>
          <w:sz w:val="12"/>
        </w:rPr>
        <w:t xml:space="preserve"> </w:t>
      </w:r>
    </w:p>
    <w:p>
      <w:r>
        <w:drawing>
          <wp:inline xmlns:a="http://schemas.openxmlformats.org/drawingml/2006/main" xmlns:pic="http://schemas.openxmlformats.org/drawingml/2006/picture">
            <wp:extent cx="2194560" cy="660197"/>
            <wp:docPr id="1" name="Picture 1"/>
            <wp:cNvGraphicFramePr>
              <a:graphicFrameLocks noChangeAspect="1"/>
            </wp:cNvGraphicFramePr>
            <a:graphic>
              <a:graphicData uri="http://schemas.openxmlformats.org/drawingml/2006/picture">
                <pic:pic>
                  <pic:nvPicPr>
                    <pic:cNvPr id="0" name="logo-full-blue.png"/>
                    <pic:cNvPicPr/>
                  </pic:nvPicPr>
                  <pic:blipFill>
                    <a:blip r:embed="rId10"/>
                    <a:stretch>
                      <a:fillRect/>
                    </a:stretch>
                  </pic:blipFill>
                  <pic:spPr>
                    <a:xfrm>
                      <a:off x="0" y="0"/>
                      <a:ext cx="2194560" cy="660197"/>
                    </a:xfrm>
                    <a:prstGeom prst="rect"/>
                  </pic:spPr>
                </pic:pic>
              </a:graphicData>
            </a:graphic>
          </wp:inline>
        </w:drawing>
      </w:r>
    </w:p>
    <w:p/>
    <w:p/>
    <w:p/>
    <w:p>
      <w:pPr>
        <w:pBdr>
          <w:bottom w:val="single" w:sz="24" w:space="4" w:color="5BC2A7"/>
        </w:pBdr>
      </w:pPr>
      <w:r>
        <w:rPr>
          <w:rFonts w:ascii="Poppins" w:hAnsi="Poppins" w:cs="Poppins"/>
          <w:b/>
          <w:color w:val="005596"/>
          <w:sz w:val="80"/>
        </w:rPr>
        <w:t>Springline Meeting Prep</w:t>
      </w:r>
    </w:p>
    <w:p>
      <w:pPr>
        <w:spacing w:after="240"/>
      </w:pPr>
      <w:r>
        <w:rPr>
          <w:rFonts w:ascii="Khula" w:hAnsi="Khula" w:cs="Khula"/>
          <w:b w:val="0"/>
          <w:color w:val="606060"/>
          <w:sz w:val="36"/>
        </w:rPr>
        <w:t>Fractional Chief AI Officer Engagement · June 2026</w:t>
      </w:r>
    </w:p>
    <w:p/>
    <w:p/>
    <w:p>
      <w:r>
        <w:rPr>
          <w:rFonts w:ascii="Poppins" w:hAnsi="Poppins" w:cs="Poppins"/>
          <w:b/>
          <w:color w:val="4597D3"/>
          <w:sz w:val="20"/>
        </w:rPr>
        <w:t>PREPARED BY</w:t>
      </w:r>
    </w:p>
    <w:p>
      <w:r>
        <w:rPr>
          <w:rFonts w:ascii="Khula" w:hAnsi="Khula" w:cs="Khula"/>
          <w:b w:val="0"/>
          <w:color w:val="222222"/>
          <w:sz w:val="28"/>
        </w:rPr>
        <w:t>David O'Hara · Improving</w:t>
      </w:r>
    </w:p>
    <w:p>
      <w:r>
        <w:br w:type="page"/>
      </w:r>
    </w:p>
    <w:p>
      <w:pPr>
        <w:spacing w:before="360" w:after="120"/>
        <w:pBdr>
          <w:bottom w:val="single" w:sz="16" w:space="2" w:color="5BC2A7"/>
        </w:pBdr>
      </w:pPr>
      <w:r>
        <w:rPr>
          <w:rFonts w:ascii="Poppins" w:hAnsi="Poppins" w:cs="Poppins"/>
          <w:b/>
          <w:color w:val="005596"/>
          <w:sz w:val="48"/>
        </w:rPr>
        <w:t>The One-Line That Wins It</w:t>
      </w:r>
    </w:p>
    <w:p>
      <w:r>
        <w:rPr>
          <w:rFonts w:ascii="Khula" w:hAnsi="Khula" w:cs="Khula"/>
          <w:b w:val="0"/>
          <w:color w:val="222222"/>
          <w:sz w:val="22"/>
        </w:rPr>
        <w:t>You are not here to sell AI. You are here to give Springline the architecture, the governance, and the sequencing to make intelligent decisions about AI quarter by quarter — so that when this platform exits, there is a documented, evidence-backed portfolio that a PE buyer can read in thirty minutes.</w:t>
      </w:r>
    </w:p>
    <w:p>
      <w:pPr>
        <w:spacing w:before="360" w:after="120"/>
        <w:pBdr>
          <w:bottom w:val="single" w:sz="16" w:space="2" w:color="5BC2A7"/>
        </w:pBdr>
      </w:pPr>
      <w:r>
        <w:rPr>
          <w:rFonts w:ascii="Poppins" w:hAnsi="Poppins" w:cs="Poppins"/>
          <w:b/>
          <w:color w:val="005596"/>
          <w:sz w:val="48"/>
        </w:rPr>
        <w:t>Why This, Why Now for Springline</w:t>
      </w:r>
    </w:p>
    <w:p>
      <w:r>
        <w:rPr>
          <w:rFonts w:ascii="Khula" w:hAnsi="Khula" w:cs="Khula"/>
          <w:b w:val="0"/>
          <w:color w:val="222222"/>
          <w:sz w:val="22"/>
        </w:rPr>
        <w:t>Springline is in a structural transition: twelve acquired CPA and advisory firms consolidating onto a shared Microsoft 365 and Snowflake backbone. That integration moment is a narrow window. The data infrastructure is being standardized, which means the cost of layering AI onto clean data is lowest right now. Waiting six months means building on top of a hardened legacy stack instead of shaping it while it is still moving.</w:t>
      </w:r>
    </w:p>
    <w:p>
      <w:r>
        <w:rPr>
          <w:rFonts w:ascii="Khula" w:hAnsi="Khula" w:cs="Khula"/>
          <w:b w:val="0"/>
          <w:color w:val="222222"/>
          <w:sz w:val="22"/>
        </w:rPr>
        <w:t>The federated firm model also creates a natural testing ground. Springline can run a pilot inside one firm, gate on evidence, and roll out to twelve — without betting the whole platform on a single initiative. That is exactly what the engagement system is designed to do.</w:t>
      </w:r>
    </w:p>
    <w:p>
      <w:r>
        <w:rPr>
          <w:rFonts w:ascii="Khula" w:hAnsi="Khula" w:cs="Khula"/>
          <w:b w:val="0"/>
          <w:color w:val="222222"/>
          <w:sz w:val="22"/>
        </w:rPr>
        <w:t>At $200-220M run rate with PE backing, every efficiency gain and every revenue acceleration initiative is magnified. A 5% improvement in proposal velocity or advisory capacity at this scale is not a nice-to-have. It is a material line item in a diligence document.</w:t>
      </w:r>
    </w:p>
    <w:p>
      <w:pPr>
        <w:spacing w:before="360" w:after="120"/>
        <w:pBdr>
          <w:bottom w:val="single" w:sz="16" w:space="2" w:color="5BC2A7"/>
        </w:pBdr>
      </w:pPr>
      <w:r>
        <w:rPr>
          <w:rFonts w:ascii="Poppins" w:hAnsi="Poppins" w:cs="Poppins"/>
          <w:b/>
          <w:color w:val="005596"/>
          <w:sz w:val="48"/>
        </w:rPr>
        <w:t>Springline's Goals and How the Program Delivers</w:t>
      </w:r>
    </w:p>
    <w:p>
      <w:pPr>
        <w:spacing w:before="280" w:after="80"/>
      </w:pPr>
      <w:r>
        <w:rPr>
          <w:rFonts w:ascii="Poppins" w:hAnsi="Poppins" w:cs="Poppins"/>
          <w:b/>
          <w:color w:val="005596"/>
          <w:sz w:val="36"/>
        </w:rPr>
        <w:t>Platform Integration Across Twelve Firms</w:t>
      </w:r>
    </w:p>
    <w:p>
      <w:r>
        <w:rPr>
          <w:rFonts w:ascii="Khula" w:hAnsi="Khula" w:cs="Khula"/>
          <w:b w:val="0"/>
          <w:color w:val="222222"/>
          <w:sz w:val="22"/>
        </w:rPr>
        <w:t>The AI Engagement System is built around Springline's actual tech stack — Azure and Microsoft Foundry for orchestration, Snowflake as the data layer. Every pilot runs within that architecture. The Q1 deliverable is a 5-year AI strategy and 3-year roadmap that is firm-by-firm sequenced, not a generic plan dropped on top of a federated structure. Integration complexity is treated as a design constraint, not a footnote.</w:t>
      </w:r>
    </w:p>
    <w:p>
      <w:pPr>
        <w:spacing w:before="280" w:after="80"/>
      </w:pPr>
      <w:r>
        <w:rPr>
          <w:rFonts w:ascii="Poppins" w:hAnsi="Poppins" w:cs="Poppins"/>
          <w:b/>
          <w:color w:val="005596"/>
          <w:sz w:val="36"/>
        </w:rPr>
        <w:t>Hard ROI in the Near Term</w:t>
      </w:r>
    </w:p>
    <w:p>
      <w:r>
        <w:rPr>
          <w:rFonts w:ascii="Khula" w:hAnsi="Khula" w:cs="Khula"/>
          <w:b w:val="0"/>
          <w:color w:val="222222"/>
          <w:sz w:val="22"/>
        </w:rPr>
        <w:t>The Horizon 1 portfolio is explicitly scoped to task agents with measurable efficiency returns: document processing, compliance workflow automation, client onboarding acceleration. Each initiative enters the pipeline with a stated ROI hypothesis and a capped fail-fast budget. Evidence gates capital release. Nothing scales without proof. That discipline is baked into the quarterly cadence, not left to judgment calls.</w:t>
      </w:r>
    </w:p>
    <w:p>
      <w:pPr>
        <w:spacing w:before="280" w:after="80"/>
      </w:pPr>
      <w:r>
        <w:rPr>
          <w:rFonts w:ascii="Poppins" w:hAnsi="Poppins" w:cs="Poppins"/>
          <w:b/>
          <w:color w:val="005596"/>
          <w:sz w:val="36"/>
        </w:rPr>
        <w:t>Investor and Board Readiness</w:t>
      </w:r>
    </w:p>
    <w:p>
      <w:r>
        <w:rPr>
          <w:rFonts w:ascii="Khula" w:hAnsi="Khula" w:cs="Khula"/>
          <w:b w:val="0"/>
          <w:color w:val="222222"/>
          <w:sz w:val="22"/>
        </w:rPr>
        <w:t>One of the explicit Q1 deliverables is a board and investor narrative draft. The engagement system maintains an exit-ready snapshot at every gate: Realized, In-flight, and Optioned initiatives classified for PE diligence. This is not a byproduct of the program. It is a first-class deliverable that David owns and updates every quarter.</w:t>
      </w:r>
    </w:p>
    <w:p>
      <w:pPr>
        <w:spacing w:before="280" w:after="80"/>
      </w:pPr>
      <w:r>
        <w:rPr>
          <w:rFonts w:ascii="Poppins" w:hAnsi="Poppins" w:cs="Poppins"/>
          <w:b/>
          <w:color w:val="005596"/>
          <w:sz w:val="36"/>
        </w:rPr>
        <w:t>Governance That Scales</w:t>
      </w:r>
    </w:p>
    <w:p>
      <w:r>
        <w:rPr>
          <w:rFonts w:ascii="Khula" w:hAnsi="Khula" w:cs="Khula"/>
          <w:b w:val="0"/>
          <w:color w:val="222222"/>
          <w:sz w:val="22"/>
        </w:rPr>
        <w:t>Governance is a precondition for Stage 4 agentic operations, not an afterthought. Q1 includes a governance baseline covering audit logging, data-privacy controls, HR and policy compliance, and human approval points. This is the architecture that allows Springline to move fast without creating liability exposure across twelve firms operating in regulated financial services.</w:t>
      </w:r>
    </w:p>
    <w:p>
      <w:pPr>
        <w:spacing w:before="280" w:after="80"/>
      </w:pPr>
      <w:r>
        <w:rPr>
          <w:rFonts w:ascii="Poppins" w:hAnsi="Poppins" w:cs="Poppins"/>
          <w:b/>
          <w:color w:val="005596"/>
          <w:sz w:val="36"/>
        </w:rPr>
        <w:t>Sustainable Execution Model</w:t>
      </w:r>
    </w:p>
    <w:p>
      <w:r>
        <w:rPr>
          <w:rFonts w:ascii="Khula" w:hAnsi="Khula" w:cs="Khula"/>
          <w:b w:val="0"/>
          <w:color w:val="222222"/>
          <w:sz w:val="22"/>
        </w:rPr>
        <w:t>The flat $20K per quarter advisory retainer covers strategy, sequencing, and board narrative. Execution programs are bid separately, which means Springline controls capital allocation. They can throttle execution up or down without changing the advisory relationship. The quarterly portfolio gate gives leadership a structured moment every ninety days to decide what continues, what scales, and what stops.</w:t>
      </w:r>
    </w:p>
    <w:p>
      <w:pPr>
        <w:spacing w:before="360" w:after="120"/>
        <w:pBdr>
          <w:bottom w:val="single" w:sz="16" w:space="2" w:color="5BC2A7"/>
        </w:pBdr>
      </w:pPr>
      <w:r>
        <w:rPr>
          <w:rFonts w:ascii="Poppins" w:hAnsi="Poppins" w:cs="Poppins"/>
          <w:b/>
          <w:color w:val="005596"/>
          <w:sz w:val="48"/>
        </w:rPr>
        <w:t>Smart Discovery Questions</w:t>
      </w:r>
    </w:p>
    <w:p>
      <w:pPr>
        <w:spacing w:before="280" w:after="80"/>
      </w:pPr>
      <w:r>
        <w:rPr>
          <w:rFonts w:ascii="Poppins" w:hAnsi="Poppins" w:cs="Poppins"/>
          <w:b/>
          <w:color w:val="005596"/>
          <w:sz w:val="36"/>
        </w:rPr>
        <w:t>Organizational Readiness</w:t>
      </w:r>
    </w:p>
    <w:p>
      <w:r>
        <w:rPr>
          <w:rFonts w:ascii="Khula" w:hAnsi="Khula" w:cs="Khula"/>
          <w:b w:val="0"/>
          <w:color w:val="222222"/>
          <w:sz w:val="22"/>
        </w:rPr>
        <w:t>Where does AI show up in the current integration roadmap — is it in the plan or still a whiteboard conversation? Who has been driving AI conversations so far, and what happened to those efforts?</w:t>
      </w:r>
    </w:p>
    <w:p>
      <w:pPr>
        <w:spacing w:before="280" w:after="80"/>
      </w:pPr>
      <w:r>
        <w:rPr>
          <w:rFonts w:ascii="Poppins" w:hAnsi="Poppins" w:cs="Poppins"/>
          <w:b/>
          <w:color w:val="005596"/>
          <w:sz w:val="36"/>
        </w:rPr>
        <w:t>Data and Infrastructure</w:t>
      </w:r>
    </w:p>
    <w:p>
      <w:r>
        <w:rPr>
          <w:rFonts w:ascii="Khula" w:hAnsi="Khula" w:cs="Khula"/>
          <w:b w:val="0"/>
          <w:color w:val="222222"/>
          <w:sz w:val="22"/>
        </w:rPr>
        <w:t>How far along is the Snowflake consolidation across the twelve firms? Is there a shared data governance policy today, or is each firm still managing its own data independently? That answer tells me where we start on the roadmap.</w:t>
      </w:r>
    </w:p>
    <w:p>
      <w:pPr>
        <w:spacing w:before="280" w:after="80"/>
      </w:pPr>
      <w:r>
        <w:rPr>
          <w:rFonts w:ascii="Poppins" w:hAnsi="Poppins" w:cs="Poppins"/>
          <w:b/>
          <w:color w:val="005596"/>
          <w:sz w:val="36"/>
        </w:rPr>
        <w:t>Commercial Pressure Points</w:t>
      </w:r>
    </w:p>
    <w:p>
      <w:r>
        <w:rPr>
          <w:rFonts w:ascii="Khula" w:hAnsi="Khula" w:cs="Khula"/>
          <w:b w:val="0"/>
          <w:color w:val="222222"/>
          <w:sz w:val="22"/>
        </w:rPr>
        <w:t>What does the next PE review look like, and what narrative are you trying to bring into that room? Is there a specific efficiency or growth metric that leadership is under pressure to move before the next diligence cycle?</w:t>
      </w:r>
    </w:p>
    <w:p>
      <w:pPr>
        <w:spacing w:before="280" w:after="80"/>
      </w:pPr>
      <w:r>
        <w:rPr>
          <w:rFonts w:ascii="Poppins" w:hAnsi="Poppins" w:cs="Poppins"/>
          <w:b/>
          <w:color w:val="005596"/>
          <w:sz w:val="36"/>
        </w:rPr>
        <w:t>Political Landscape</w:t>
      </w:r>
    </w:p>
    <w:p>
      <w:r>
        <w:rPr>
          <w:rFonts w:ascii="Khula" w:hAnsi="Khula" w:cs="Khula"/>
          <w:b w:val="0"/>
          <w:color w:val="222222"/>
          <w:sz w:val="22"/>
        </w:rPr>
        <w:t>Across twelve acquired firms, who controls the technology budget — is this centralized or federated? Which firm leaders are most open to running a pilot, and which ones will resist? I want to start where we can win fast.</w:t>
      </w:r>
    </w:p>
    <w:p>
      <w:pPr>
        <w:spacing w:before="280" w:after="80"/>
      </w:pPr>
      <w:r>
        <w:rPr>
          <w:rFonts w:ascii="Poppins" w:hAnsi="Poppins" w:cs="Poppins"/>
          <w:b/>
          <w:color w:val="005596"/>
          <w:sz w:val="36"/>
        </w:rPr>
        <w:t>Previous AI Experience</w:t>
      </w:r>
    </w:p>
    <w:p>
      <w:r>
        <w:rPr>
          <w:rFonts w:ascii="Khula" w:hAnsi="Khula" w:cs="Khula"/>
          <w:b w:val="0"/>
          <w:color w:val="222222"/>
          <w:sz w:val="22"/>
        </w:rPr>
        <w:t>Has any firm in the portfolio already run an AI pilot? What happened — what worked, what did not, and what is the organizational memory of that experience? I need to know what narrative I am building on top of.</w:t>
      </w:r>
    </w:p>
    <w:p>
      <w:pPr>
        <w:spacing w:before="280" w:after="80"/>
      </w:pPr>
      <w:r>
        <w:rPr>
          <w:rFonts w:ascii="Poppins" w:hAnsi="Poppins" w:cs="Poppins"/>
          <w:b/>
          <w:color w:val="005596"/>
          <w:sz w:val="36"/>
        </w:rPr>
        <w:t>Definition of Success for This Engagement</w:t>
      </w:r>
    </w:p>
    <w:p>
      <w:r>
        <w:rPr>
          <w:rFonts w:ascii="Khula" w:hAnsi="Khula" w:cs="Khula"/>
          <w:b w:val="0"/>
          <w:color w:val="222222"/>
          <w:sz w:val="22"/>
        </w:rPr>
        <w:t>If we are sitting here twelve months from now, what does a successful first year look like to you? What would make you say this was worth it? That answer is how I calibrate what we sequence first.</w:t>
      </w:r>
    </w:p>
    <w:p>
      <w:pPr>
        <w:spacing w:before="360" w:after="120"/>
        <w:pBdr>
          <w:bottom w:val="single" w:sz="16" w:space="2" w:color="5BC2A7"/>
        </w:pBdr>
      </w:pPr>
      <w:r>
        <w:rPr>
          <w:rFonts w:ascii="Poppins" w:hAnsi="Poppins" w:cs="Poppins"/>
          <w:b/>
          <w:color w:val="005596"/>
          <w:sz w:val="48"/>
        </w:rPr>
        <w:t>Likely Objections and How to Handle Them</w:t>
      </w:r>
    </w:p>
    <w:p>
      <w:pPr>
        <w:spacing w:before="280" w:after="80"/>
      </w:pPr>
      <w:r>
        <w:rPr>
          <w:rFonts w:ascii="Poppins" w:hAnsi="Poppins" w:cs="Poppins"/>
          <w:b/>
          <w:color w:val="005596"/>
          <w:sz w:val="36"/>
        </w:rPr>
        <w:t>"We already have people looking at AI internally."</w:t>
      </w:r>
    </w:p>
    <w:p>
      <w:r>
        <w:rPr>
          <w:rFonts w:ascii="Khula" w:hAnsi="Khula" w:cs="Khula"/>
          <w:b w:val="0"/>
          <w:color w:val="222222"/>
          <w:sz w:val="22"/>
        </w:rPr>
        <w:t>Good. That means you have energy and initiative — and you need someone to sequence it. The failure mode for distributed AI exploration is not lack of effort. It is twelve independent experiments that never connect into a portfolio, produce no board narrative, and leave nothing for a PE buyer to evaluate. I do not replace your internal work. I give it a structure that makes it count.</w:t>
      </w:r>
    </w:p>
    <w:p>
      <w:pPr>
        <w:spacing w:before="280" w:after="80"/>
      </w:pPr>
      <w:r>
        <w:rPr>
          <w:rFonts w:ascii="Poppins" w:hAnsi="Poppins" w:cs="Poppins"/>
          <w:b/>
          <w:color w:val="005596"/>
          <w:sz w:val="36"/>
        </w:rPr>
        <w:t>"$20K per quarter is a real number. What exactly are we getting?"</w:t>
      </w:r>
    </w:p>
    <w:p>
      <w:r>
        <w:rPr>
          <w:rFonts w:ascii="Khula" w:hAnsi="Khula" w:cs="Khula"/>
          <w:b w:val="0"/>
          <w:color w:val="222222"/>
          <w:sz w:val="22"/>
        </w:rPr>
        <w:t>You are getting a named officer accountable for strategy, sequencing, and governance decisions — someone who can walk into a board meeting and own the AI narrative. You are also getting Q1 deliverables that would take an internal team six months to build: a 5-year strategy, a 3-year roadmap, a prioritized pilot list with ROI hypotheses, a board narrative draft, and a governance baseline. The retainer is the strategy layer. Execution is separately bid and capital-gated — you only fund what the evidence supports.</w:t>
      </w:r>
    </w:p>
    <w:p>
      <w:pPr>
        <w:spacing w:before="280" w:after="80"/>
      </w:pPr>
      <w:r>
        <w:rPr>
          <w:rFonts w:ascii="Poppins" w:hAnsi="Poppins" w:cs="Poppins"/>
          <w:b/>
          <w:color w:val="005596"/>
          <w:sz w:val="36"/>
        </w:rPr>
        <w:t>"We are in the middle of integration. This is not the right time."</w:t>
      </w:r>
    </w:p>
    <w:p>
      <w:r>
        <w:rPr>
          <w:rFonts w:ascii="Khula" w:hAnsi="Khula" w:cs="Khula"/>
          <w:b w:val="0"/>
          <w:color w:val="222222"/>
          <w:sz w:val="22"/>
        </w:rPr>
        <w:t>Integration is exactly the right time. You are standardizing data infrastructure right now. The moment that stabilizes, retrofitting AI onto a locked stack costs two to three times more and takes twice as long. The Q1 work is strategy and roadmap — it runs alongside your integration, not over it. We sequence pilots to start where the data is cleanest and the change management is lightest.</w:t>
      </w:r>
    </w:p>
    <w:p>
      <w:pPr>
        <w:spacing w:before="280" w:after="80"/>
      </w:pPr>
      <w:r>
        <w:rPr>
          <w:rFonts w:ascii="Poppins" w:hAnsi="Poppins" w:cs="Poppins"/>
          <w:b/>
          <w:color w:val="005596"/>
          <w:sz w:val="36"/>
        </w:rPr>
        <w:t>"How do we know the pilots will actually produce ROI?"</w:t>
      </w:r>
    </w:p>
    <w:p>
      <w:r>
        <w:rPr>
          <w:rFonts w:ascii="Khula" w:hAnsi="Khula" w:cs="Khula"/>
          <w:b w:val="0"/>
          <w:color w:val="222222"/>
          <w:sz w:val="22"/>
        </w:rPr>
        <w:t>You do not — and that is the point. Every initiative in this system enters with a stated ROI hypothesis and a capped fail-fast budget. We are not betting big on uncertain outcomes. We are running structured experiments under a cost ceiling, then letting evidence decide what scales and what stops. The governance model means nothing advances to H2 without proof from H1. That is how you protect capital and maintain board credibility.</w:t>
      </w:r>
    </w:p>
    <w:p>
      <w:pPr>
        <w:spacing w:before="280" w:after="80"/>
      </w:pPr>
      <w:r>
        <w:rPr>
          <w:rFonts w:ascii="Poppins" w:hAnsi="Poppins" w:cs="Poppins"/>
          <w:b/>
          <w:color w:val="005596"/>
          <w:sz w:val="36"/>
        </w:rPr>
        <w:t>"Why Improving? Why David specifically?"</w:t>
      </w:r>
    </w:p>
    <w:p>
      <w:r>
        <w:rPr>
          <w:rFonts w:ascii="Khula" w:hAnsi="Khula" w:cs="Khula"/>
          <w:b w:val="0"/>
          <w:color w:val="222222"/>
          <w:sz w:val="22"/>
        </w:rPr>
        <w:t>Improving has maintained advisory relationships with OpenAI, Anthropic, Microsoft, Google, and AWS. We have run AI maturity frameworks across dozens of enterprise clients and co-developed the workshop curriculum used at Forbes AI Roundtables. More specifically, David has been building and operating at this intersection for years — including board experience at United Texas Bank and Terra Arma, executive coaching at the leadership level, and active strategy work across financial services, professional services, and PE-backed platforms. He is not a vendor. He is an officer.</w:t>
      </w:r>
    </w:p>
    <w:p>
      <w:pPr>
        <w:spacing w:before="360" w:after="120"/>
        <w:pBdr>
          <w:bottom w:val="single" w:sz="16" w:space="2" w:color="5BC2A7"/>
        </w:pBdr>
      </w:pPr>
      <w:r>
        <w:rPr>
          <w:rFonts w:ascii="Poppins" w:hAnsi="Poppins" w:cs="Poppins"/>
          <w:b/>
          <w:color w:val="005596"/>
          <w:sz w:val="48"/>
        </w:rPr>
        <w:t>Q1 Deliverables — Own These Cold</w:t>
      </w:r>
    </w:p>
    <w:p>
      <w:r>
        <w:rPr>
          <w:rFonts w:ascii="Khula" w:hAnsi="Khula" w:cs="Khula"/>
          <w:b w:val="0"/>
          <w:color w:val="222222"/>
          <w:sz w:val="22"/>
        </w:rPr>
        <w:t>These are the five outputs David is accountable for delivering in the first quarter. Know what each one is, why it exists, and what it enables before walking into the room.</w:t>
      </w:r>
    </w:p>
    <w:tbl>
      <w:tblPr>
        <w:tblStyle w:val="LightGrid"/>
        <w:tblW w:type="auto" w:w="0"/>
        <w:tblLook w:firstColumn="1" w:firstRow="1" w:lastColumn="0" w:lastRow="0" w:noHBand="0" w:noVBand="1" w:val="04A0"/>
      </w:tblPr>
      <w:tblGrid>
        <w:gridCol w:w="3120"/>
        <w:gridCol w:w="3120"/>
        <w:gridCol w:w="3120"/>
      </w:tblGrid>
      <w:tr>
        <w:tc>
          <w:tcPr>
            <w:tcW w:type="dxa" w:w="3120"/>
            <w:shd w:val="clear" w:color="auto" w:fill="005596"/>
          </w:tcPr>
          <w:p>
            <w:r/>
            <w:r>
              <w:rPr>
                <w:rFonts w:ascii="Poppins" w:hAnsi="Poppins" w:cs="Poppins"/>
                <w:b/>
                <w:color w:val="FFFFFF"/>
                <w:sz w:val="22"/>
              </w:rPr>
              <w:t>Deliverable</w:t>
            </w:r>
          </w:p>
        </w:tc>
        <w:tc>
          <w:tcPr>
            <w:tcW w:type="dxa" w:w="3120"/>
            <w:shd w:val="clear" w:color="auto" w:fill="005596"/>
          </w:tcPr>
          <w:p>
            <w:r/>
            <w:r>
              <w:rPr>
                <w:rFonts w:ascii="Poppins" w:hAnsi="Poppins" w:cs="Poppins"/>
                <w:b/>
                <w:color w:val="FFFFFF"/>
                <w:sz w:val="22"/>
              </w:rPr>
              <w:t>What It Is</w:t>
            </w:r>
          </w:p>
        </w:tc>
        <w:tc>
          <w:tcPr>
            <w:tcW w:type="dxa" w:w="3120"/>
            <w:shd w:val="clear" w:color="auto" w:fill="005596"/>
          </w:tcPr>
          <w:p>
            <w:r/>
            <w:r>
              <w:rPr>
                <w:rFonts w:ascii="Poppins" w:hAnsi="Poppins" w:cs="Poppins"/>
                <w:b/>
                <w:color w:val="FFFFFF"/>
                <w:sz w:val="22"/>
              </w:rPr>
              <w:t>Why It Matters</w:t>
            </w:r>
          </w:p>
        </w:tc>
      </w:tr>
      <w:tr>
        <w:tc>
          <w:tcPr>
            <w:tcW w:type="dxa" w:w="3120"/>
            <w:shd w:val="clear" w:color="auto" w:fill="F5F5F5"/>
          </w:tcPr>
          <w:p>
            <w:r/>
            <w:r>
              <w:rPr>
                <w:rFonts w:ascii="Khula" w:hAnsi="Khula" w:cs="Khula"/>
                <w:b w:val="0"/>
                <w:color w:val="222222"/>
                <w:sz w:val="22"/>
              </w:rPr>
              <w:t>5-Year AI Strategy</w:t>
            </w:r>
          </w:p>
        </w:tc>
        <w:tc>
          <w:tcPr>
            <w:tcW w:type="dxa" w:w="3120"/>
            <w:shd w:val="clear" w:color="auto" w:fill="F5F5F5"/>
          </w:tcPr>
          <w:p>
            <w:r/>
            <w:r>
              <w:rPr>
                <w:rFonts w:ascii="Khula" w:hAnsi="Khula" w:cs="Khula"/>
                <w:b w:val="0"/>
                <w:color w:val="222222"/>
                <w:sz w:val="22"/>
              </w:rPr>
              <w:t>A firm-level strategic narrative for how AI reshapes Springline's business model, service delivery, and competitive position through 2031.</w:t>
            </w:r>
          </w:p>
        </w:tc>
        <w:tc>
          <w:tcPr>
            <w:tcW w:type="dxa" w:w="3120"/>
            <w:shd w:val="clear" w:color="auto" w:fill="F5F5F5"/>
          </w:tcPr>
          <w:p>
            <w:r/>
            <w:r>
              <w:rPr>
                <w:rFonts w:ascii="Khula" w:hAnsi="Khula" w:cs="Khula"/>
                <w:b w:val="0"/>
                <w:color w:val="222222"/>
                <w:sz w:val="22"/>
              </w:rPr>
              <w:t>Sets the vision that everything else is measured against. The board narrative lives inside this.</w:t>
            </w:r>
          </w:p>
        </w:tc>
      </w:tr>
      <w:tr>
        <w:tc>
          <w:tcPr>
            <w:tcW w:type="dxa" w:w="3120"/>
          </w:tcPr>
          <w:p>
            <w:r/>
            <w:r>
              <w:rPr>
                <w:rFonts w:ascii="Khula" w:hAnsi="Khula" w:cs="Khula"/>
                <w:b w:val="0"/>
                <w:color w:val="222222"/>
                <w:sz w:val="22"/>
              </w:rPr>
              <w:t>3-Year Roadmap</w:t>
            </w:r>
          </w:p>
        </w:tc>
        <w:tc>
          <w:tcPr>
            <w:tcW w:type="dxa" w:w="3120"/>
          </w:tcPr>
          <w:p>
            <w:r/>
            <w:r>
              <w:rPr>
                <w:rFonts w:ascii="Khula" w:hAnsi="Khula" w:cs="Khula"/>
                <w:b w:val="0"/>
                <w:color w:val="222222"/>
                <w:sz w:val="22"/>
              </w:rPr>
              <w:t>A sequenced, initiative-level plan across the three Horizons (Run, Scale, Reinvent) with firm-by-firm phasing.</w:t>
            </w:r>
          </w:p>
        </w:tc>
        <w:tc>
          <w:tcPr>
            <w:tcW w:type="dxa" w:w="3120"/>
          </w:tcPr>
          <w:p>
            <w:r/>
            <w:r>
              <w:rPr>
                <w:rFonts w:ascii="Khula" w:hAnsi="Khula" w:cs="Khula"/>
                <w:b w:val="0"/>
                <w:color w:val="222222"/>
                <w:sz w:val="22"/>
              </w:rPr>
              <w:t>Translates strategy to execution. Shows stakeholders what happens when and in what order.</w:t>
            </w:r>
          </w:p>
        </w:tc>
      </w:tr>
      <w:tr>
        <w:tc>
          <w:tcPr>
            <w:tcW w:type="dxa" w:w="3120"/>
            <w:shd w:val="clear" w:color="auto" w:fill="F5F5F5"/>
          </w:tcPr>
          <w:p>
            <w:r/>
            <w:r>
              <w:rPr>
                <w:rFonts w:ascii="Khula" w:hAnsi="Khula" w:cs="Khula"/>
                <w:b w:val="0"/>
                <w:color w:val="222222"/>
                <w:sz w:val="22"/>
              </w:rPr>
              <w:t>Prioritized Pilot List with ROI Hypotheses</w:t>
            </w:r>
          </w:p>
        </w:tc>
        <w:tc>
          <w:tcPr>
            <w:tcW w:type="dxa" w:w="3120"/>
            <w:shd w:val="clear" w:color="auto" w:fill="F5F5F5"/>
          </w:tcPr>
          <w:p>
            <w:r/>
            <w:r>
              <w:rPr>
                <w:rFonts w:ascii="Khula" w:hAnsi="Khula" w:cs="Khula"/>
                <w:b w:val="0"/>
                <w:color w:val="222222"/>
                <w:sz w:val="22"/>
              </w:rPr>
              <w:t>A rank-ordered list of H1 pilots, each with a stated hypothesis, success metric, and capped budget.</w:t>
            </w:r>
          </w:p>
        </w:tc>
        <w:tc>
          <w:tcPr>
            <w:tcW w:type="dxa" w:w="3120"/>
            <w:shd w:val="clear" w:color="auto" w:fill="F5F5F5"/>
          </w:tcPr>
          <w:p>
            <w:r/>
            <w:r>
              <w:rPr>
                <w:rFonts w:ascii="Khula" w:hAnsi="Khula" w:cs="Khula"/>
                <w:b w:val="0"/>
                <w:color w:val="222222"/>
                <w:sz w:val="22"/>
              </w:rPr>
              <w:t>This is the capital allocation tool. It is how you enter the first portfolio gate with evidence-ready framing.</w:t>
            </w:r>
          </w:p>
        </w:tc>
      </w:tr>
      <w:tr>
        <w:tc>
          <w:tcPr>
            <w:tcW w:type="dxa" w:w="3120"/>
          </w:tcPr>
          <w:p>
            <w:r/>
            <w:r>
              <w:rPr>
                <w:rFonts w:ascii="Khula" w:hAnsi="Khula" w:cs="Khula"/>
                <w:b w:val="0"/>
                <w:color w:val="222222"/>
                <w:sz w:val="22"/>
              </w:rPr>
              <w:t>Board and Investor Narrative Draft</w:t>
            </w:r>
          </w:p>
        </w:tc>
        <w:tc>
          <w:tcPr>
            <w:tcW w:type="dxa" w:w="3120"/>
          </w:tcPr>
          <w:p>
            <w:r/>
            <w:r>
              <w:rPr>
                <w:rFonts w:ascii="Khula" w:hAnsi="Khula" w:cs="Khula"/>
                <w:b w:val="0"/>
                <w:color w:val="222222"/>
                <w:sz w:val="22"/>
              </w:rPr>
              <w:t>A structured narrative document positioning Springline's AI program for PE diligence and board communication.</w:t>
            </w:r>
          </w:p>
        </w:tc>
        <w:tc>
          <w:tcPr>
            <w:tcW w:type="dxa" w:w="3120"/>
          </w:tcPr>
          <w:p>
            <w:r/>
            <w:r>
              <w:rPr>
                <w:rFonts w:ascii="Khula" w:hAnsi="Khula" w:cs="Khula"/>
                <w:b w:val="0"/>
                <w:color w:val="222222"/>
                <w:sz w:val="22"/>
              </w:rPr>
              <w:t>Directly supports exit readiness. This is the Realized/In-flight/Optioned snapshot in presentable form.</w:t>
            </w:r>
          </w:p>
        </w:tc>
      </w:tr>
      <w:tr>
        <w:tc>
          <w:tcPr>
            <w:tcW w:type="dxa" w:w="3120"/>
            <w:shd w:val="clear" w:color="auto" w:fill="F5F5F5"/>
          </w:tcPr>
          <w:p>
            <w:r/>
            <w:r>
              <w:rPr>
                <w:rFonts w:ascii="Khula" w:hAnsi="Khula" w:cs="Khula"/>
                <w:b w:val="0"/>
                <w:color w:val="222222"/>
                <w:sz w:val="22"/>
              </w:rPr>
              <w:t>Governance Baseline</w:t>
            </w:r>
          </w:p>
        </w:tc>
        <w:tc>
          <w:tcPr>
            <w:tcW w:type="dxa" w:w="3120"/>
            <w:shd w:val="clear" w:color="auto" w:fill="F5F5F5"/>
          </w:tcPr>
          <w:p>
            <w:r/>
            <w:r>
              <w:rPr>
                <w:rFonts w:ascii="Khula" w:hAnsi="Khula" w:cs="Khula"/>
                <w:b w:val="0"/>
                <w:color w:val="222222"/>
                <w:sz w:val="22"/>
              </w:rPr>
              <w:t>Audit logging standards, data-privacy controls, HR and policy compliance rules, and human approval point definitions.</w:t>
            </w:r>
          </w:p>
        </w:tc>
        <w:tc>
          <w:tcPr>
            <w:tcW w:type="dxa" w:w="3120"/>
            <w:shd w:val="clear" w:color="auto" w:fill="F5F5F5"/>
          </w:tcPr>
          <w:p>
            <w:r/>
            <w:r>
              <w:rPr>
                <w:rFonts w:ascii="Khula" w:hAnsi="Khula" w:cs="Khula"/>
                <w:b w:val="0"/>
                <w:color w:val="222222"/>
                <w:sz w:val="22"/>
              </w:rPr>
              <w:t>Precondition for Stage 4 agentic operations. Without this, you cannot scale responsibly across twelve firms.</w:t>
            </w:r>
          </w:p>
        </w:tc>
      </w:tr>
    </w:tbl>
    <w:p/>
    <w:p>
      <w:pPr>
        <w:spacing w:before="360" w:after="120"/>
        <w:pBdr>
          <w:bottom w:val="single" w:sz="16" w:space="2" w:color="5BC2A7"/>
        </w:pBdr>
      </w:pPr>
      <w:r>
        <w:rPr>
          <w:rFonts w:ascii="Poppins" w:hAnsi="Poppins" w:cs="Poppins"/>
          <w:b/>
          <w:color w:val="005596"/>
          <w:sz w:val="48"/>
        </w:rPr>
        <w:t>David's Positioning in the Room</w:t>
      </w:r>
    </w:p>
    <w:p>
      <w:r>
        <w:rPr>
          <w:rFonts w:ascii="Khula" w:hAnsi="Khula" w:cs="Khula"/>
          <w:b w:val="0"/>
          <w:color w:val="222222"/>
          <w:sz w:val="22"/>
        </w:rPr>
        <w:t>You are not a consultant pitching a project. You are the named Fractional AI Officer. Own that framing from the first sentence. The difference is accountability and continuity — a consultant delivers and leaves. An officer stays, adapts, and is accountable for the portfolio quarter over quarter.</w:t>
      </w:r>
    </w:p>
    <w:p>
      <w:r>
        <w:rPr>
          <w:rFonts w:ascii="Khula" w:hAnsi="Khula" w:cs="Khula"/>
          <w:b w:val="0"/>
          <w:color w:val="222222"/>
          <w:sz w:val="22"/>
        </w:rPr>
        <w:t>Lead with Springline's situation, not the proposal. The strongest opening is a crisp read of where they are: a platform in integration, at a window that will close, with PE expectations that require an AI story — not just an AI experiment. Then connect that directly to what the engagement system does. Let the proposal be the answer to a problem they recognize, not a pitch they are evaluating.</w:t>
      </w:r>
    </w:p>
    <w:tbl>
      <w:tblPr>
        <w:tblW w:type="auto" w:w="0"/>
        <w:tblLayout w:type="autofit"/>
        <w:tblLook w:firstColumn="1" w:firstRow="1" w:lastColumn="0" w:lastRow="0" w:noHBand="0" w:noVBand="1" w:val="04A0"/>
      </w:tblPr>
      <w:tblGrid>
        <w:gridCol w:w="9360"/>
      </w:tblGrid>
      <w:tr>
        <w:tc>
          <w:tcPr>
            <w:tcW w:type="dxa" w:w="9360"/>
            <w:vAlign w:val="center"/>
            <w:shd w:val="clear" w:color="auto" w:fill="F5F5F5"/>
            <w:tcBorders>
              <w:top w:val="nil"/>
              <w:right w:val="nil"/>
              <w:bottom w:val="nil"/>
              <w:left w:val="single" w:sz="36" w:color="005596"/>
            </w:tcBorders>
          </w:tcPr>
          <w:p>
            <w:pPr>
              <w:spacing w:before="160" w:after="160"/>
              <w:ind w:left="216"/>
            </w:pPr>
            <w:r>
              <w:rPr>
                <w:rFonts w:ascii="Khula" w:hAnsi="Khula" w:cs="Khula"/>
                <w:b w:val="0"/>
                <w:color w:val="222222"/>
                <w:sz w:val="22"/>
              </w:rPr>
              <w:t>The positioning line: "I am not here to sell you AI. I am here to be the officer accountable for making sure that every dollar Springline puts toward AI produces evidence, drives the roadmap, and builds a story your board and your investors can hold."</w:t>
            </w:r>
          </w:p>
        </w:tc>
      </w:tr>
    </w:tbl>
    <w:p/>
    <w:p>
      <w:r>
        <w:rPr>
          <w:rFonts w:ascii="Khula" w:hAnsi="Khula" w:cs="Khula"/>
          <w:b w:val="0"/>
          <w:color w:val="222222"/>
          <w:sz w:val="22"/>
        </w:rPr>
        <w:t>If there is a skeptic in the room, direct your energy toward them first. Skeptics want rigor, not enthusiasm. The fail-fast model, the capital gates, and the governance baseline are your tools. Use them. Winning the skeptic wins the room.</w:t>
      </w:r>
    </w:p>
    <w:p>
      <w:pPr>
        <w:spacing w:before="360" w:after="120"/>
        <w:pBdr>
          <w:bottom w:val="single" w:sz="16" w:space="2" w:color="5BC2A7"/>
        </w:pBdr>
      </w:pPr>
      <w:r>
        <w:rPr>
          <w:rFonts w:ascii="Poppins" w:hAnsi="Poppins" w:cs="Poppins"/>
          <w:b/>
          <w:color w:val="005596"/>
          <w:sz w:val="48"/>
        </w:rPr>
        <w:t>Quick Reference — AI Maturity Stage Framing</w:t>
      </w:r>
    </w:p>
    <w:p>
      <w:r>
        <w:rPr>
          <w:rFonts w:ascii="Khula" w:hAnsi="Khula" w:cs="Khula"/>
          <w:b w:val="0"/>
          <w:color w:val="222222"/>
          <w:sz w:val="22"/>
        </w:rPr>
        <w:t>Springline is currently operating at the Stage 1 to Stage 2 boundary: tools adopted, some automation in place, but no coordinated strategy or governance. The near-term program targets Stage 2 through Stage 4 — moving from individual tool use to process-level automation to governed agentic operations. Do not lead with Stage 4 or Stage 8. Lead with the next two moves.</w:t>
      </w:r>
    </w:p>
    <w:tbl>
      <w:tblPr>
        <w:tblStyle w:val="LightGrid"/>
        <w:tblW w:type="auto" w:w="0"/>
        <w:tblLook w:firstColumn="1" w:firstRow="1" w:lastColumn="0" w:lastRow="0" w:noHBand="0" w:noVBand="1" w:val="04A0"/>
      </w:tblPr>
      <w:tblGrid>
        <w:gridCol w:w="3120"/>
        <w:gridCol w:w="3120"/>
        <w:gridCol w:w="3120"/>
      </w:tblGrid>
      <w:tr>
        <w:tc>
          <w:tcPr>
            <w:tcW w:type="dxa" w:w="3120"/>
            <w:shd w:val="clear" w:color="auto" w:fill="005596"/>
          </w:tcPr>
          <w:p>
            <w:r/>
            <w:r>
              <w:rPr>
                <w:rFonts w:ascii="Poppins" w:hAnsi="Poppins" w:cs="Poppins"/>
                <w:b/>
                <w:color w:val="FFFFFF"/>
                <w:sz w:val="22"/>
              </w:rPr>
              <w:t>Wave</w:t>
            </w:r>
          </w:p>
        </w:tc>
        <w:tc>
          <w:tcPr>
            <w:tcW w:type="dxa" w:w="3120"/>
            <w:shd w:val="clear" w:color="auto" w:fill="005596"/>
          </w:tcPr>
          <w:p>
            <w:r/>
            <w:r>
              <w:rPr>
                <w:rFonts w:ascii="Poppins" w:hAnsi="Poppins" w:cs="Poppins"/>
                <w:b/>
                <w:color w:val="FFFFFF"/>
                <w:sz w:val="22"/>
              </w:rPr>
              <w:t>Stages</w:t>
            </w:r>
          </w:p>
        </w:tc>
        <w:tc>
          <w:tcPr>
            <w:tcW w:type="dxa" w:w="3120"/>
            <w:shd w:val="clear" w:color="auto" w:fill="005596"/>
          </w:tcPr>
          <w:p>
            <w:r/>
            <w:r>
              <w:rPr>
                <w:rFonts w:ascii="Poppins" w:hAnsi="Poppins" w:cs="Poppins"/>
                <w:b/>
                <w:color w:val="FFFFFF"/>
                <w:sz w:val="22"/>
              </w:rPr>
              <w:t>Focus</w:t>
            </w:r>
          </w:p>
        </w:tc>
      </w:tr>
      <w:tr>
        <w:tc>
          <w:tcPr>
            <w:tcW w:type="dxa" w:w="3120"/>
            <w:shd w:val="clear" w:color="auto" w:fill="F5F5F5"/>
          </w:tcPr>
          <w:p>
            <w:r/>
            <w:r>
              <w:rPr>
                <w:rFonts w:ascii="Khula" w:hAnsi="Khula" w:cs="Khula"/>
                <w:b w:val="0"/>
                <w:color w:val="222222"/>
                <w:sz w:val="22"/>
              </w:rPr>
              <w:t>Wave 1: Tools</w:t>
            </w:r>
          </w:p>
        </w:tc>
        <w:tc>
          <w:tcPr>
            <w:tcW w:type="dxa" w:w="3120"/>
            <w:shd w:val="clear" w:color="auto" w:fill="F5F5F5"/>
          </w:tcPr>
          <w:p>
            <w:r/>
            <w:r>
              <w:rPr>
                <w:rFonts w:ascii="Khula" w:hAnsi="Khula" w:cs="Khula"/>
                <w:b w:val="0"/>
                <w:color w:val="222222"/>
                <w:sz w:val="22"/>
              </w:rPr>
              <w:t>Stages 1-3</w:t>
            </w:r>
          </w:p>
        </w:tc>
        <w:tc>
          <w:tcPr>
            <w:tcW w:type="dxa" w:w="3120"/>
            <w:shd w:val="clear" w:color="auto" w:fill="F5F5F5"/>
          </w:tcPr>
          <w:p>
            <w:r/>
            <w:r>
              <w:rPr>
                <w:rFonts w:ascii="Khula" w:hAnsi="Khula" w:cs="Khula"/>
                <w:b w:val="0"/>
                <w:color w:val="222222"/>
                <w:sz w:val="22"/>
              </w:rPr>
              <w:t>Individual adoption, task agents, measurable efficiency</w:t>
            </w:r>
          </w:p>
        </w:tc>
      </w:tr>
      <w:tr>
        <w:tc>
          <w:tcPr>
            <w:tcW w:type="dxa" w:w="3120"/>
          </w:tcPr>
          <w:p>
            <w:r/>
            <w:r>
              <w:rPr>
                <w:rFonts w:ascii="Khula" w:hAnsi="Khula" w:cs="Khula"/>
                <w:b w:val="0"/>
                <w:color w:val="222222"/>
                <w:sz w:val="22"/>
              </w:rPr>
              <w:t>Wave 2: Process</w:t>
            </w:r>
          </w:p>
        </w:tc>
        <w:tc>
          <w:tcPr>
            <w:tcW w:type="dxa" w:w="3120"/>
          </w:tcPr>
          <w:p>
            <w:r/>
            <w:r>
              <w:rPr>
                <w:rFonts w:ascii="Khula" w:hAnsi="Khula" w:cs="Khula"/>
                <w:b w:val="0"/>
                <w:color w:val="222222"/>
                <w:sz w:val="22"/>
              </w:rPr>
              <w:t>Stages 4-5</w:t>
            </w:r>
          </w:p>
        </w:tc>
        <w:tc>
          <w:tcPr>
            <w:tcW w:type="dxa" w:w="3120"/>
          </w:tcPr>
          <w:p>
            <w:r/>
            <w:r>
              <w:rPr>
                <w:rFonts w:ascii="Khula" w:hAnsi="Khula" w:cs="Khula"/>
                <w:b w:val="0"/>
                <w:color w:val="222222"/>
                <w:sz w:val="22"/>
              </w:rPr>
              <w:t>Cross-firm workflow automation, governed operations</w:t>
            </w:r>
          </w:p>
        </w:tc>
      </w:tr>
      <w:tr>
        <w:tc>
          <w:tcPr>
            <w:tcW w:type="dxa" w:w="3120"/>
            <w:shd w:val="clear" w:color="auto" w:fill="F5F5F5"/>
          </w:tcPr>
          <w:p>
            <w:r/>
            <w:r>
              <w:rPr>
                <w:rFonts w:ascii="Khula" w:hAnsi="Khula" w:cs="Khula"/>
                <w:b w:val="0"/>
                <w:color w:val="222222"/>
                <w:sz w:val="22"/>
              </w:rPr>
              <w:t>Wave 3: Agentic Operations</w:t>
            </w:r>
          </w:p>
        </w:tc>
        <w:tc>
          <w:tcPr>
            <w:tcW w:type="dxa" w:w="3120"/>
            <w:shd w:val="clear" w:color="auto" w:fill="F5F5F5"/>
          </w:tcPr>
          <w:p>
            <w:r/>
            <w:r>
              <w:rPr>
                <w:rFonts w:ascii="Khula" w:hAnsi="Khula" w:cs="Khula"/>
                <w:b w:val="0"/>
                <w:color w:val="222222"/>
                <w:sz w:val="22"/>
              </w:rPr>
              <w:t>Stages 6-8</w:t>
            </w:r>
          </w:p>
        </w:tc>
        <w:tc>
          <w:tcPr>
            <w:tcW w:type="dxa" w:w="3120"/>
            <w:shd w:val="clear" w:color="auto" w:fill="F5F5F5"/>
          </w:tcPr>
          <w:p>
            <w:r/>
            <w:r>
              <w:rPr>
                <w:rFonts w:ascii="Khula" w:hAnsi="Khula" w:cs="Khula"/>
                <w:b w:val="0"/>
                <w:color w:val="222222"/>
                <w:sz w:val="22"/>
              </w:rPr>
              <w:t>Client-facing AI, reinvention, platform-level intelligence</w:t>
            </w:r>
          </w:p>
        </w:tc>
      </w:tr>
    </w:tbl>
    <w:p/>
    <w:p>
      <w:r>
        <w:rPr>
          <w:rFonts w:ascii="Khula" w:hAnsi="Khula" w:cs="Khula"/>
          <w:b w:val="0"/>
          <w:color w:val="222222"/>
          <w:sz w:val="22"/>
        </w:rPr>
        <w:t>The engagement system is designed to move Springline from Wave 1 into Wave 2 over the first 12-18 months, with Wave 3 initiatives entering the optioned portfolio as evidence accumulates. Do not overpromise on Wave 3 timing.</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8" w:space="4" w:color="4597D3"/>
      </w:pBdr>
    </w:pPr>
    <w:r>
      <w:rPr>
        <w:rFonts w:ascii="Khula" w:hAnsi="Khula" w:cs="Khula"/>
        <w:b w:val="0"/>
        <w:color w:val="606060"/>
        <w:sz w:val="18"/>
      </w:rPr>
      <w:t>improving.com   ·   It's what we 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120"/>
    </w:pPr>
    <w:rPr>
      <w:rFonts w:ascii="Khula" w:hAnsi="Khul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