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5C8A"/>
          <w:sz w:val="20"/>
        </w:rPr>
        <w:t>ENGAGEMENT PROPOSAL · FOLLOW-ON TO IMS REVIEW</w:t>
      </w:r>
    </w:p>
    <w:p>
      <w:pPr>
        <w:spacing w:after="80"/>
      </w:pPr>
      <w:r>
        <w:rPr>
          <w:b/>
          <w:color w:val="0B2B4A"/>
          <w:sz w:val="52"/>
        </w:rPr>
        <w:t>SC.IMS Independent Quality Gate</w:t>
      </w:r>
    </w:p>
    <w:p>
      <w:pPr>
        <w:spacing w:after="200"/>
      </w:pPr>
      <w:r>
        <w:rPr>
          <w:b w:val="0"/>
          <w:color w:val="4A4A4A"/>
          <w:sz w:val="30"/>
        </w:rPr>
        <w:t>An Automated Eval Harness for AI-Generated Compliance Content</w:t>
      </w:r>
    </w:p>
    <w:p>
      <w:pPr>
        <w:pBdr>
          <w:bottom w:val="single" w:sz="6" w:space="1" w:color="0B2B4A"/>
        </w:pBdr>
        <w:spacing w:after="200"/>
      </w:pPr>
    </w:p>
    <w:p>
      <w:r>
        <w:rPr>
          <w:b/>
        </w:rPr>
        <w:t xml:space="preserve">Prepared for: </w:t>
      </w:r>
      <w:r>
        <w:t>Systemic Compliance (Kevin Graham, Robin Graham)</w:t>
      </w:r>
    </w:p>
    <w:p>
      <w:r>
        <w:rPr>
          <w:b/>
        </w:rPr>
        <w:t xml:space="preserve">Prepared by: </w:t>
      </w:r>
      <w:r>
        <w:t>Improving · David O'Hara, Fractional AI Officer</w:t>
      </w:r>
    </w:p>
    <w:p>
      <w:r>
        <w:rPr>
          <w:b/>
        </w:rPr>
        <w:t xml:space="preserve">Date: </w:t>
      </w:r>
      <w:r>
        <w:t>July 2026 · Confidential</w:t>
      </w:r>
    </w:p>
    <w:p>
      <w:pPr>
        <w:spacing w:after="120"/>
      </w:pPr>
    </w:p>
    <w:p>
      <w:pPr>
        <w:spacing w:before="320" w:after="120"/>
      </w:pPr>
      <w:r>
        <w:rPr>
          <w:b/>
          <w:color w:val="0B2B4A"/>
          <w:sz w:val="30"/>
        </w:rPr>
        <w:t>What We Heard</w:t>
      </w:r>
    </w:p>
    <w:p>
      <w:pPr>
        <w:spacing w:after="160"/>
      </w:pPr>
      <w:r>
        <w:rPr>
          <w:sz w:val="22"/>
        </w:rPr>
        <w:t>The July architecture assessment confirmed that SC.IMS's hallucination risk is low at the sourcing layer — the linkage engine references regulatory source documents rather than generating requirements from memory. But the assessment also surfaced the gap sitting directly underneath that reassurance: there is no independent, automated way yet to verify that AI-produced content is accurate before it reaches an operator, a contractor, or an auditor. Today, confidence comes from people reading the output and deciding it looks right.</w:t>
      </w:r>
    </w:p>
    <w:p>
      <w:pPr>
        <w:spacing w:after="160"/>
      </w:pPr>
      <w:r>
        <w:rPr>
          <w:sz w:val="22"/>
        </w:rPr>
        <w:t>That is a scaling problem, not just a quality problem. As SC.IMS produces more crosswalks, more training packages, and more gap analyses across more operators, manual review becomes the bottleneck — and the SME reviewers doing that review are exposed to “cognitive surrender” risk: the more often the AI is right, the less carefully a tired reviewer checks the next output. This is also, independently, the single highest-leverage asset for the business conversation. A documented, automated quality gate is what turns “we use Claude to draft compliance content” into “we have a proprietary, auditable process that guarantees accuracy” — a claim that holds up in a customer contract, a regulator conversation, or a due-diligence data room.</w:t>
      </w:r>
    </w:p>
    <w:p>
      <w:pPr>
        <w:spacing w:after="160"/>
      </w:pPr>
      <w:r>
        <w:rPr>
          <w:sz w:val="22"/>
        </w:rPr>
        <w:t>This proposal scopes the build of that quality gate: the eval harness referenced in the platform brief's recommended next steps (“Create the Quality Gate”) and in the IMS Review work already underway. It converts four hours of design-level advisory into a working, owned capability.</w:t>
      </w:r>
    </w:p>
    <w:p>
      <w:pPr>
        <w:spacing w:after="160"/>
      </w:pPr>
      <w:r>
        <w:rPr>
          <w:sz w:val="20"/>
        </w:rPr>
        <w:t>Scope note: this engagement is limited to SC.IMS — its content generation, its output types, and the quality gate sitting at the point content leaves IMS. SC.ORB (the customer-facing platform) and the broader IMS/ORB integration architecture are separate workstreams and are explicitly out of scope here.</w:t>
      </w:r>
    </w:p>
    <w:p>
      <w:pPr>
        <w:spacing w:before="320" w:after="120"/>
      </w:pPr>
      <w:r>
        <w:rPr>
          <w:b/>
          <w:color w:val="0B2B4A"/>
          <w:sz w:val="30"/>
        </w:rPr>
        <w:t>Risks This Engagement Retires</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color="auto" w:fill="0B2B4A"/>
          </w:tcPr>
          <w:p>
            <w:r/>
            <w:r>
              <w:rPr>
                <w:b/>
                <w:color w:val="FFFFFF"/>
                <w:sz w:val="21"/>
              </w:rPr>
              <w:t>Severity</w:t>
            </w:r>
          </w:p>
        </w:tc>
        <w:tc>
          <w:tcPr>
            <w:tcW w:type="dxa" w:w="3744"/>
            <w:shd w:val="clear" w:color="auto" w:fill="0B2B4A"/>
          </w:tcPr>
          <w:p>
            <w:r/>
            <w:r>
              <w:rPr>
                <w:b/>
                <w:color w:val="FFFFFF"/>
                <w:sz w:val="21"/>
              </w:rPr>
              <w:t>Risk (from architecture assessment)</w:t>
            </w:r>
          </w:p>
        </w:tc>
        <w:tc>
          <w:tcPr>
            <w:tcW w:type="dxa" w:w="4464"/>
            <w:shd w:val="clear" w:color="auto" w:fill="0B2B4A"/>
          </w:tcPr>
          <w:p>
            <w:r/>
            <w:r>
              <w:rPr>
                <w:b/>
                <w:color w:val="FFFFFF"/>
                <w:sz w:val="21"/>
              </w:rPr>
              <w:t>How This Engagement Addresses It</w:t>
            </w:r>
          </w:p>
        </w:tc>
      </w:tr>
      <w:tr>
        <w:tc>
          <w:tcPr>
            <w:tcW w:type="dxa" w:w="1152"/>
          </w:tcPr>
          <w:p>
            <w:r/>
            <w:r>
              <w:rPr>
                <w:sz w:val="20"/>
              </w:rPr>
              <w:t>HIGH</w:t>
            </w:r>
          </w:p>
        </w:tc>
        <w:tc>
          <w:tcPr>
            <w:tcW w:type="dxa" w:w="3744"/>
          </w:tcPr>
          <w:p>
            <w:r/>
            <w:r>
              <w:rPr>
                <w:sz w:val="20"/>
              </w:rPr>
              <w:t>No independent check on AI output</w:t>
            </w:r>
          </w:p>
        </w:tc>
        <w:tc>
          <w:tcPr>
            <w:tcW w:type="dxa" w:w="4464"/>
          </w:tcPr>
          <w:p>
            <w:r/>
            <w:r>
              <w:rPr>
                <w:sz w:val="20"/>
              </w:rPr>
              <w:t>Introduces the automated quality gate itself — nothing ships to a customer without passing it.</w:t>
            </w:r>
          </w:p>
        </w:tc>
      </w:tr>
      <w:tr>
        <w:tc>
          <w:tcPr>
            <w:tcW w:type="dxa" w:w="1152"/>
          </w:tcPr>
          <w:p>
            <w:r/>
            <w:r>
              <w:rPr>
                <w:sz w:val="20"/>
              </w:rPr>
              <w:t>MEDIUM</w:t>
            </w:r>
          </w:p>
        </w:tc>
        <w:tc>
          <w:tcPr>
            <w:tcW w:type="dxa" w:w="3744"/>
          </w:tcPr>
          <w:p>
            <w:r/>
            <w:r>
              <w:rPr>
                <w:sz w:val="20"/>
              </w:rPr>
              <w:t>No automated grading for AI content</w:t>
            </w:r>
          </w:p>
        </w:tc>
        <w:tc>
          <w:tcPr>
            <w:tcW w:type="dxa" w:w="4464"/>
          </w:tcPr>
          <w:p>
            <w:r/>
            <w:r>
              <w:rPr>
                <w:sz w:val="20"/>
              </w:rPr>
              <w:t>Builds graders (deterministic + LLM-judge) calibrated against SME-reviewed golden answers.</w:t>
            </w:r>
          </w:p>
        </w:tc>
      </w:tr>
      <w:tr>
        <w:tc>
          <w:tcPr>
            <w:tcW w:type="dxa" w:w="1152"/>
          </w:tcPr>
          <w:p>
            <w:r/>
            <w:r>
              <w:rPr>
                <w:sz w:val="20"/>
              </w:rPr>
              <w:t>MEDIUM</w:t>
            </w:r>
          </w:p>
        </w:tc>
        <w:tc>
          <w:tcPr>
            <w:tcW w:type="dxa" w:w="3744"/>
          </w:tcPr>
          <w:p>
            <w:r/>
            <w:r>
              <w:rPr>
                <w:sz w:val="20"/>
              </w:rPr>
              <w:t>Confidence relies on manual review</w:t>
            </w:r>
          </w:p>
        </w:tc>
        <w:tc>
          <w:tcPr>
            <w:tcW w:type="dxa" w:w="4464"/>
          </w:tcPr>
          <w:p>
            <w:r/>
            <w:r>
              <w:rPr>
                <w:sz w:val="20"/>
              </w:rPr>
              <w:t>Shifts first-pass confidence to automated scoring; manual review becomes exception-handling, not the whole process.</w:t>
            </w:r>
          </w:p>
        </w:tc>
      </w:tr>
      <w:tr>
        <w:tc>
          <w:tcPr>
            <w:tcW w:type="dxa" w:w="1152"/>
          </w:tcPr>
          <w:p>
            <w:r/>
            <w:r>
              <w:rPr>
                <w:sz w:val="20"/>
              </w:rPr>
              <w:t>HIGH</w:t>
            </w:r>
          </w:p>
        </w:tc>
        <w:tc>
          <w:tcPr>
            <w:tcW w:type="dxa" w:w="3744"/>
          </w:tcPr>
          <w:p>
            <w:r/>
            <w:r>
              <w:rPr>
                <w:sz w:val="20"/>
              </w:rPr>
              <w:t>Thin automated testing</w:t>
            </w:r>
          </w:p>
        </w:tc>
        <w:tc>
          <w:tcPr>
            <w:tcW w:type="dxa" w:w="4464"/>
          </w:tcPr>
          <w:p>
            <w:r/>
            <w:r>
              <w:rPr>
                <w:sz w:val="20"/>
              </w:rPr>
              <w:t>Establishes the regression suite that catches silent quality drift when prompts, models, or source data change.</w:t>
            </w:r>
          </w:p>
        </w:tc>
      </w:tr>
    </w:tbl>
    <w:p>
      <w:pPr>
        <w:spacing w:after="40"/>
      </w:pPr>
    </w:p>
    <w:p>
      <w:pPr>
        <w:spacing w:before="320" w:after="120"/>
      </w:pPr>
      <w:r>
        <w:rPr>
          <w:b/>
          <w:color w:val="0B2B4A"/>
          <w:sz w:val="30"/>
        </w:rPr>
        <w:t>How This De-Risks the Move Out of Cowork</w:t>
      </w:r>
    </w:p>
    <w:p>
      <w:pPr>
        <w:spacing w:after="160"/>
      </w:pPr>
      <w:r>
        <w:rPr>
          <w:sz w:val="22"/>
        </w:rPr>
        <w:t>The architecture assessment is explicit that the intelligence engine has to end up “company-owned and controlled,” not dependent on a single outside vendor. Today, SC.IMS runs entirely inside a Claude/Cowork seat — the actual business logic (what a correct crosswalk, training package, or gap analysis looks like) exists only as Kevin's prompts and his personal judgment about whether an output looks right, inside that one environment. Every strategic path the assessment lays out — Keep &amp; Scale or Harvest IP — requires extracting IMS out of Cowork first. This eval harness is not that extraction work, but it is what makes the extraction safe and provable rather than a blind rebuild, in three specific ways.</w:t>
      </w:r>
    </w:p>
    <w:p>
      <w:pPr>
        <w:pStyle w:val="ListBullet"/>
        <w:spacing w:after="80"/>
      </w:pPr>
      <w:r>
        <w:t>It becomes the acceptance test for the migration.</w:t>
      </w:r>
    </w:p>
    <w:p>
      <w:pPr>
        <w:spacing w:after="160"/>
      </w:pPr>
      <w:r>
        <w:rPr>
          <w:sz w:val="21"/>
        </w:rPr>
        <w:t>Right now there is no independent way to know whether a rebuilt SC.IMS — running outside Cowork, on infrastructure Systemic Compliance owns — is actually as good as what exists today. The golden sets and graders built in Phases 1–2 give a portable, model-agnostic yardstick. Once the engine is rebuilt outside Claude/Cowork, the same eval suite reruns against the new system's outputs and produces a hard pass/fail comparison against the original — a measured regression test instead of a leap of faith.</w:t>
      </w:r>
    </w:p>
    <w:p>
      <w:pPr>
        <w:pStyle w:val="ListBullet"/>
        <w:spacing w:after="80"/>
      </w:pPr>
      <w:r>
        <w:t>It forces the tacit knowledge trapped in Cowork to become an explicit, portable spec.</w:t>
      </w:r>
    </w:p>
    <w:p>
      <w:pPr>
        <w:spacing w:after="160"/>
      </w:pPr>
      <w:r>
        <w:rPr>
          <w:sz w:val="21"/>
        </w:rPr>
        <w:t>Building golden sets and rubrics means SME-adjudicating and writing down what “correct” means for each IMS output type, independent of any specific vendor's tooling. That specification is itself extracted IP — usable by whoever rebuilds the engine, on whatever stack it lands on. Without it, the only description of “what SC.IMS actually does” lives in Kevin's head and in prompts that don't travel with the extraction.</w:t>
      </w:r>
    </w:p>
    <w:p>
      <w:pPr>
        <w:pStyle w:val="ListBullet"/>
        <w:spacing w:after="80"/>
      </w:pPr>
      <w:r>
        <w:t>It lets the migration happen incrementally instead of one risky cutover.</w:t>
      </w:r>
    </w:p>
    <w:p>
      <w:pPr>
        <w:spacing w:after="160"/>
      </w:pPr>
      <w:r>
        <w:rPr>
          <w:sz w:val="21"/>
        </w:rPr>
        <w:t>With the harness in place, pieces can be swapped one at a time — model, hosting, orchestration — and the eval suite verifies each swap didn't regress quality before moving to the next piece. That mirrors the assessment's own guidance on vendor dependency generally: replace tied-in pieces one at a time, verify as you go, rather than a single big-bang rebuild.</w:t>
      </w:r>
    </w:p>
    <w:p>
      <w:pPr>
        <w:spacing w:after="160"/>
      </w:pPr>
      <w:r>
        <w:rPr>
          <w:sz w:val="20"/>
        </w:rPr>
        <w:t>To be clear on boundaries: this proposal builds the eval harness only. Rebuilding the engine itself on owned infrastructure is the separate “Stand Up the Independent AI Engine” workstream from the assessment's recommended next steps — but that workstream depends on this one existing first, since there is no safe way to prove the rebuild worked without it.</w:t>
      </w:r>
    </w:p>
    <w:p>
      <w:pPr>
        <w:spacing w:before="320" w:after="120"/>
      </w:pPr>
      <w:r>
        <w:rPr>
          <w:b/>
          <w:color w:val="0B2B4A"/>
          <w:sz w:val="30"/>
        </w:rPr>
        <w:t>Our Approach</w:t>
      </w:r>
    </w:p>
    <w:p>
      <w:pPr>
        <w:spacing w:after="160"/>
      </w:pPr>
      <w:r>
        <w:rPr>
          <w:sz w:val="22"/>
        </w:rPr>
        <w:t>SC.IMS produces four materially different kinds of AI output, and a single generic “LLM-judge” grader will not hold up across all of them. We scope a distinct evaluation method per content type, unified under one gate, one dashboard, and one escalation workflow.</w:t>
      </w:r>
    </w:p>
    <w:p>
      <w:pPr>
        <w:spacing w:before="200" w:after="80"/>
      </w:pPr>
      <w:r>
        <w:rPr>
          <w:b/>
          <w:color w:val="1F5C8A"/>
          <w:sz w:val="25"/>
        </w:rPr>
        <w:t>1. Regulatory Linkage &amp; Crosswalk Output</w:t>
      </w:r>
    </w:p>
    <w:p>
      <w:pPr>
        <w:spacing w:after="160"/>
      </w:pPr>
      <w:r>
        <w:rPr>
          <w:sz w:val="22"/>
        </w:rPr>
        <w:t>Reference-grounded, so the eval is closer to citation-checking than judgment. For each generated requirement, crosswalk entry, or audit-protocol answer, the grader verifies: (a) the cited source document exists and is current as of the applicable NPRM/finalization date, (b) the cited passage actually supports the generated claim (extractive-match check), and (c) no requirement is dropped or duplicated against a known-good crosswalk baseline. This is the highest-confidence, most fully automatable layer — deterministic checks plus a lightweight LLM-judge for passage-support scoring.</w:t>
      </w:r>
    </w:p>
    <w:p>
      <w:pPr>
        <w:spacing w:before="200" w:after="80"/>
      </w:pPr>
      <w:r>
        <w:rPr>
          <w:b/>
          <w:color w:val="1F5C8A"/>
          <w:sz w:val="25"/>
        </w:rPr>
        <w:t>2. Training Content (Instructor-Led, OJT, Self-Study, SCORM/CBT)</w:t>
      </w:r>
    </w:p>
    <w:p>
      <w:pPr>
        <w:spacing w:after="160"/>
      </w:pPr>
      <w:r>
        <w:rPr>
          <w:sz w:val="22"/>
        </w:rPr>
        <w:t>Rubric-graded. A held-out set of “golden” training packages, reviewed and signed off by Kevin's SMEs, anchors an LLM-judge rubric scoring each generated package on regulatory coverage completeness against the CPF, correct competence-level targeting, internal consistency across the four output formats for the same course, and packaging validity (xAPI/CMI/SCORM conformance — machine-checkable independent of content quality).</w:t>
      </w:r>
    </w:p>
    <w:p>
      <w:pPr>
        <w:spacing w:before="200" w:after="80"/>
      </w:pPr>
      <w:r>
        <w:rPr>
          <w:b/>
          <w:color w:val="1F5C8A"/>
          <w:sz w:val="25"/>
        </w:rPr>
        <w:t>3. Gap Analysis Output</w:t>
      </w:r>
    </w:p>
    <w:p>
      <w:pPr>
        <w:spacing w:after="160"/>
      </w:pPr>
      <w:r>
        <w:rPr>
          <w:sz w:val="22"/>
        </w:rPr>
        <w:t>Precision/recall against a benchmark set. We construct a held-out set of operator documents with SME-adjudicated “ground truth” gap lists, then measure the system's precision (no false gaps flagged) and recall (no real gaps missed) on unseen documents. This is the eval most directly relevant to the due-diligence/M&amp;A use case, since a missed gap in that context is a liability, not just a quality miss.</w:t>
      </w:r>
    </w:p>
    <w:p>
      <w:pPr>
        <w:spacing w:before="200" w:after="80"/>
      </w:pPr>
      <w:r>
        <w:rPr>
          <w:b/>
          <w:color w:val="1F5C8A"/>
          <w:sz w:val="25"/>
        </w:rPr>
        <w:t>4. MOC Ripple (Predictive Output)</w:t>
      </w:r>
    </w:p>
    <w:p>
      <w:pPr>
        <w:spacing w:after="160"/>
      </w:pPr>
      <w:r>
        <w:rPr>
          <w:sz w:val="22"/>
        </w:rPr>
        <w:t>Structurally different — it predicts downstream consequences rather than retrieving or summarizing known facts, so it cannot be reference-graded the same way. We scope this as a staged human-in-the-loop calibration track in Phase 1 rather than full automation in Phase 2: build the logging and kickback-capture infrastructure now, and revisit full automation once enough adjudicated predictions exist to calibrate against.</w:t>
      </w:r>
    </w:p>
    <w:p>
      <w:pPr>
        <w:spacing w:before="200" w:after="80"/>
      </w:pPr>
      <w:r>
        <w:rPr>
          <w:b/>
          <w:color w:val="1F5C8A"/>
          <w:sz w:val="25"/>
        </w:rPr>
        <w:t>The Gate Itself</w:t>
      </w:r>
    </w:p>
    <w:p>
      <w:pPr>
        <w:spacing w:after="160"/>
      </w:pPr>
      <w:r>
        <w:rPr>
          <w:sz w:val="22"/>
        </w:rPr>
        <w:t>Every content type feeds a common pipeline: generate → automated grade → confidence score. Above threshold, content passes straight through with a logged audit trail. Below threshold, it routes to human review, and every human decision (approve, reject, edit) is captured as new training/calibration signal for the graders — so the gate gets more precise over time instead of being graded once and left static. Scope here is the gate itself and its hand-off point out of IMS — where and how a downstream consuming system (SC.ORB or otherwise) wires into that hand-off is explicitly out of scope for this engagement and left for a separate workstream.</w:t>
      </w:r>
    </w:p>
    <w:p>
      <w:pPr>
        <w:pStyle w:val="ListBullet"/>
        <w:spacing w:after="80"/>
      </w:pPr>
      <w:r>
        <w:t>Regression suite that reruns the full golden set whenever a prompt, model, or source dataset changes — catches silent quality drift before it reaches a customer.</w:t>
      </w:r>
    </w:p>
    <w:p>
      <w:pPr>
        <w:pStyle w:val="ListBullet"/>
        <w:spacing w:after="80"/>
      </w:pPr>
      <w:r>
        <w:t>Reviewer kickback-rate tracking — directly answers the “cognitive surrender” risk flagged in the original roadmap: are SMEs still catching errors, or rubber-stamping?</w:t>
      </w:r>
    </w:p>
    <w:p>
      <w:pPr>
        <w:pStyle w:val="ListBullet"/>
        <w:spacing w:after="80"/>
      </w:pPr>
      <w:r>
        <w:t>A dashboard summarizing pass rates, confidence trends, and kickback rates by content type — the artifact that makes “we have an independent quality gate” a demonstrable claim in a sales call or a data room, not an assertion.</w:t>
      </w:r>
    </w:p>
    <w:p>
      <w:pPr>
        <w:spacing w:before="320" w:after="120"/>
      </w:pPr>
      <w:r>
        <w:rPr>
          <w:b/>
          <w:color w:val="0B2B4A"/>
          <w:sz w:val="30"/>
        </w:rPr>
        <w:t>Proposed Phases</w:t>
      </w:r>
    </w:p>
    <w:p>
      <w:pPr>
        <w:spacing w:after="160"/>
      </w:pPr>
      <w:r>
        <w:rPr>
          <w:sz w:val="22"/>
        </w:rPr>
        <w:t>Scope for all three phases is bounded to SC.IMS: its four content types, its own generation pipeline, and the point where graded content is handed off. Any downstream platform work — how SC.ORB or another consuming system uses that hand-off — is out of scope here.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color="auto" w:fill="0B2B4A"/>
          </w:tcPr>
          <w:p>
            <w:r/>
            <w:r>
              <w:rPr>
                <w:b/>
                <w:color w:val="FFFFFF"/>
                <w:sz w:val="21"/>
              </w:rPr>
              <w:t>Phase</w:t>
            </w:r>
          </w:p>
        </w:tc>
        <w:tc>
          <w:tcPr>
            <w:tcW w:type="dxa" w:w="1296"/>
            <w:shd w:val="clear" w:color="auto" w:fill="0B2B4A"/>
          </w:tcPr>
          <w:p>
            <w:r/>
            <w:r>
              <w:rPr>
                <w:b/>
                <w:color w:val="FFFFFF"/>
                <w:sz w:val="21"/>
              </w:rPr>
              <w:t>Timeline</w:t>
            </w:r>
          </w:p>
        </w:tc>
        <w:tc>
          <w:tcPr>
            <w:tcW w:type="dxa" w:w="4752"/>
            <w:shd w:val="clear" w:color="auto" w:fill="0B2B4A"/>
          </w:tcPr>
          <w:p>
            <w:r/>
            <w:r>
              <w:rPr>
                <w:b/>
                <w:color w:val="FFFFFF"/>
                <w:sz w:val="21"/>
              </w:rPr>
              <w:t>What We Do</w:t>
            </w:r>
          </w:p>
        </w:tc>
        <w:tc>
          <w:tcPr>
            <w:tcW w:type="dxa" w:w="2016"/>
            <w:shd w:val="clear" w:color="auto" w:fill="0B2B4A"/>
          </w:tcPr>
          <w:p>
            <w:r/>
            <w:r>
              <w:rPr>
                <w:b/>
                <w:color w:val="FFFFFF"/>
                <w:sz w:val="21"/>
              </w:rPr>
              <w:t>Deliverable</w:t>
            </w:r>
          </w:p>
        </w:tc>
      </w:tr>
      <w:tr>
        <w:tc>
          <w:tcPr>
            <w:tcW w:type="dxa" w:w="1584"/>
          </w:tcPr>
          <w:p>
            <w:r/>
            <w:r>
              <w:rPr>
                <w:sz w:val="20"/>
              </w:rPr>
              <w:t>1: Golden Set &amp; Design</w:t>
            </w:r>
          </w:p>
        </w:tc>
        <w:tc>
          <w:tcPr>
            <w:tcW w:type="dxa" w:w="1296"/>
          </w:tcPr>
          <w:p>
            <w:r/>
            <w:r>
              <w:rPr>
                <w:sz w:val="20"/>
              </w:rPr>
              <w:t>Weeks 1–2</w:t>
            </w:r>
          </w:p>
        </w:tc>
        <w:tc>
          <w:tcPr>
            <w:tcW w:type="dxa" w:w="4752"/>
          </w:tcPr>
          <w:p>
            <w:r/>
            <w:r>
              <w:rPr>
                <w:sz w:val="20"/>
              </w:rPr>
              <w:t>Confirm scope per content type. Work with Kevin's SMEs to select and adjudicate golden/held-out examples for each of the four content types. Define grading rubrics and pass/fail thresholds. Stand up kickback-logging for MOC Ripple.</w:t>
            </w:r>
          </w:p>
        </w:tc>
        <w:tc>
          <w:tcPr>
            <w:tcW w:type="dxa" w:w="2016"/>
          </w:tcPr>
          <w:p>
            <w:r/>
            <w:r>
              <w:rPr>
                <w:sz w:val="20"/>
              </w:rPr>
              <w:t>Golden test sets (4 content types), grading rubric spec, threshold agreement</w:t>
            </w:r>
          </w:p>
        </w:tc>
      </w:tr>
      <w:tr>
        <w:tc>
          <w:tcPr>
            <w:tcW w:type="dxa" w:w="1584"/>
          </w:tcPr>
          <w:p>
            <w:r/>
            <w:r>
              <w:rPr>
                <w:sz w:val="20"/>
              </w:rPr>
              <w:t>2: Grader Build &amp; Calibration</w:t>
            </w:r>
          </w:p>
        </w:tc>
        <w:tc>
          <w:tcPr>
            <w:tcW w:type="dxa" w:w="1296"/>
          </w:tcPr>
          <w:p>
            <w:r/>
            <w:r>
              <w:rPr>
                <w:sz w:val="20"/>
              </w:rPr>
              <w:t>Weeks 3–6</w:t>
            </w:r>
          </w:p>
        </w:tc>
        <w:tc>
          <w:tcPr>
            <w:tcW w:type="dxa" w:w="4752"/>
          </w:tcPr>
          <w:p>
            <w:r/>
            <w:r>
              <w:rPr>
                <w:sz w:val="20"/>
              </w:rPr>
              <w:t>Build the deterministic checks (citation/passage-support, SCORM conformance) and the LLM-judge graders (training-content rubric, gap-analysis precision/recall). Calibrate scoring against SME adjudication until grader-vs-SME agreement is acceptable.</w:t>
            </w:r>
          </w:p>
        </w:tc>
        <w:tc>
          <w:tcPr>
            <w:tcW w:type="dxa" w:w="2016"/>
          </w:tcPr>
          <w:p>
            <w:r/>
            <w:r>
              <w:rPr>
                <w:sz w:val="20"/>
              </w:rPr>
              <w:t>Working graders per content type, calibration report, agreement/accuracy metrics</w:t>
            </w:r>
          </w:p>
        </w:tc>
      </w:tr>
      <w:tr>
        <w:tc>
          <w:tcPr>
            <w:tcW w:type="dxa" w:w="1584"/>
          </w:tcPr>
          <w:p>
            <w:r/>
            <w:r>
              <w:rPr>
                <w:sz w:val="20"/>
              </w:rPr>
              <w:t>3: Gate Integration &amp; Handoff</w:t>
            </w:r>
          </w:p>
        </w:tc>
        <w:tc>
          <w:tcPr>
            <w:tcW w:type="dxa" w:w="1296"/>
          </w:tcPr>
          <w:p>
            <w:r/>
            <w:r>
              <w:rPr>
                <w:sz w:val="20"/>
              </w:rPr>
              <w:t>Weeks 7–8</w:t>
            </w:r>
          </w:p>
        </w:tc>
        <w:tc>
          <w:tcPr>
            <w:tcW w:type="dxa" w:w="4752"/>
          </w:tcPr>
          <w:p>
            <w:r/>
            <w:r>
              <w:rPr>
                <w:sz w:val="20"/>
              </w:rPr>
              <w:t>Wire graders into IMS's own generation pipeline as a block/pass gate at the point content leaves IMS. Stand up the dashboard, document the escalation workflow, and train Kevin's team to run and extend it without Improving.</w:t>
            </w:r>
          </w:p>
        </w:tc>
        <w:tc>
          <w:tcPr>
            <w:tcW w:type="dxa" w:w="2016"/>
          </w:tcPr>
          <w:p>
            <w:r/>
            <w:r>
              <w:rPr>
                <w:sz w:val="20"/>
              </w:rPr>
              <w:t>Integrated quality gate (within IMS), dashboard, kickback workflow, documentation and handoff training</w:t>
            </w:r>
          </w:p>
        </w:tc>
      </w:tr>
    </w:tbl>
    <w:p>
      <w:pPr>
        <w:spacing w:after="40"/>
      </w:pPr>
    </w:p>
    <w:p>
      <w:pPr>
        <w:spacing w:before="320" w:after="120"/>
      </w:pPr>
      <w:r>
        <w:rPr>
          <w:b/>
          <w:color w:val="0B2B4A"/>
          <w:sz w:val="30"/>
        </w:rPr>
        <w:t>Proposed Engagement</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0B2B4A"/>
          </w:tcPr>
          <w:p>
            <w:r/>
            <w:r>
              <w:rPr>
                <w:b/>
                <w:color w:val="FFFFFF"/>
                <w:sz w:val="21"/>
              </w:rPr>
            </w:r>
          </w:p>
        </w:tc>
        <w:tc>
          <w:tcPr>
            <w:tcW w:type="dxa" w:w="8352"/>
            <w:shd w:val="clear" w:color="auto" w:fill="0B2B4A"/>
          </w:tcPr>
          <w:p>
            <w:r/>
            <w:r>
              <w:rPr>
                <w:b/>
                <w:color w:val="FFFFFF"/>
                <w:sz w:val="21"/>
              </w:rPr>
            </w:r>
          </w:p>
        </w:tc>
      </w:tr>
      <w:tr>
        <w:tc>
          <w:tcPr>
            <w:tcW w:type="dxa" w:w="2736"/>
          </w:tcPr>
          <w:p>
            <w:r/>
            <w:r>
              <w:rPr>
                <w:sz w:val="20"/>
              </w:rPr>
              <w:t>Duration</w:t>
            </w:r>
          </w:p>
        </w:tc>
        <w:tc>
          <w:tcPr>
            <w:tcW w:type="dxa" w:w="8352"/>
          </w:tcPr>
          <w:p>
            <w:r/>
            <w:r>
              <w:rPr>
                <w:sz w:val="20"/>
              </w:rPr>
              <w:t>8 weeks</w:t>
            </w:r>
          </w:p>
        </w:tc>
      </w:tr>
      <w:tr>
        <w:tc>
          <w:tcPr>
            <w:tcW w:type="dxa" w:w="2736"/>
          </w:tcPr>
          <w:p>
            <w:r/>
            <w:r>
              <w:rPr>
                <w:sz w:val="20"/>
              </w:rPr>
              <w:t>Team</w:t>
            </w:r>
          </w:p>
        </w:tc>
        <w:tc>
          <w:tcPr>
            <w:tcW w:type="dxa" w:w="8352"/>
          </w:tcPr>
          <w:p>
            <w:r/>
            <w:r>
              <w:rPr>
                <w:sz w:val="20"/>
              </w:rPr>
              <w:t>AI Solutions Architect + Senior Engineer (Improving); Kevin Graham + SME reviewer time (Systemic Compliance, part-time throughout)</w:t>
            </w:r>
          </w:p>
        </w:tc>
      </w:tr>
      <w:tr>
        <w:tc>
          <w:tcPr>
            <w:tcW w:type="dxa" w:w="2736"/>
          </w:tcPr>
          <w:p>
            <w:r/>
            <w:r>
              <w:rPr>
                <w:sz w:val="20"/>
              </w:rPr>
              <w:t>Engagement Model</w:t>
            </w:r>
          </w:p>
        </w:tc>
        <w:tc>
          <w:tcPr>
            <w:tcW w:type="dxa" w:w="8352"/>
          </w:tcPr>
          <w:p>
            <w:r/>
            <w:r>
              <w:rPr>
                <w:sz w:val="20"/>
              </w:rPr>
              <w:t>Fixed fee, scoped in phases below — relates to but is separate from the existing 16-hour Q3 advisory retainer (this is build work, not advisory hours)</w:t>
            </w:r>
          </w:p>
        </w:tc>
      </w:tr>
      <w:tr>
        <w:tc>
          <w:tcPr>
            <w:tcW w:type="dxa" w:w="2736"/>
          </w:tcPr>
          <w:p>
            <w:r/>
            <w:r>
              <w:rPr>
                <w:sz w:val="20"/>
              </w:rPr>
              <w:t>Estimated Level of Effort</w:t>
            </w:r>
          </w:p>
        </w:tc>
        <w:tc>
          <w:tcPr>
            <w:tcW w:type="dxa" w:w="8352"/>
          </w:tcPr>
          <w:p>
            <w:r/>
            <w:r>
              <w:rPr>
                <w:sz w:val="20"/>
              </w:rPr>
              <w:t>≈ 260–300 consulting hours across the two Improving roles</w:t>
            </w:r>
          </w:p>
        </w:tc>
      </w:tr>
      <w:tr>
        <w:tc>
          <w:tcPr>
            <w:tcW w:type="dxa" w:w="2736"/>
          </w:tcPr>
          <w:p>
            <w:r/>
            <w:r>
              <w:rPr>
                <w:sz w:val="20"/>
              </w:rPr>
              <w:t>Indicative Fee</w:t>
            </w:r>
          </w:p>
        </w:tc>
        <w:tc>
          <w:tcPr>
            <w:tcW w:type="dxa" w:w="8352"/>
          </w:tcPr>
          <w:p>
            <w:r/>
            <w:r>
              <w:rPr>
                <w:sz w:val="20"/>
              </w:rPr>
              <w:t>$68,000–$78,000, at Improving's standard blended AI-build rate — to be finalized against the current rate card and confirmed in the SOW</w:t>
            </w:r>
          </w:p>
        </w:tc>
      </w:tr>
      <w:tr>
        <w:tc>
          <w:tcPr>
            <w:tcW w:type="dxa" w:w="2736"/>
          </w:tcPr>
          <w:p>
            <w:r/>
            <w:r>
              <w:rPr>
                <w:sz w:val="20"/>
              </w:rPr>
              <w:t>Client Provides</w:t>
            </w:r>
          </w:p>
        </w:tc>
        <w:tc>
          <w:tcPr>
            <w:tcW w:type="dxa" w:w="8352"/>
          </w:tcPr>
          <w:p>
            <w:r/>
            <w:r>
              <w:rPr>
                <w:sz w:val="20"/>
              </w:rPr>
              <w:t>SME time for golden-set adjudication (est. 15–20 hrs across Phases 1–2); read access to existing IMS prompts, outputs, and the training corpus; Mehmet's technical support for IMS pipeline integration in Phase 3 (IMS only — no SC.ORB access or work required)</w:t>
            </w:r>
          </w:p>
        </w:tc>
      </w:tr>
      <w:tr>
        <w:tc>
          <w:tcPr>
            <w:tcW w:type="dxa" w:w="2736"/>
          </w:tcPr>
          <w:p>
            <w:r/>
            <w:r>
              <w:rPr>
                <w:sz w:val="20"/>
              </w:rPr>
              <w:t>Deliverables Ownership</w:t>
            </w:r>
          </w:p>
        </w:tc>
        <w:tc>
          <w:tcPr>
            <w:tcW w:type="dxa" w:w="8352"/>
          </w:tcPr>
          <w:p>
            <w:r/>
            <w:r>
              <w:rPr>
                <w:sz w:val="20"/>
              </w:rPr>
              <w:t>The eval harness, graders, golden sets, and dashboard are delivered to and owned by Systemic Compliance. No ongoing dependency on Improving to run or extend it.</w:t>
            </w:r>
          </w:p>
        </w:tc>
      </w:tr>
    </w:tbl>
    <w:p>
      <w:pPr>
        <w:spacing w:after="40"/>
      </w:pPr>
    </w:p>
    <w:p>
      <w:pPr>
        <w:spacing w:after="160"/>
      </w:pPr>
      <w:r>
        <w:rPr>
          <w:sz w:val="20"/>
        </w:rPr>
        <w:t>The fee above is a planning estimate, not a quote — it assumes the four-content-type scope described above and a Phase-1 SME adjudication effort in the 15–20 hour range. It should be confirmed against Improving's current rate card before this goes into a signed SOW.</w:t>
      </w:r>
    </w:p>
    <w:p>
      <w:pPr>
        <w:spacing w:before="320" w:after="120"/>
      </w:pPr>
      <w:r>
        <w:rPr>
          <w:b/>
          <w:color w:val="0B2B4A"/>
          <w:sz w:val="30"/>
        </w:rPr>
        <w:t>Why This, and Why Now</w:t>
      </w:r>
    </w:p>
    <w:p>
      <w:pPr>
        <w:pStyle w:val="ListBullet"/>
        <w:spacing w:after="80"/>
      </w:pPr>
      <w:r>
        <w:t>It is the single highest-leverage item in the whole engagement.</w:t>
      </w:r>
    </w:p>
    <w:p>
      <w:pPr>
        <w:pStyle w:val="ListBullet"/>
        <w:spacing w:after="80"/>
      </w:pPr>
      <w:r>
        <w:t>It directly retires the two HIGH-severity risks the assessment flagged, not adjacent nice-to-haves.</w:t>
      </w:r>
    </w:p>
    <w:p>
      <w:pPr>
        <w:pStyle w:val="ListBullet"/>
        <w:spacing w:after="80"/>
      </w:pPr>
      <w:r>
        <w:t>It is the artifact that makes the Path A/B decision (keep-and-scale vs. harvest IP) easier either way — a documented, working quality gate is worth more in a due-diligence data room than a verbal assurance, and it is exactly the kind of owned, defensible asset a 10-year annuity strategy depends on.</w:t>
      </w:r>
    </w:p>
    <w:p>
      <w:pPr>
        <w:pStyle w:val="ListBullet"/>
        <w:spacing w:after="80"/>
      </w:pPr>
      <w:r>
        <w:t>It should happen before, not after, IMS is asked to generate content for additional regulatory domains or content types — building more generation capability on an ungraded foundation compounds the exposure instead of resolving it.</w:t>
      </w:r>
    </w:p>
    <w:p/>
    <w:p>
      <w:pPr>
        <w:pBdr>
          <w:bottom w:val="single" w:sz="6" w:space="1" w:color="0B2B4A"/>
        </w:pBdr>
        <w:spacing w:after="200"/>
      </w:pPr>
    </w:p>
    <w:p>
      <w:r>
        <w:rPr>
          <w:i/>
          <w:color w:val="4A4A4A"/>
        </w:rPr>
        <w:t>Improving. It's what we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