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B57"/>
          <w:sz w:val="40"/>
          <w:szCs w:val="40"/>
        </w:rPr>
        <w:t xml:space="preserve">ShuleTop Codebase Cleanup Audit — Update</w:t>
      </w:r>
    </w:p>
    <w:p>
      <w:pPr>
        <w:spacing w:after="260"/>
      </w:pPr>
      <w:r>
        <w:rPr>
          <w:i/>
          <w:iCs/>
          <w:color w:val="6B7280"/>
          <w:sz w:val="21"/>
          <w:szCs w:val="21"/>
        </w:rPr>
        <w:t xml:space="preserve">Pending items only — everything already fixed has been removed from this document. September 2026.</w:t>
      </w:r>
    </w:p>
    <w:p>
      <w:pPr>
        <w:pBdr>
          <w:bottom w:val="single" w:color="D9DCE1" w:sz="6"/>
        </w:pBdr>
        <w:spacing w:after="120" w:before="120"/>
      </w:pPr>
    </w:p>
    <w:p>
      <w:pPr>
        <w:pStyle w:val="Heading1"/>
        <w:spacing w:after="160" w:before="300"/>
      </w:pPr>
      <w:r>
        <w:rPr>
          <w:b/>
          <w:bCs/>
          <w:color w:val="1F3B57"/>
          <w:sz w:val="30"/>
          <w:szCs w:val="30"/>
        </w:rPr>
        <w:t xml:space="preserve">What this document is</w:t>
      </w:r>
    </w:p>
    <w:p>
      <w:pPr>
        <w:spacing w:after="140" w:line="300"/>
      </w:pPr>
      <w:r>
        <w:rPr>
          <w:b w:val="false"/>
          <w:bCs w:val="false"/>
          <w:i w:val="false"/>
          <w:iCs w:val="false"/>
          <w:sz w:val="21"/>
          <w:szCs w:val="21"/>
        </w:rPr>
        <w:t xml:space="preserve">This is an updated version of the original cleanup audit. Every item that has since been fixed and verified (the backend-error leak, the three stuck-button/loading-state bugs, the six orphaned view files, the dead helper functions, the triplicated date-formatting code, and the unused PDF-export vendor files) has been removed from this list entirely — it is not repeated here, fixed or otherwise. What remains below is only the work that has not been touched yet.</w:t>
      </w:r>
    </w:p>
    <w:p>
      <w:pPr>
        <w:spacing w:after="140" w:line="300"/>
      </w:pPr>
      <w:r>
        <w:rPr>
          <w:b w:val="false"/>
          <w:bCs w:val="false"/>
          <w:i w:val="false"/>
          <w:iCs w:val="false"/>
          <w:sz w:val="21"/>
          <w:szCs w:val="21"/>
        </w:rPr>
        <w:t xml:space="preserve">Each remaining item now carries an estimated risk level, shown as a percentage, and a priority. The percentage is my judgment of how likely the issue is to cause a real, user-visible problem if left as-is for the next several months of normal school use — not a measurement, since nothing here has been formally load-tested. Priority reflects both that risk and how disruptive a fix would be to make, in keeping with the standing rule to be cautious with a live, in-use system.</w:t>
      </w:r>
    </w:p>
    <w:p>
      <w:pPr>
        <w:pStyle w:val="Heading1"/>
        <w:spacing w:after="160" w:before="300"/>
      </w:pPr>
      <w:r>
        <w:rPr>
          <w:b/>
          <w:bCs/>
          <w:color w:val="1F3B57"/>
          <w:sz w:val="30"/>
          <w:szCs w:val="30"/>
        </w:rPr>
        <w:t xml:space="preserve">1. Real risk today — attend to this first</w:t>
      </w:r>
    </w:p>
    <w:p>
      <w:pPr>
        <w:spacing w:after="140" w:line="300"/>
      </w:pPr>
      <w:r>
        <w:rPr>
          <w:b w:val="false"/>
          <w:bCs w:val="false"/>
          <w:i w:val="false"/>
          <w:iCs w:val="false"/>
          <w:sz w:val="21"/>
          <w:szCs w:val="21"/>
        </w:rPr>
        <w:t xml:space="preserve">This is the one item in this report that I would call a genuine, growing risk rather than a theoretical cleanliness concern.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600"/>
        <w:gridCol w:w="2200"/>
        <w:gridCol w:w="1600"/>
      </w:tblGrid>
      <w:tr>
        <w:trPr>
          <w:tblHeader/>
        </w:trPr>
        <w:tc>
          <w:tcPr>
            <w:tcW w:type="dxa" w:w="5600"/>
            <w:shd w:fill="1F3B57" w:color="auto" w:val="clear"/>
            <w:tcMar>
              <w:top w:type="dxa" w:w="80"/>
              <w:left w:type="dxa" w:w="100"/>
              <w:bottom w:type="dxa" w:w="80"/>
              <w:right w:type="dxa" w:w="100"/>
            </w:tcMar>
            <w:vAlign w:val="center"/>
          </w:tcPr>
          <w:p>
            <w:r>
              <w:rPr>
                <w:b/>
                <w:bCs/>
                <w:color w:val="FFFFFF"/>
                <w:sz w:val="19"/>
                <w:szCs w:val="19"/>
              </w:rPr>
              <w:t xml:space="preserve">Pending item</w:t>
            </w:r>
          </w:p>
        </w:tc>
        <w:tc>
          <w:tcPr>
            <w:tcW w:type="dxa" w:w="2200"/>
            <w:shd w:fill="1F3B57" w:color="auto" w:val="clear"/>
            <w:tcMar>
              <w:top w:type="dxa" w:w="80"/>
              <w:left w:type="dxa" w:w="100"/>
              <w:bottom w:type="dxa" w:w="80"/>
              <w:right w:type="dxa" w:w="100"/>
            </w:tcMar>
            <w:vAlign w:val="center"/>
          </w:tcPr>
          <w:p>
            <w:r>
              <w:rPr>
                <w:b/>
                <w:bCs/>
                <w:color w:val="FFFFFF"/>
                <w:sz w:val="19"/>
                <w:szCs w:val="19"/>
              </w:rPr>
              <w:t xml:space="preserve">Risk if left unfixed</w:t>
            </w:r>
          </w:p>
        </w:tc>
        <w:tc>
          <w:tcPr>
            <w:tcW w:type="dxa" w:w="1600"/>
            <w:shd w:fill="1F3B57" w:color="auto" w:val="clear"/>
            <w:tcMar>
              <w:top w:type="dxa" w:w="80"/>
              <w:left w:type="dxa" w:w="100"/>
              <w:bottom w:type="dxa" w:w="80"/>
              <w:right w:type="dxa" w:w="100"/>
            </w:tcMar>
            <w:vAlign w:val="center"/>
          </w:tcPr>
          <w:p>
            <w:r>
              <w:rPr>
                <w:b/>
                <w:bCs/>
                <w:color w:val="FFFFFF"/>
                <w:sz w:val="19"/>
                <w:szCs w:val="19"/>
              </w:rPr>
              <w:t xml:space="preserve">Priority</w:t>
            </w:r>
          </w:p>
        </w:tc>
      </w:tr>
      <w:tr>
        <w:tc>
          <w:tcPr>
            <w:tcW w:type="dxa" w:w="5600"/>
            <w:tcMar>
              <w:top w:type="dxa" w:w="80"/>
              <w:left w:type="dxa" w:w="100"/>
              <w:bottom w:type="dxa" w:w="80"/>
              <w:right w:type="dxa" w:w="100"/>
            </w:tcMar>
            <w:vAlign w:val="center"/>
          </w:tcPr>
          <w:p>
            <w:r>
              <w:rPr>
                <w:b w:val="false"/>
                <w:bCs w:val="false"/>
                <w:color w:val="1A1A1A"/>
                <w:sz w:val="19"/>
                <w:szCs w:val="19"/>
              </w:rPr>
              <w:t xml:space="preserve">Finance screens cap transaction history at a fixed limit instead of paging through it. finance.mjs pulls fee payments, expenses and other transaction lists with a hard .limit(300) or .limit(500) and no .range() follow-up, unlike the rest of the app (e.g. the results list), which already pages correctly through .range() until a short page comes back. Right now this means: once a school passes roughly 300–500 transactions in the relevant list, the oldest ones silently stop appearing — with no error, no "load more," and no indication to the user that anything is missing.</w:t>
            </w:r>
          </w:p>
        </w:tc>
        <w:tc>
          <w:tcPr>
            <w:tcW w:type="dxa" w:w="2200"/>
            <w:tcMar>
              <w:top w:type="dxa" w:w="80"/>
              <w:left w:type="dxa" w:w="100"/>
              <w:bottom w:type="dxa" w:w="80"/>
              <w:right w:type="dxa" w:w="100"/>
            </w:tcMar>
            <w:vAlign w:val="center"/>
          </w:tcPr>
          <w:p>
            <w:r>
              <w:rPr>
                <w:b/>
                <w:bCs/>
                <w:color w:val="B91C1C"/>
                <w:sz w:val="19"/>
                <w:szCs w:val="19"/>
              </w:rPr>
              <w:t xml:space="preserve">65%</w:t>
            </w:r>
          </w:p>
        </w:tc>
        <w:tc>
          <w:tcPr>
            <w:tcW w:type="dxa" w:w="1600"/>
            <w:tcMar>
              <w:top w:type="dxa" w:w="80"/>
              <w:left w:type="dxa" w:w="100"/>
              <w:bottom w:type="dxa" w:w="80"/>
              <w:right w:type="dxa" w:w="100"/>
            </w:tcMar>
            <w:vAlign w:val="center"/>
          </w:tcPr>
          <w:p>
            <w:r>
              <w:rPr>
                <w:b/>
                <w:bCs/>
                <w:color w:val="1A1A1A"/>
                <w:sz w:val="19"/>
                <w:szCs w:val="19"/>
              </w:rPr>
              <w:t xml:space="preserve">High</w:t>
            </w:r>
          </w:p>
        </w:tc>
      </w:tr>
    </w:tbl>
    <w:p>
      <w:pPr>
        <w:spacing w:after="140" w:line="300"/>
      </w:pPr>
      <w:r>
        <w:rPr>
          <w:b w:val="false"/>
          <w:bCs w:val="false"/>
          <w:i w:val="false"/>
          <w:iCs w:val="false"/>
          <w:sz w:val="21"/>
          <w:szCs w:val="21"/>
        </w:rPr>
        <w:t xml:space="preserve">Why it is marked "growing": a new school starts well under this ceiling, so the bug is invisible at first and gets worse purely with the passage of time and continued use — the kind of issue that surfaces months later as "some of our old records disappeared," which is confusing and hard to self-diagnose. The fix is well understood (mirror the .range() pagination pattern already proven correct in results.mjs) but touches Finance, one of the most sensitive screens in the app, so it was deliberately left for a dedicated pass rather than folded into the low-risk batch.</w:t>
      </w:r>
    </w:p>
    <w:p>
      <w:pPr>
        <w:pStyle w:val="Heading1"/>
        <w:spacing w:after="160" w:before="300"/>
      </w:pPr>
      <w:r>
        <w:rPr>
          <w:b/>
          <w:bCs/>
          <w:color w:val="1F3B57"/>
          <w:sz w:val="30"/>
          <w:szCs w:val="30"/>
        </w:rPr>
        <w:t xml:space="preserve">2. Minor / low-risk items</w:t>
      </w:r>
    </w:p>
    <w:p>
      <w:pPr>
        <w:spacing w:after="140" w:line="300"/>
      </w:pPr>
      <w:r>
        <w:rPr>
          <w:b w:val="false"/>
          <w:bCs w:val="false"/>
          <w:i w:val="false"/>
          <w:iCs w:val="false"/>
          <w:sz w:val="21"/>
          <w:szCs w:val="21"/>
        </w:rPr>
        <w:t xml:space="preserve">These are real but small: current-day usage patterns make them unlikely to cause visible problems soon, and none carry the "leave whatever is risky for now" flag that Finance does.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600"/>
        <w:gridCol w:w="2200"/>
        <w:gridCol w:w="1600"/>
      </w:tblGrid>
      <w:tr>
        <w:trPr>
          <w:tblHeader/>
        </w:trPr>
        <w:tc>
          <w:tcPr>
            <w:tcW w:type="dxa" w:w="5600"/>
            <w:shd w:fill="1F3B57" w:color="auto" w:val="clear"/>
            <w:tcMar>
              <w:top w:type="dxa" w:w="80"/>
              <w:left w:type="dxa" w:w="100"/>
              <w:bottom w:type="dxa" w:w="80"/>
              <w:right w:type="dxa" w:w="100"/>
            </w:tcMar>
            <w:vAlign w:val="center"/>
          </w:tcPr>
          <w:p>
            <w:r>
              <w:rPr>
                <w:b/>
                <w:bCs/>
                <w:color w:val="FFFFFF"/>
                <w:sz w:val="19"/>
                <w:szCs w:val="19"/>
              </w:rPr>
              <w:t xml:space="preserve">Pending item</w:t>
            </w:r>
          </w:p>
        </w:tc>
        <w:tc>
          <w:tcPr>
            <w:tcW w:type="dxa" w:w="2200"/>
            <w:shd w:fill="1F3B57" w:color="auto" w:val="clear"/>
            <w:tcMar>
              <w:top w:type="dxa" w:w="80"/>
              <w:left w:type="dxa" w:w="100"/>
              <w:bottom w:type="dxa" w:w="80"/>
              <w:right w:type="dxa" w:w="100"/>
            </w:tcMar>
            <w:vAlign w:val="center"/>
          </w:tcPr>
          <w:p>
            <w:r>
              <w:rPr>
                <w:b/>
                <w:bCs/>
                <w:color w:val="FFFFFF"/>
                <w:sz w:val="19"/>
                <w:szCs w:val="19"/>
              </w:rPr>
              <w:t xml:space="preserve">Risk if left unfixed</w:t>
            </w:r>
          </w:p>
        </w:tc>
        <w:tc>
          <w:tcPr>
            <w:tcW w:type="dxa" w:w="1600"/>
            <w:shd w:fill="1F3B57" w:color="auto" w:val="clear"/>
            <w:tcMar>
              <w:top w:type="dxa" w:w="80"/>
              <w:left w:type="dxa" w:w="100"/>
              <w:bottom w:type="dxa" w:w="80"/>
              <w:right w:type="dxa" w:w="100"/>
            </w:tcMar>
            <w:vAlign w:val="center"/>
          </w:tcPr>
          <w:p>
            <w:r>
              <w:rPr>
                <w:b/>
                <w:bCs/>
                <w:color w:val="FFFFFF"/>
                <w:sz w:val="19"/>
                <w:szCs w:val="19"/>
              </w:rPr>
              <w:t xml:space="preserve">Priority</w:t>
            </w:r>
          </w:p>
        </w:tc>
      </w:tr>
      <w:tr>
        <w:tc>
          <w:tcPr>
            <w:tcW w:type="dxa" w:w="5600"/>
            <w:tcMar>
              <w:top w:type="dxa" w:w="80"/>
              <w:left w:type="dxa" w:w="100"/>
              <w:bottom w:type="dxa" w:w="80"/>
              <w:right w:type="dxa" w:w="100"/>
            </w:tcMar>
            <w:vAlign w:val="center"/>
          </w:tcPr>
          <w:p>
            <w:r>
              <w:rPr>
                <w:b w:val="false"/>
                <w:bCs w:val="false"/>
                <w:color w:val="1A1A1A"/>
                <w:sz w:val="19"/>
                <w:szCs w:val="19"/>
              </w:rPr>
              <w:t xml:space="preserve">Teacher search re-queries the database on every keystroke. The teacher-assignment search box calls the API again on each character typed rather than filtering the already-loaded list locally or debouncing the requests. With a normal-sized staff list this is unlikely to be noticed, but it adds unnecessary network traffic and could feel sluggish on a slow connection.</w:t>
            </w:r>
          </w:p>
        </w:tc>
        <w:tc>
          <w:tcPr>
            <w:tcW w:type="dxa" w:w="2200"/>
            <w:tcMar>
              <w:top w:type="dxa" w:w="80"/>
              <w:left w:type="dxa" w:w="100"/>
              <w:bottom w:type="dxa" w:w="80"/>
              <w:right w:type="dxa" w:w="100"/>
            </w:tcMar>
            <w:vAlign w:val="center"/>
          </w:tcPr>
          <w:p>
            <w:r>
              <w:rPr>
                <w:b/>
                <w:bCs/>
                <w:color w:val="15803D"/>
                <w:sz w:val="19"/>
                <w:szCs w:val="19"/>
              </w:rPr>
              <w:t xml:space="preserve">20%</w:t>
            </w:r>
          </w:p>
        </w:tc>
        <w:tc>
          <w:tcPr>
            <w:tcW w:type="dxa" w:w="1600"/>
            <w:tcMar>
              <w:top w:type="dxa" w:w="80"/>
              <w:left w:type="dxa" w:w="100"/>
              <w:bottom w:type="dxa" w:w="80"/>
              <w:right w:type="dxa" w:w="100"/>
            </w:tcMar>
            <w:vAlign w:val="center"/>
          </w:tcPr>
          <w:p>
            <w:r>
              <w:rPr>
                <w:b/>
                <w:bCs/>
                <w:color w:val="1A1A1A"/>
                <w:sz w:val="19"/>
                <w:szCs w:val="19"/>
              </w:rPr>
              <w:t xml:space="preserve">Low</w:t>
            </w:r>
          </w:p>
        </w:tc>
      </w:tr>
      <w:tr>
        <w:tc>
          <w:tcPr>
            <w:tcW w:type="dxa" w:w="5600"/>
            <w:shd w:fill="F2F4F7" w:color="auto" w:val="clear"/>
            <w:tcMar>
              <w:top w:type="dxa" w:w="80"/>
              <w:left w:type="dxa" w:w="100"/>
              <w:bottom w:type="dxa" w:w="80"/>
              <w:right w:type="dxa" w:w="100"/>
            </w:tcMar>
            <w:vAlign w:val="center"/>
          </w:tcPr>
          <w:p>
            <w:r>
              <w:rPr>
                <w:b w:val="false"/>
                <w:bCs w:val="false"/>
                <w:color w:val="1A1A1A"/>
                <w:sz w:val="19"/>
                <w:szCs w:val="19"/>
              </w:rPr>
              <w:t xml:space="preserve">Some student and staff list queries fetch every column with select('*') instead of only the fields the screen displays. This means slightly larger responses than necessary over the network, most noticeable on slower mobile connections. It is a bandwidth/efficiency item, not a correctness bug.</w:t>
            </w:r>
          </w:p>
        </w:tc>
        <w:tc>
          <w:tcPr>
            <w:tcW w:type="dxa" w:w="2200"/>
            <w:shd w:fill="F2F4F7" w:color="auto" w:val="clear"/>
            <w:tcMar>
              <w:top w:type="dxa" w:w="80"/>
              <w:left w:type="dxa" w:w="100"/>
              <w:bottom w:type="dxa" w:w="80"/>
              <w:right w:type="dxa" w:w="100"/>
            </w:tcMar>
            <w:vAlign w:val="center"/>
          </w:tcPr>
          <w:p>
            <w:r>
              <w:rPr>
                <w:b/>
                <w:bCs/>
                <w:color w:val="15803D"/>
                <w:sz w:val="19"/>
                <w:szCs w:val="19"/>
              </w:rPr>
              <w:t xml:space="preserve">15%</w:t>
            </w:r>
          </w:p>
        </w:tc>
        <w:tc>
          <w:tcPr>
            <w:tcW w:type="dxa" w:w="1600"/>
            <w:shd w:fill="F2F4F7" w:color="auto" w:val="clear"/>
            <w:tcMar>
              <w:top w:type="dxa" w:w="80"/>
              <w:left w:type="dxa" w:w="100"/>
              <w:bottom w:type="dxa" w:w="80"/>
              <w:right w:type="dxa" w:w="100"/>
            </w:tcMar>
            <w:vAlign w:val="center"/>
          </w:tcPr>
          <w:p>
            <w:r>
              <w:rPr>
                <w:b/>
                <w:bCs/>
                <w:color w:val="1A1A1A"/>
                <w:sz w:val="19"/>
                <w:szCs w:val="19"/>
              </w:rPr>
              <w:t xml:space="preserve">Low</w:t>
            </w:r>
          </w:p>
        </w:tc>
      </w:tr>
      <w:tr>
        <w:tc>
          <w:tcPr>
            <w:tcW w:type="dxa" w:w="5600"/>
            <w:tcMar>
              <w:top w:type="dxa" w:w="80"/>
              <w:left w:type="dxa" w:w="100"/>
              <w:bottom w:type="dxa" w:w="80"/>
              <w:right w:type="dxa" w:w="100"/>
            </w:tcMar>
            <w:vAlign w:val="center"/>
          </w:tcPr>
          <w:p>
            <w:r>
              <w:rPr>
                <w:b w:val="false"/>
                <w:bCs w:val="false"/>
                <w:color w:val="1A1A1A"/>
                <w:sz w:val="19"/>
                <w:szCs w:val="19"/>
              </w:rPr>
              <w:t xml:space="preserve">staffBulkUpload.mjs is suspected (not yet confirmed) to have the same hand-rolled disable/enable pattern that was just fixed in bulkUpload.mjs and financeMessaging.mjs — i.e. a button that could stay stuck in its "importing…" state if the import throws partway through, since there was no try/finally-style safety net. This has not been independently verified this round, only flagged as likely by analogy to the other two.</w:t>
            </w:r>
          </w:p>
        </w:tc>
        <w:tc>
          <w:tcPr>
            <w:tcW w:type="dxa" w:w="2200"/>
            <w:tcMar>
              <w:top w:type="dxa" w:w="80"/>
              <w:left w:type="dxa" w:w="100"/>
              <w:bottom w:type="dxa" w:w="80"/>
              <w:right w:type="dxa" w:w="100"/>
            </w:tcMar>
            <w:vAlign w:val="center"/>
          </w:tcPr>
          <w:p>
            <w:r>
              <w:rPr>
                <w:b/>
                <w:bCs/>
                <w:color w:val="15803D"/>
                <w:sz w:val="19"/>
                <w:szCs w:val="19"/>
              </w:rPr>
              <w:t xml:space="preserve">25%</w:t>
            </w:r>
          </w:p>
        </w:tc>
        <w:tc>
          <w:tcPr>
            <w:tcW w:type="dxa" w:w="1600"/>
            <w:tcMar>
              <w:top w:type="dxa" w:w="80"/>
              <w:left w:type="dxa" w:w="100"/>
              <w:bottom w:type="dxa" w:w="80"/>
              <w:right w:type="dxa" w:w="100"/>
            </w:tcMar>
            <w:vAlign w:val="center"/>
          </w:tcPr>
          <w:p>
            <w:r>
              <w:rPr>
                <w:b/>
                <w:bCs/>
                <w:color w:val="1A1A1A"/>
                <w:sz w:val="19"/>
                <w:szCs w:val="19"/>
              </w:rPr>
              <w:t xml:space="preserve">Medium</w:t>
            </w:r>
          </w:p>
        </w:tc>
      </w:tr>
    </w:tbl>
    <w:p>
      <w:pPr>
        <w:pStyle w:val="Heading1"/>
        <w:spacing w:after="160" w:before="300"/>
      </w:pPr>
      <w:r>
        <w:rPr>
          <w:b/>
          <w:bCs/>
          <w:color w:val="1F3B57"/>
          <w:sz w:val="30"/>
          <w:szCs w:val="30"/>
        </w:rPr>
        <w:t xml:space="preserve">3. Cosmetic-only — exported but not reused elsewhere</w:t>
      </w:r>
    </w:p>
    <w:p>
      <w:pPr>
        <w:spacing w:after="140" w:line="300"/>
      </w:pPr>
      <w:r>
        <w:rPr>
          <w:b w:val="false"/>
          <w:bCs w:val="false"/>
          <w:i w:val="false"/>
          <w:iCs w:val="false"/>
          <w:sz w:val="21"/>
          <w:szCs w:val="21"/>
        </w:rPr>
        <w:t xml:space="preserve">A handful of constants and one function are exported from their modules but, as far as a repo-wide search could confirm, only ever used inside the same file. Leaving them exported costs nothing at runtime — no user-facing effect, no performance cost — so these are purely a "tidiness for future developers" item, and are the safest possible thing to defer indefinitely.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600"/>
        <w:gridCol w:w="2200"/>
        <w:gridCol w:w="1600"/>
      </w:tblGrid>
      <w:tr>
        <w:trPr>
          <w:tblHeader/>
        </w:trPr>
        <w:tc>
          <w:tcPr>
            <w:tcW w:type="dxa" w:w="5600"/>
            <w:shd w:fill="1F3B57" w:color="auto" w:val="clear"/>
            <w:tcMar>
              <w:top w:type="dxa" w:w="80"/>
              <w:left w:type="dxa" w:w="100"/>
              <w:bottom w:type="dxa" w:w="80"/>
              <w:right w:type="dxa" w:w="100"/>
            </w:tcMar>
            <w:vAlign w:val="center"/>
          </w:tcPr>
          <w:p>
            <w:r>
              <w:rPr>
                <w:b/>
                <w:bCs/>
                <w:color w:val="FFFFFF"/>
                <w:sz w:val="19"/>
                <w:szCs w:val="19"/>
              </w:rPr>
              <w:t xml:space="preserve">Pending item</w:t>
            </w:r>
          </w:p>
        </w:tc>
        <w:tc>
          <w:tcPr>
            <w:tcW w:type="dxa" w:w="2200"/>
            <w:shd w:fill="1F3B57" w:color="auto" w:val="clear"/>
            <w:tcMar>
              <w:top w:type="dxa" w:w="80"/>
              <w:left w:type="dxa" w:w="100"/>
              <w:bottom w:type="dxa" w:w="80"/>
              <w:right w:type="dxa" w:w="100"/>
            </w:tcMar>
            <w:vAlign w:val="center"/>
          </w:tcPr>
          <w:p>
            <w:r>
              <w:rPr>
                <w:b/>
                <w:bCs/>
                <w:color w:val="FFFFFF"/>
                <w:sz w:val="19"/>
                <w:szCs w:val="19"/>
              </w:rPr>
              <w:t xml:space="preserve">Risk if left unfixed</w:t>
            </w:r>
          </w:p>
        </w:tc>
        <w:tc>
          <w:tcPr>
            <w:tcW w:type="dxa" w:w="1600"/>
            <w:shd w:fill="1F3B57" w:color="auto" w:val="clear"/>
            <w:tcMar>
              <w:top w:type="dxa" w:w="80"/>
              <w:left w:type="dxa" w:w="100"/>
              <w:bottom w:type="dxa" w:w="80"/>
              <w:right w:type="dxa" w:w="100"/>
            </w:tcMar>
            <w:vAlign w:val="center"/>
          </w:tcPr>
          <w:p>
            <w:r>
              <w:rPr>
                <w:b/>
                <w:bCs/>
                <w:color w:val="FFFFFF"/>
                <w:sz w:val="19"/>
                <w:szCs w:val="19"/>
              </w:rPr>
              <w:t xml:space="preserve">Priority</w:t>
            </w:r>
          </w:p>
        </w:tc>
      </w:tr>
      <w:tr>
        <w:tc>
          <w:tcPr>
            <w:tcW w:type="dxa" w:w="5600"/>
            <w:tcMar>
              <w:top w:type="dxa" w:w="80"/>
              <w:left w:type="dxa" w:w="100"/>
              <w:bottom w:type="dxa" w:w="80"/>
              <w:right w:type="dxa" w:w="100"/>
            </w:tcMar>
            <w:vAlign w:val="center"/>
          </w:tcPr>
          <w:p>
            <w:r>
              <w:rPr>
                <w:b w:val="false"/>
                <w:bCs w:val="false"/>
                <w:color w:val="1A1A1A"/>
                <w:sz w:val="19"/>
                <w:szCs w:val="19"/>
              </w:rPr>
              <w:t xml:space="preserve">registerCache — exported from _util.mjs but only called internally by that same file's own cache setup.</w:t>
            </w:r>
          </w:p>
        </w:tc>
        <w:tc>
          <w:tcPr>
            <w:tcW w:type="dxa" w:w="2200"/>
            <w:tcMar>
              <w:top w:type="dxa" w:w="80"/>
              <w:left w:type="dxa" w:w="100"/>
              <w:bottom w:type="dxa" w:w="80"/>
              <w:right w:type="dxa" w:w="100"/>
            </w:tcMar>
            <w:vAlign w:val="center"/>
          </w:tcPr>
          <w:p>
            <w:r>
              <w:rPr>
                <w:b/>
                <w:bCs/>
                <w:color w:val="15803D"/>
                <w:sz w:val="19"/>
                <w:szCs w:val="19"/>
              </w:rPr>
              <w:t xml:space="preserve">5%</w:t>
            </w:r>
          </w:p>
        </w:tc>
        <w:tc>
          <w:tcPr>
            <w:tcW w:type="dxa" w:w="1600"/>
            <w:tcMar>
              <w:top w:type="dxa" w:w="80"/>
              <w:left w:type="dxa" w:w="100"/>
              <w:bottom w:type="dxa" w:w="80"/>
              <w:right w:type="dxa" w:w="100"/>
            </w:tcMar>
            <w:vAlign w:val="center"/>
          </w:tcPr>
          <w:p>
            <w:r>
              <w:rPr>
                <w:b/>
                <w:bCs/>
                <w:color w:val="1A1A1A"/>
                <w:sz w:val="19"/>
                <w:szCs w:val="19"/>
              </w:rPr>
              <w:t xml:space="preserve">Low</w:t>
            </w:r>
          </w:p>
        </w:tc>
      </w:tr>
      <w:tr>
        <w:tc>
          <w:tcPr>
            <w:tcW w:type="dxa" w:w="5600"/>
            <w:shd w:fill="F2F4F7" w:color="auto" w:val="clear"/>
            <w:tcMar>
              <w:top w:type="dxa" w:w="80"/>
              <w:left w:type="dxa" w:w="100"/>
              <w:bottom w:type="dxa" w:w="80"/>
              <w:right w:type="dxa" w:w="100"/>
            </w:tcMar>
            <w:vAlign w:val="center"/>
          </w:tcPr>
          <w:p>
            <w:r>
              <w:rPr>
                <w:b w:val="false"/>
                <w:bCs w:val="false"/>
                <w:color w:val="1A1A1A"/>
                <w:sz w:val="19"/>
                <w:szCs w:val="19"/>
              </w:rPr>
              <w:t xml:space="preserve">A handful of CBC-related constants (CBC_COMPETENCY_BANDS, LEAVING_REASONS, TIMETABLE_DAYS_DEFAULT, and similar cbcDefaults values) — exported for potential reuse but each currently only read where it is defined.</w:t>
            </w:r>
          </w:p>
        </w:tc>
        <w:tc>
          <w:tcPr>
            <w:tcW w:type="dxa" w:w="2200"/>
            <w:shd w:fill="F2F4F7" w:color="auto" w:val="clear"/>
            <w:tcMar>
              <w:top w:type="dxa" w:w="80"/>
              <w:left w:type="dxa" w:w="100"/>
              <w:bottom w:type="dxa" w:w="80"/>
              <w:right w:type="dxa" w:w="100"/>
            </w:tcMar>
            <w:vAlign w:val="center"/>
          </w:tcPr>
          <w:p>
            <w:r>
              <w:rPr>
                <w:b/>
                <w:bCs/>
                <w:color w:val="15803D"/>
                <w:sz w:val="19"/>
                <w:szCs w:val="19"/>
              </w:rPr>
              <w:t xml:space="preserve">5%</w:t>
            </w:r>
          </w:p>
        </w:tc>
        <w:tc>
          <w:tcPr>
            <w:tcW w:type="dxa" w:w="1600"/>
            <w:shd w:fill="F2F4F7" w:color="auto" w:val="clear"/>
            <w:tcMar>
              <w:top w:type="dxa" w:w="80"/>
              <w:left w:type="dxa" w:w="100"/>
              <w:bottom w:type="dxa" w:w="80"/>
              <w:right w:type="dxa" w:w="100"/>
            </w:tcMar>
            <w:vAlign w:val="center"/>
          </w:tcPr>
          <w:p>
            <w:r>
              <w:rPr>
                <w:b/>
                <w:bCs/>
                <w:color w:val="1A1A1A"/>
                <w:sz w:val="19"/>
                <w:szCs w:val="19"/>
              </w:rPr>
              <w:t xml:space="preserve">Low</w:t>
            </w:r>
          </w:p>
        </w:tc>
      </w:tr>
    </w:tbl>
    <w:p>
      <w:pPr>
        <w:pStyle w:val="Heading1"/>
        <w:spacing w:after="160" w:before="300"/>
      </w:pPr>
      <w:r>
        <w:rPr>
          <w:b/>
          <w:bCs/>
          <w:color w:val="1F3B57"/>
          <w:sz w:val="30"/>
          <w:szCs w:val="30"/>
        </w:rPr>
        <w:t xml:space="preserve">4. Needs your judgment, not a code fix</w:t>
      </w:r>
    </w:p>
    <w:p>
      <w:pPr>
        <w:spacing w:after="140" w:line="300"/>
      </w:pPr>
      <w:r>
        <w:rPr>
          <w:b w:val="false"/>
          <w:bCs w:val="false"/>
          <w:i w:val="false"/>
          <w:iCs w:val="false"/>
          <w:sz w:val="21"/>
          <w:szCs w:val="21"/>
        </w:rPr>
        <w:t xml:space="preserve">These were flagged in the original audit as things I should not decide unilaterally, since the "right" answer depends on information only you have (are these files still needed, is this documentation still accurate, will this asset be used again). None of these have been acted 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600"/>
        <w:gridCol w:w="2200"/>
        <w:gridCol w:w="1600"/>
      </w:tblGrid>
      <w:tr>
        <w:trPr>
          <w:tblHeader/>
        </w:trPr>
        <w:tc>
          <w:tcPr>
            <w:tcW w:type="dxa" w:w="5600"/>
            <w:shd w:fill="1F3B57" w:color="auto" w:val="clear"/>
            <w:tcMar>
              <w:top w:type="dxa" w:w="80"/>
              <w:left w:type="dxa" w:w="100"/>
              <w:bottom w:type="dxa" w:w="80"/>
              <w:right w:type="dxa" w:w="100"/>
            </w:tcMar>
            <w:vAlign w:val="center"/>
          </w:tcPr>
          <w:p>
            <w:r>
              <w:rPr>
                <w:b/>
                <w:bCs/>
                <w:color w:val="FFFFFF"/>
                <w:sz w:val="19"/>
                <w:szCs w:val="19"/>
              </w:rPr>
              <w:t xml:space="preserve">Pending item</w:t>
            </w:r>
          </w:p>
        </w:tc>
        <w:tc>
          <w:tcPr>
            <w:tcW w:type="dxa" w:w="2200"/>
            <w:shd w:fill="1F3B57" w:color="auto" w:val="clear"/>
            <w:tcMar>
              <w:top w:type="dxa" w:w="80"/>
              <w:left w:type="dxa" w:w="100"/>
              <w:bottom w:type="dxa" w:w="80"/>
              <w:right w:type="dxa" w:w="100"/>
            </w:tcMar>
            <w:vAlign w:val="center"/>
          </w:tcPr>
          <w:p>
            <w:r>
              <w:rPr>
                <w:b/>
                <w:bCs/>
                <w:color w:val="FFFFFF"/>
                <w:sz w:val="19"/>
                <w:szCs w:val="19"/>
              </w:rPr>
              <w:t xml:space="preserve">Risk if left unfixed</w:t>
            </w:r>
          </w:p>
        </w:tc>
        <w:tc>
          <w:tcPr>
            <w:tcW w:type="dxa" w:w="1600"/>
            <w:shd w:fill="1F3B57" w:color="auto" w:val="clear"/>
            <w:tcMar>
              <w:top w:type="dxa" w:w="80"/>
              <w:left w:type="dxa" w:w="100"/>
              <w:bottom w:type="dxa" w:w="80"/>
              <w:right w:type="dxa" w:w="100"/>
            </w:tcMar>
            <w:vAlign w:val="center"/>
          </w:tcPr>
          <w:p>
            <w:r>
              <w:rPr>
                <w:b/>
                <w:bCs/>
                <w:color w:val="FFFFFF"/>
                <w:sz w:val="19"/>
                <w:szCs w:val="19"/>
              </w:rPr>
              <w:t xml:space="preserve">Priority</w:t>
            </w:r>
          </w:p>
        </w:tc>
      </w:tr>
      <w:tr>
        <w:tc>
          <w:tcPr>
            <w:tcW w:type="dxa" w:w="5600"/>
            <w:tcMar>
              <w:top w:type="dxa" w:w="80"/>
              <w:left w:type="dxa" w:w="100"/>
              <w:bottom w:type="dxa" w:w="80"/>
              <w:right w:type="dxa" w:w="100"/>
            </w:tcMar>
            <w:vAlign w:val="center"/>
          </w:tcPr>
          <w:p>
            <w:r>
              <w:rPr>
                <w:b w:val="false"/>
                <w:bCs w:val="false"/>
                <w:color w:val="1A1A1A"/>
                <w:sz w:val="19"/>
                <w:szCs w:val="19"/>
              </w:rPr>
              <w:t xml:space="preserve">A handful of sketch_*.html files sitting in the repo outside the main src/ app — appear to be old prototypes or scratch pages, not linked from anything the app actually loads, but I have not deleted them since I cannot be certain none of them are references you still want to keep.</w:t>
            </w:r>
          </w:p>
        </w:tc>
        <w:tc>
          <w:tcPr>
            <w:tcW w:type="dxa" w:w="2200"/>
            <w:tcMar>
              <w:top w:type="dxa" w:w="80"/>
              <w:left w:type="dxa" w:w="100"/>
              <w:bottom w:type="dxa" w:w="80"/>
              <w:right w:type="dxa" w:w="100"/>
            </w:tcMar>
            <w:vAlign w:val="center"/>
          </w:tcPr>
          <w:p>
            <w:r>
              <w:rPr>
                <w:b/>
                <w:bCs/>
                <w:color w:val="15803D"/>
                <w:sz w:val="19"/>
                <w:szCs w:val="19"/>
              </w:rPr>
              <w:t xml:space="preserve">10%</w:t>
            </w:r>
          </w:p>
        </w:tc>
        <w:tc>
          <w:tcPr>
            <w:tcW w:type="dxa" w:w="1600"/>
            <w:tcMar>
              <w:top w:type="dxa" w:w="80"/>
              <w:left w:type="dxa" w:w="100"/>
              <w:bottom w:type="dxa" w:w="80"/>
              <w:right w:type="dxa" w:w="100"/>
            </w:tcMar>
            <w:vAlign w:val="center"/>
          </w:tcPr>
          <w:p>
            <w:r>
              <w:rPr>
                <w:b/>
                <w:bCs/>
                <w:color w:val="1A1A1A"/>
                <w:sz w:val="19"/>
                <w:szCs w:val="19"/>
              </w:rPr>
              <w:t xml:space="preserve">Low</w:t>
            </w:r>
          </w:p>
        </w:tc>
      </w:tr>
      <w:tr>
        <w:tc>
          <w:tcPr>
            <w:tcW w:type="dxa" w:w="5600"/>
            <w:shd w:fill="F2F4F7" w:color="auto" w:val="clear"/>
            <w:tcMar>
              <w:top w:type="dxa" w:w="80"/>
              <w:left w:type="dxa" w:w="100"/>
              <w:bottom w:type="dxa" w:w="80"/>
              <w:right w:type="dxa" w:w="100"/>
            </w:tcMar>
            <w:vAlign w:val="center"/>
          </w:tcPr>
          <w:p>
            <w:r>
              <w:rPr>
                <w:b w:val="false"/>
                <w:bCs w:val="false"/>
                <w:color w:val="1A1A1A"/>
                <w:sz w:val="19"/>
                <w:szCs w:val="19"/>
              </w:rPr>
              <w:t xml:space="preserve">Two unused image assets, mobile_crop.png and wide_crop.png, not referenced by any current screen or stylesheet.</w:t>
            </w:r>
          </w:p>
        </w:tc>
        <w:tc>
          <w:tcPr>
            <w:tcW w:type="dxa" w:w="2200"/>
            <w:shd w:fill="F2F4F7" w:color="auto" w:val="clear"/>
            <w:tcMar>
              <w:top w:type="dxa" w:w="80"/>
              <w:left w:type="dxa" w:w="100"/>
              <w:bottom w:type="dxa" w:w="80"/>
              <w:right w:type="dxa" w:w="100"/>
            </w:tcMar>
            <w:vAlign w:val="center"/>
          </w:tcPr>
          <w:p>
            <w:r>
              <w:rPr>
                <w:b/>
                <w:bCs/>
                <w:color w:val="15803D"/>
                <w:sz w:val="19"/>
                <w:szCs w:val="19"/>
              </w:rPr>
              <w:t xml:space="preserve">5%</w:t>
            </w:r>
          </w:p>
        </w:tc>
        <w:tc>
          <w:tcPr>
            <w:tcW w:type="dxa" w:w="1600"/>
            <w:shd w:fill="F2F4F7" w:color="auto" w:val="clear"/>
            <w:tcMar>
              <w:top w:type="dxa" w:w="80"/>
              <w:left w:type="dxa" w:w="100"/>
              <w:bottom w:type="dxa" w:w="80"/>
              <w:right w:type="dxa" w:w="100"/>
            </w:tcMar>
            <w:vAlign w:val="center"/>
          </w:tcPr>
          <w:p>
            <w:r>
              <w:rPr>
                <w:b/>
                <w:bCs/>
                <w:color w:val="1A1A1A"/>
                <w:sz w:val="19"/>
                <w:szCs w:val="19"/>
              </w:rPr>
              <w:t xml:space="preserve">Low</w:t>
            </w:r>
          </w:p>
        </w:tc>
      </w:tr>
      <w:tr>
        <w:tc>
          <w:tcPr>
            <w:tcW w:type="dxa" w:w="5600"/>
            <w:tcMar>
              <w:top w:type="dxa" w:w="80"/>
              <w:left w:type="dxa" w:w="100"/>
              <w:bottom w:type="dxa" w:w="80"/>
              <w:right w:type="dxa" w:w="100"/>
            </w:tcMar>
            <w:vAlign w:val="center"/>
          </w:tcPr>
          <w:p>
            <w:r>
              <w:rPr>
                <w:b w:val="false"/>
                <w:bCs w:val="false"/>
                <w:color w:val="1A1A1A"/>
                <w:sz w:val="19"/>
                <w:szCs w:val="19"/>
              </w:rPr>
              <w:t xml:space="preserve">Four documentation files that may be stale: DEPLOYMENT_GUIDE.md, HOW_TO_DEPLOY_CHANGES.md, MULTI_TENANT_MIGRATION_GUIDE.md and FRONTEND_SETUP.md. Some of their content may no longer match how the app is actually deployed and structured today; only you can confirm which parts are outdated versus still accurate.</w:t>
            </w:r>
          </w:p>
        </w:tc>
        <w:tc>
          <w:tcPr>
            <w:tcW w:type="dxa" w:w="2200"/>
            <w:tcMar>
              <w:top w:type="dxa" w:w="80"/>
              <w:left w:type="dxa" w:w="100"/>
              <w:bottom w:type="dxa" w:w="80"/>
              <w:right w:type="dxa" w:w="100"/>
            </w:tcMar>
            <w:vAlign w:val="center"/>
          </w:tcPr>
          <w:p>
            <w:r>
              <w:rPr>
                <w:b/>
                <w:bCs/>
                <w:color w:val="15803D"/>
                <w:sz w:val="19"/>
                <w:szCs w:val="19"/>
              </w:rPr>
              <w:t xml:space="preserve">10%</w:t>
            </w:r>
          </w:p>
        </w:tc>
        <w:tc>
          <w:tcPr>
            <w:tcW w:type="dxa" w:w="1600"/>
            <w:tcMar>
              <w:top w:type="dxa" w:w="80"/>
              <w:left w:type="dxa" w:w="100"/>
              <w:bottom w:type="dxa" w:w="80"/>
              <w:right w:type="dxa" w:w="100"/>
            </w:tcMar>
            <w:vAlign w:val="center"/>
          </w:tcPr>
          <w:p>
            <w:r>
              <w:rPr>
                <w:b/>
                <w:bCs/>
                <w:color w:val="1A1A1A"/>
                <w:sz w:val="19"/>
                <w:szCs w:val="19"/>
              </w:rPr>
              <w:t xml:space="preserve">Medium</w:t>
            </w:r>
          </w:p>
        </w:tc>
      </w:tr>
    </w:tbl>
    <w:p>
      <w:pPr>
        <w:pStyle w:val="Heading1"/>
        <w:spacing w:after="160" w:before="300"/>
      </w:pPr>
      <w:r>
        <w:rPr>
          <w:b/>
          <w:bCs/>
          <w:color w:val="1F3B57"/>
          <w:sz w:val="30"/>
          <w:szCs w:val="30"/>
        </w:rPr>
        <w:t xml:space="preserve">5. Explicitly not covered by this audit</w:t>
      </w:r>
    </w:p>
    <w:p>
      <w:pPr>
        <w:spacing w:after="140" w:line="300"/>
      </w:pPr>
      <w:r>
        <w:rPr>
          <w:b w:val="false"/>
          <w:bCs w:val="false"/>
          <w:i w:val="false"/>
          <w:iCs w:val="false"/>
          <w:sz w:val="21"/>
          <w:szCs w:val="21"/>
        </w:rPr>
        <w:t xml:space="preserve">For completeness, these areas were out of scope for the audit that has been done so far and remain fully unexamined. They are not "known issues" — simply unchecked ground. Estimating a risk percentage for something unexamined would not be meaningful, so none is given; each is listed with a priority reflecting how soon it seems worth a dedicated look.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600"/>
        <w:gridCol w:w="2200"/>
        <w:gridCol w:w="1600"/>
      </w:tblGrid>
      <w:tr>
        <w:trPr>
          <w:tblHeader/>
        </w:trPr>
        <w:tc>
          <w:tcPr>
            <w:tcW w:type="dxa" w:w="5600"/>
            <w:shd w:fill="1F3B57" w:color="auto" w:val="clear"/>
            <w:tcMar>
              <w:top w:type="dxa" w:w="80"/>
              <w:left w:type="dxa" w:w="100"/>
              <w:bottom w:type="dxa" w:w="80"/>
              <w:right w:type="dxa" w:w="100"/>
            </w:tcMar>
            <w:vAlign w:val="center"/>
          </w:tcPr>
          <w:p>
            <w:r>
              <w:rPr>
                <w:b/>
                <w:bCs/>
                <w:color w:val="FFFFFF"/>
                <w:sz w:val="19"/>
                <w:szCs w:val="19"/>
              </w:rPr>
              <w:t xml:space="preserve">Pending item</w:t>
            </w:r>
          </w:p>
        </w:tc>
        <w:tc>
          <w:tcPr>
            <w:tcW w:type="dxa" w:w="2200"/>
            <w:shd w:fill="1F3B57" w:color="auto" w:val="clear"/>
            <w:tcMar>
              <w:top w:type="dxa" w:w="80"/>
              <w:left w:type="dxa" w:w="100"/>
              <w:bottom w:type="dxa" w:w="80"/>
              <w:right w:type="dxa" w:w="100"/>
            </w:tcMar>
            <w:vAlign w:val="center"/>
          </w:tcPr>
          <w:p>
            <w:r>
              <w:rPr>
                <w:b/>
                <w:bCs/>
                <w:color w:val="FFFFFF"/>
                <w:sz w:val="19"/>
                <w:szCs w:val="19"/>
              </w:rPr>
              <w:t xml:space="preserve">Risk if left unfixed</w:t>
            </w:r>
          </w:p>
        </w:tc>
        <w:tc>
          <w:tcPr>
            <w:tcW w:type="dxa" w:w="1600"/>
            <w:shd w:fill="1F3B57" w:color="auto" w:val="clear"/>
            <w:tcMar>
              <w:top w:type="dxa" w:w="80"/>
              <w:left w:type="dxa" w:w="100"/>
              <w:bottom w:type="dxa" w:w="80"/>
              <w:right w:type="dxa" w:w="100"/>
            </w:tcMar>
            <w:vAlign w:val="center"/>
          </w:tcPr>
          <w:p>
            <w:r>
              <w:rPr>
                <w:b/>
                <w:bCs/>
                <w:color w:val="FFFFFF"/>
                <w:sz w:val="19"/>
                <w:szCs w:val="19"/>
              </w:rPr>
              <w:t xml:space="preserve">Priority</w:t>
            </w:r>
          </w:p>
        </w:tc>
      </w:tr>
      <w:tr>
        <w:tc>
          <w:tcPr>
            <w:tcW w:type="dxa" w:w="5600"/>
            <w:tcMar>
              <w:top w:type="dxa" w:w="80"/>
              <w:left w:type="dxa" w:w="100"/>
              <w:bottom w:type="dxa" w:w="80"/>
              <w:right w:type="dxa" w:w="100"/>
            </w:tcMar>
            <w:vAlign w:val="center"/>
          </w:tcPr>
          <w:p>
            <w:r>
              <w:rPr>
                <w:b w:val="false"/>
                <w:bCs w:val="false"/>
                <w:color w:val="1A1A1A"/>
                <w:sz w:val="19"/>
                <w:szCs w:val="19"/>
              </w:rPr>
              <w:t xml:space="preserve">Unused CSS selectors in main.css — no dead-code analysis has been run against the stylesheet.</w:t>
            </w:r>
          </w:p>
        </w:tc>
        <w:tc>
          <w:tcPr>
            <w:tcW w:type="dxa" w:w="2200"/>
            <w:tcMar>
              <w:top w:type="dxa" w:w="80"/>
              <w:left w:type="dxa" w:w="100"/>
              <w:bottom w:type="dxa" w:w="80"/>
              <w:right w:type="dxa" w:w="100"/>
            </w:tcMar>
            <w:vAlign w:val="center"/>
          </w:tcPr>
          <w:p>
            <w:r>
              <w:rPr>
                <w:b/>
                <w:bCs/>
                <w:color w:val="15803D"/>
                <w:sz w:val="19"/>
                <w:szCs w:val="19"/>
              </w:rPr>
              <w:t xml:space="preserve">0%</w:t>
            </w:r>
          </w:p>
        </w:tc>
        <w:tc>
          <w:tcPr>
            <w:tcW w:type="dxa" w:w="1600"/>
            <w:tcMar>
              <w:top w:type="dxa" w:w="80"/>
              <w:left w:type="dxa" w:w="100"/>
              <w:bottom w:type="dxa" w:w="80"/>
              <w:right w:type="dxa" w:w="100"/>
            </w:tcMar>
            <w:vAlign w:val="center"/>
          </w:tcPr>
          <w:p>
            <w:r>
              <w:rPr>
                <w:b/>
                <w:bCs/>
                <w:color w:val="1A1A1A"/>
                <w:sz w:val="19"/>
                <w:szCs w:val="19"/>
              </w:rPr>
              <w:t xml:space="preserve">Low</w:t>
            </w:r>
          </w:p>
        </w:tc>
      </w:tr>
      <w:tr>
        <w:tc>
          <w:tcPr>
            <w:tcW w:type="dxa" w:w="5600"/>
            <w:shd w:fill="F2F4F7" w:color="auto" w:val="clear"/>
            <w:tcMar>
              <w:top w:type="dxa" w:w="80"/>
              <w:left w:type="dxa" w:w="100"/>
              <w:bottom w:type="dxa" w:w="80"/>
              <w:right w:type="dxa" w:w="100"/>
            </w:tcMar>
            <w:vAlign w:val="center"/>
          </w:tcPr>
          <w:p>
            <w:r>
              <w:rPr>
                <w:b w:val="false"/>
                <w:bCs w:val="false"/>
                <w:color w:val="1A1A1A"/>
                <w:sz w:val="19"/>
                <w:szCs w:val="19"/>
              </w:rPr>
              <w:t xml:space="preserve">The native Android project internals (the Capacitor-wrapped app shell) — not reviewed as part of this web-codebase audit.</w:t>
            </w:r>
          </w:p>
        </w:tc>
        <w:tc>
          <w:tcPr>
            <w:tcW w:type="dxa" w:w="2200"/>
            <w:shd w:fill="F2F4F7" w:color="auto" w:val="clear"/>
            <w:tcMar>
              <w:top w:type="dxa" w:w="80"/>
              <w:left w:type="dxa" w:w="100"/>
              <w:bottom w:type="dxa" w:w="80"/>
              <w:right w:type="dxa" w:w="100"/>
            </w:tcMar>
            <w:vAlign w:val="center"/>
          </w:tcPr>
          <w:p>
            <w:r>
              <w:rPr>
                <w:b/>
                <w:bCs/>
                <w:color w:val="15803D"/>
                <w:sz w:val="19"/>
                <w:szCs w:val="19"/>
              </w:rPr>
              <w:t xml:space="preserve">0%</w:t>
            </w:r>
          </w:p>
        </w:tc>
        <w:tc>
          <w:tcPr>
            <w:tcW w:type="dxa" w:w="1600"/>
            <w:shd w:fill="F2F4F7" w:color="auto" w:val="clear"/>
            <w:tcMar>
              <w:top w:type="dxa" w:w="80"/>
              <w:left w:type="dxa" w:w="100"/>
              <w:bottom w:type="dxa" w:w="80"/>
              <w:right w:type="dxa" w:w="100"/>
            </w:tcMar>
            <w:vAlign w:val="center"/>
          </w:tcPr>
          <w:p>
            <w:r>
              <w:rPr>
                <w:b/>
                <w:bCs/>
                <w:color w:val="1A1A1A"/>
                <w:sz w:val="19"/>
                <w:szCs w:val="19"/>
              </w:rPr>
              <w:t xml:space="preserve">Low</w:t>
            </w:r>
          </w:p>
        </w:tc>
      </w:tr>
      <w:tr>
        <w:tc>
          <w:tcPr>
            <w:tcW w:type="dxa" w:w="5600"/>
            <w:tcMar>
              <w:top w:type="dxa" w:w="80"/>
              <w:left w:type="dxa" w:w="100"/>
              <w:bottom w:type="dxa" w:w="80"/>
              <w:right w:type="dxa" w:w="100"/>
            </w:tcMar>
            <w:vAlign w:val="center"/>
          </w:tcPr>
          <w:p>
            <w:r>
              <w:rPr>
                <w:b w:val="false"/>
                <w:bCs w:val="false"/>
                <w:color w:val="1A1A1A"/>
                <w:sz w:val="19"/>
                <w:szCs w:val="19"/>
              </w:rPr>
              <w:t xml:space="preserve">The Netlify functions' internal implementation details — reviewed only from the outside (what they return to the browser), not their own code quality.</w:t>
            </w:r>
          </w:p>
        </w:tc>
        <w:tc>
          <w:tcPr>
            <w:tcW w:type="dxa" w:w="2200"/>
            <w:tcMar>
              <w:top w:type="dxa" w:w="80"/>
              <w:left w:type="dxa" w:w="100"/>
              <w:bottom w:type="dxa" w:w="80"/>
              <w:right w:type="dxa" w:w="100"/>
            </w:tcMar>
            <w:vAlign w:val="center"/>
          </w:tcPr>
          <w:p>
            <w:r>
              <w:rPr>
                <w:b/>
                <w:bCs/>
                <w:color w:val="15803D"/>
                <w:sz w:val="19"/>
                <w:szCs w:val="19"/>
              </w:rPr>
              <w:t xml:space="preserve">0%</w:t>
            </w:r>
          </w:p>
        </w:tc>
        <w:tc>
          <w:tcPr>
            <w:tcW w:type="dxa" w:w="1600"/>
            <w:tcMar>
              <w:top w:type="dxa" w:w="80"/>
              <w:left w:type="dxa" w:w="100"/>
              <w:bottom w:type="dxa" w:w="80"/>
              <w:right w:type="dxa" w:w="100"/>
            </w:tcMar>
            <w:vAlign w:val="center"/>
          </w:tcPr>
          <w:p>
            <w:r>
              <w:rPr>
                <w:b/>
                <w:bCs/>
                <w:color w:val="1A1A1A"/>
                <w:sz w:val="19"/>
                <w:szCs w:val="19"/>
              </w:rPr>
              <w:t xml:space="preserve">Low</w:t>
            </w:r>
          </w:p>
        </w:tc>
      </w:tr>
      <w:tr>
        <w:tc>
          <w:tcPr>
            <w:tcW w:type="dxa" w:w="5600"/>
            <w:shd w:fill="F2F4F7" w:color="auto" w:val="clear"/>
            <w:tcMar>
              <w:top w:type="dxa" w:w="80"/>
              <w:left w:type="dxa" w:w="100"/>
              <w:bottom w:type="dxa" w:w="80"/>
              <w:right w:type="dxa" w:w="100"/>
            </w:tcMar>
            <w:vAlign w:val="center"/>
          </w:tcPr>
          <w:p>
            <w:r>
              <w:rPr>
                <w:b w:val="false"/>
                <w:bCs w:val="false"/>
                <w:color w:val="1A1A1A"/>
                <w:sz w:val="19"/>
                <w:szCs w:val="19"/>
              </w:rPr>
              <w:t xml:space="preserve">Live performance and memory profiling under real school-scale data and concurrent users — this audit was a static code review, not a load test.</w:t>
            </w:r>
          </w:p>
        </w:tc>
        <w:tc>
          <w:tcPr>
            <w:tcW w:type="dxa" w:w="2200"/>
            <w:shd w:fill="F2F4F7" w:color="auto" w:val="clear"/>
            <w:tcMar>
              <w:top w:type="dxa" w:w="80"/>
              <w:left w:type="dxa" w:w="100"/>
              <w:bottom w:type="dxa" w:w="80"/>
              <w:right w:type="dxa" w:w="100"/>
            </w:tcMar>
            <w:vAlign w:val="center"/>
          </w:tcPr>
          <w:p>
            <w:r>
              <w:rPr>
                <w:b/>
                <w:bCs/>
                <w:color w:val="15803D"/>
                <w:sz w:val="19"/>
                <w:szCs w:val="19"/>
              </w:rPr>
              <w:t xml:space="preserve">0%</w:t>
            </w:r>
          </w:p>
        </w:tc>
        <w:tc>
          <w:tcPr>
            <w:tcW w:type="dxa" w:w="1600"/>
            <w:shd w:fill="F2F4F7" w:color="auto" w:val="clear"/>
            <w:tcMar>
              <w:top w:type="dxa" w:w="80"/>
              <w:left w:type="dxa" w:w="100"/>
              <w:bottom w:type="dxa" w:w="80"/>
              <w:right w:type="dxa" w:w="100"/>
            </w:tcMar>
            <w:vAlign w:val="center"/>
          </w:tcPr>
          <w:p>
            <w:r>
              <w:rPr>
                <w:b/>
                <w:bCs/>
                <w:color w:val="1A1A1A"/>
                <w:sz w:val="19"/>
                <w:szCs w:val="19"/>
              </w:rPr>
              <w:t xml:space="preserve">Medium</w:t>
            </w:r>
          </w:p>
        </w:tc>
      </w:tr>
    </w:tbl>
    <w:p>
      <w:pPr>
        <w:pBdr>
          <w:bottom w:val="single" w:color="D9DCE1" w:sz="6"/>
        </w:pBdr>
        <w:spacing w:after="120" w:before="120"/>
      </w:pPr>
    </w:p>
    <w:p>
      <w:pPr>
        <w:pStyle w:val="Heading2"/>
        <w:spacing w:after="120" w:before="260"/>
      </w:pPr>
      <w:r>
        <w:rPr>
          <w:b/>
          <w:bCs/>
          <w:color w:val="1F3B57"/>
          <w:sz w:val="24"/>
          <w:szCs w:val="24"/>
        </w:rPr>
        <w:t xml:space="preserve">Summary</w:t>
      </w:r>
    </w:p>
    <w:p>
      <w:pPr>
        <w:spacing w:after="140" w:line="300"/>
      </w:pPr>
      <w:r>
        <w:rPr>
          <w:b/>
          <w:bCs/>
          <w:i w:val="false"/>
          <w:iCs w:val="false"/>
          <w:sz w:val="21"/>
          <w:szCs w:val="21"/>
        </w:rPr>
        <w:t xml:space="preserve">One item — Finance's transaction-list pagination cap — stands out as a real and worsening risk, and is the one thing worth prioritizing next. Everything else on this list is minor, cosmetic, or simply outside what has been examined yet, and per your instruction to leave risky work for later, none of it has been changed.</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2026-09-16T17:27:24.963Z</dcterms:created>
  <dcterms:modified xsi:type="dcterms:W3CDTF">2026-09-16T17:27:24.972Z</dcterms:modified>
</cp:coreProperties>
</file>

<file path=docProps/custom.xml><?xml version="1.0" encoding="utf-8"?>
<Properties xmlns="http://schemas.openxmlformats.org/officeDocument/2006/custom-properties" xmlns:vt="http://schemas.openxmlformats.org/officeDocument/2006/docPropsVTypes"/>
</file>