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480"/>
          <w:sz w:val="26"/>
        </w:rPr>
        <w:t>AZUR PARK</w:t>
      </w:r>
    </w:p>
    <w:p>
      <w:pPr>
        <w:jc w:val="center"/>
      </w:pPr>
      <w:r>
        <w:rPr>
          <w:b/>
          <w:color w:val="0A3B7A"/>
          <w:sz w:val="52"/>
        </w:rPr>
        <w:t>Compte-rendu mise à jour DU</w:t>
      </w:r>
    </w:p>
    <w:p>
      <w:pPr>
        <w:jc w:val="center"/>
      </w:pPr>
      <w:r>
        <w:rPr>
          <w:color w:val="D9A41A"/>
          <w:sz w:val="28"/>
        </w:rPr>
        <w:t>10/08/2024</w:t>
      </w:r>
    </w:p>
    <w:p>
      <w:r>
        <w:br w:type="page"/>
      </w:r>
    </w:p>
    <w:p>
      <w:r>
        <w:rPr>
          <w:rFonts w:ascii="Calibri" w:hAnsi="Calibri"/>
          <w:sz w:val="21"/>
        </w:rPr>
        <w:t>Compte-Rendu du Rendez-Vous pour la Mise à Jour du Document Unique</w:t>
      </w:r>
    </w:p>
    <w:p>
      <w:r>
        <w:rPr>
          <w:rFonts w:ascii="Calibri" w:hAnsi="Calibri"/>
          <w:sz w:val="21"/>
        </w:rPr>
        <w:t>Client : Azur Parc</w:t>
      </w:r>
    </w:p>
    <w:p>
      <w:r>
        <w:rPr>
          <w:rFonts w:ascii="Calibri" w:hAnsi="Calibri"/>
          <w:sz w:val="21"/>
        </w:rPr>
        <w:t>Date : 10 AOUT 2024 CHEZ AZUR PARC</w:t>
      </w:r>
    </w:p>
    <w:p>
      <w:r>
        <w:rPr>
          <w:rFonts w:ascii="Calibri" w:hAnsi="Calibri"/>
          <w:sz w:val="21"/>
        </w:rPr>
        <w:t>Participants :</w:t>
      </w:r>
    </w:p>
    <w:p>
      <w:r>
        <w:rPr>
          <w:b/>
          <w:color w:val="D9A41A"/>
        </w:rPr>
        <w:t xml:space="preserve">•  </w:t>
      </w:r>
      <w:r>
        <w:rPr>
          <w:sz w:val="21"/>
        </w:rPr>
        <w:t>Sam Paillon - Responsable Sécurité et Exploitation</w:t>
      </w:r>
    </w:p>
    <w:p>
      <w:r>
        <w:rPr>
          <w:b/>
          <w:color w:val="D9A41A"/>
        </w:rPr>
        <w:t xml:space="preserve">•  </w:t>
      </w:r>
      <w:r>
        <w:rPr>
          <w:sz w:val="21"/>
        </w:rPr>
        <w:t>David Museur - Expert</w:t>
      </w:r>
    </w:p>
    <w:p>
      <w:r>
        <w:rPr>
          <w:rFonts w:ascii="Calibri" w:hAnsi="Calibri"/>
          <w:sz w:val="21"/>
        </w:rPr>
        <w:t>Sommaire</w:t>
      </w:r>
    </w:p>
    <w:p>
      <w:r>
        <w:rPr>
          <w:b/>
          <w:color w:val="D9A41A"/>
        </w:rPr>
        <w:t xml:space="preserve">•  </w:t>
      </w:r>
      <w:r>
        <w:rPr>
          <w:sz w:val="21"/>
        </w:rPr>
        <w:t>Introduction</w:t>
      </w:r>
    </w:p>
    <w:p>
      <w:r>
        <w:rPr>
          <w:b/>
          <w:color w:val="D9A41A"/>
        </w:rPr>
        <w:t xml:space="preserve">•  </w:t>
      </w:r>
      <w:r>
        <w:rPr>
          <w:sz w:val="21"/>
        </w:rPr>
        <w:t>État Actuel des Documents et Systèmes</w:t>
      </w:r>
    </w:p>
    <w:p>
      <w:r>
        <w:rPr>
          <w:b/>
          <w:color w:val="D9A41A"/>
        </w:rPr>
        <w:t xml:space="preserve">•  </w:t>
      </w:r>
      <w:r>
        <w:rPr>
          <w:sz w:val="21"/>
        </w:rPr>
        <w:t>Document Unique (DU)</w:t>
      </w:r>
    </w:p>
    <w:p>
      <w:r>
        <w:rPr>
          <w:b/>
          <w:color w:val="D9A41A"/>
        </w:rPr>
        <w:t xml:space="preserve">•  </w:t>
      </w:r>
      <w:r>
        <w:rPr>
          <w:sz w:val="21"/>
        </w:rPr>
        <w:t>Autres documents de sécurité</w:t>
      </w:r>
    </w:p>
    <w:p>
      <w:r>
        <w:rPr>
          <w:b/>
          <w:color w:val="D9A41A"/>
        </w:rPr>
        <w:t xml:space="preserve">•  </w:t>
      </w:r>
      <w:r>
        <w:rPr>
          <w:sz w:val="21"/>
        </w:rPr>
        <w:t>Points Clés Abordés</w:t>
      </w:r>
    </w:p>
    <w:p>
      <w:r>
        <w:rPr>
          <w:b/>
          <w:color w:val="D9A41A"/>
        </w:rPr>
        <w:t xml:space="preserve">•  </w:t>
      </w:r>
      <w:r>
        <w:rPr>
          <w:sz w:val="21"/>
        </w:rPr>
        <w:t>Mise à jour des fiches manèges</w:t>
      </w:r>
    </w:p>
    <w:p>
      <w:r>
        <w:rPr>
          <w:b/>
          <w:color w:val="D9A41A"/>
        </w:rPr>
        <w:t xml:space="preserve">•  </w:t>
      </w:r>
      <w:r>
        <w:rPr>
          <w:sz w:val="21"/>
        </w:rPr>
        <w:t>Intégration de la culture sécurité</w:t>
      </w:r>
    </w:p>
    <w:p>
      <w:r>
        <w:rPr>
          <w:b/>
          <w:color w:val="D9A41A"/>
        </w:rPr>
        <w:t xml:space="preserve">•  </w:t>
      </w:r>
      <w:r>
        <w:rPr>
          <w:sz w:val="21"/>
        </w:rPr>
        <w:t>Gestion des vérifications et contrôles</w:t>
      </w:r>
    </w:p>
    <w:p>
      <w:r>
        <w:rPr>
          <w:b/>
          <w:color w:val="D9A41A"/>
        </w:rPr>
        <w:t xml:space="preserve">•  </w:t>
      </w:r>
      <w:r>
        <w:rPr>
          <w:sz w:val="21"/>
        </w:rPr>
        <w:t>Amélioration des installations et des équipements</w:t>
      </w:r>
    </w:p>
    <w:p>
      <w:r>
        <w:rPr>
          <w:b/>
          <w:color w:val="D9A41A"/>
        </w:rPr>
        <w:t xml:space="preserve">•  </w:t>
      </w:r>
      <w:r>
        <w:rPr>
          <w:sz w:val="21"/>
        </w:rPr>
        <w:t>Préconisation d'équipement : Caméra Thermique pour Thermographie Infrarouge</w:t>
      </w:r>
    </w:p>
    <w:p>
      <w:r>
        <w:rPr>
          <w:b/>
          <w:color w:val="D9A41A"/>
        </w:rPr>
        <w:t xml:space="preserve">•  </w:t>
      </w:r>
      <w:r>
        <w:rPr>
          <w:sz w:val="21"/>
        </w:rPr>
        <w:t>Excellentes Démarches de Sécurité Mises en Place par Sam</w:t>
      </w:r>
    </w:p>
    <w:p>
      <w:r>
        <w:rPr>
          <w:b/>
          <w:color w:val="D9A41A"/>
        </w:rPr>
        <w:t xml:space="preserve">•  </w:t>
      </w:r>
      <w:r>
        <w:rPr>
          <w:sz w:val="21"/>
        </w:rPr>
        <w:t>Opérations à Suivre</w:t>
      </w:r>
    </w:p>
    <w:p>
      <w:r>
        <w:rPr>
          <w:b/>
          <w:color w:val="D9A41A"/>
        </w:rPr>
        <w:t xml:space="preserve">•  </w:t>
      </w:r>
      <w:r>
        <w:rPr>
          <w:sz w:val="21"/>
        </w:rPr>
        <w:t>Tâches immédiates</w:t>
      </w:r>
    </w:p>
    <w:p>
      <w:r>
        <w:rPr>
          <w:b/>
          <w:color w:val="D9A41A"/>
        </w:rPr>
        <w:t xml:space="preserve">•  </w:t>
      </w:r>
      <w:r>
        <w:rPr>
          <w:sz w:val="21"/>
        </w:rPr>
        <w:t>Tâches à long terme</w:t>
      </w:r>
    </w:p>
    <w:p>
      <w:r>
        <w:rPr>
          <w:b/>
          <w:color w:val="D9A41A"/>
        </w:rPr>
        <w:t xml:space="preserve">•  </w:t>
      </w:r>
      <w:r>
        <w:rPr>
          <w:sz w:val="21"/>
        </w:rPr>
        <w:t>Conclusion et Recommandations</w:t>
      </w:r>
    </w:p>
    <w:p>
      <w:r>
        <w:rPr>
          <w:rFonts w:ascii="Calibri" w:hAnsi="Calibri"/>
          <w:sz w:val="21"/>
        </w:rPr>
        <w:t>1. Introduction</w:t>
      </w:r>
    </w:p>
    <w:p>
      <w:r>
        <w:rPr>
          <w:rFonts w:ascii="Calibri" w:hAnsi="Calibri"/>
          <w:sz w:val="21"/>
        </w:rPr>
        <w:t>Le présent compte-rendu résume les discussions tenues lors de la réunion avec Sam Paillon, Responsable Sécurité et Exploitation d'Azur Parc, concernant la mise à jour du Document Unique (DU) et autres aspects de la sécurité dans le parc. L'objectif de la réunion était d'évaluer l'état actuel des documents de sécurité, d'identifier les actions nécessaires pour la mise à jour et d'assurer la conformité avec les obligations réglementaires.</w:t>
      </w:r>
    </w:p>
    <w:p>
      <w:r>
        <w:rPr>
          <w:rFonts w:ascii="Calibri" w:hAnsi="Calibri"/>
          <w:sz w:val="21"/>
        </w:rPr>
        <w:t>2. État Actuel des Documents et Systèmes</w:t>
      </w:r>
    </w:p>
    <w:p>
      <w:r>
        <w:rPr>
          <w:rFonts w:ascii="Calibri" w:hAnsi="Calibri"/>
          <w:sz w:val="21"/>
        </w:rPr>
        <w:t>Document Unique (DU)</w:t>
      </w:r>
    </w:p>
    <w:p>
      <w:r>
        <w:rPr>
          <w:rFonts w:ascii="Calibri" w:hAnsi="Calibri"/>
          <w:sz w:val="21"/>
        </w:rPr>
        <w:t>Sam Paillon a confirmé que le DU est en ligne et accessible via le système RISC-4, mais que certaines mises à jour sont nécessaires pour intégrer les dernières vérifications et contrôles effectués sur les attractions et les équipements du parc.</w:t>
      </w:r>
    </w:p>
    <w:p>
      <w:r>
        <w:rPr>
          <w:rFonts w:ascii="Calibri" w:hAnsi="Calibri"/>
          <w:sz w:val="21"/>
        </w:rPr>
        <w:t>Autres documents de sécurité</w:t>
      </w:r>
    </w:p>
    <w:p>
      <w:r>
        <w:rPr>
          <w:b/>
          <w:color w:val="D9A41A"/>
        </w:rPr>
        <w:t xml:space="preserve">•  </w:t>
      </w:r>
      <w:r>
        <w:rPr>
          <w:sz w:val="21"/>
        </w:rPr>
        <w:t>Les fiches des manèges doivent être mises à jour, notamment en ce qui concerne les contrôles de sécurité périodiques.</w:t>
      </w:r>
    </w:p>
    <w:p>
      <w:r>
        <w:rPr>
          <w:b/>
          <w:color w:val="D9A41A"/>
        </w:rPr>
        <w:t xml:space="preserve">•  </w:t>
      </w:r>
      <w:r>
        <w:rPr>
          <w:sz w:val="21"/>
        </w:rPr>
        <w:t>Les rapports de vérification doivent être scannés et intégrés dans la bibliothèque de sécurité du parc.</w:t>
      </w:r>
    </w:p>
    <w:p>
      <w:r>
        <w:rPr>
          <w:rFonts w:ascii="Calibri" w:hAnsi="Calibri"/>
          <w:sz w:val="21"/>
        </w:rPr>
        <w:t>3. Points Clés Abordés</w:t>
      </w:r>
    </w:p>
    <w:p>
      <w:r>
        <w:rPr>
          <w:rFonts w:ascii="Calibri" w:hAnsi="Calibri"/>
          <w:sz w:val="21"/>
        </w:rPr>
        <w:t>Mise à jour des fiches manèges</w:t>
      </w:r>
    </w:p>
    <w:p>
      <w:r>
        <w:rPr>
          <w:rFonts w:ascii="Calibri" w:hAnsi="Calibri"/>
          <w:sz w:val="21"/>
        </w:rPr>
        <w:t>Sam Paillon et David Museur ont discuté de la nécessité de réviser et mettre à jour les fiches des manèges. Sam a accepté de fournir les noms des manèges pour faciliter cette tâche. L'objectif est de s'assurer que toutes les fiches soient à jour, avec des contrôles réalisés en fonction de la catégorie de chaque manège.</w:t>
      </w:r>
    </w:p>
    <w:p>
      <w:r>
        <w:rPr>
          <w:rFonts w:ascii="Calibri" w:hAnsi="Calibri"/>
          <w:sz w:val="21"/>
        </w:rPr>
        <w:t>Intégration de la culture sécurité</w:t>
      </w:r>
    </w:p>
    <w:p>
      <w:r>
        <w:rPr>
          <w:rFonts w:ascii="Calibri" w:hAnsi="Calibri"/>
          <w:sz w:val="21"/>
        </w:rPr>
        <w:t>Il a été souligné l'importance d’intégrer une culture de sécurité aussi bien pour les visiteurs que pour les employés. Cette démarche est vue comme un moyen de renforcer la défense en cas de litige, en démontrant les efforts du parc pour assurer la sécurité de tous.</w:t>
      </w:r>
    </w:p>
    <w:p>
      <w:r>
        <w:rPr>
          <w:rFonts w:ascii="Calibri" w:hAnsi="Calibri"/>
          <w:sz w:val="21"/>
        </w:rPr>
        <w:t>Gestion des vérifications et contrôles</w:t>
      </w:r>
    </w:p>
    <w:p>
      <w:r>
        <w:rPr>
          <w:rFonts w:ascii="Calibri" w:hAnsi="Calibri"/>
          <w:sz w:val="21"/>
        </w:rPr>
        <w:t>Sam doit s’assurer que tous les contrôles nécessaires, notamment ceux liés à la sécurité des manèges, soient effectués régulièrement. David a recommandé de classer ces documents dans une armoire dédiée à la sécurité pour faciliter leur consultation en cas de besoin. Il a été rappelé à Sam l'importance de transmettre par mail à David Museur ou d'intégrer directement dans l'armoire du Document Unique Informatique tous les documents relatifs à la sécurité.</w:t>
      </w:r>
    </w:p>
    <w:p>
      <w:r>
        <w:rPr>
          <w:rFonts w:ascii="Calibri" w:hAnsi="Calibri"/>
          <w:sz w:val="21"/>
        </w:rPr>
        <w:t>Amélioration des installations et des équipements</w:t>
      </w:r>
    </w:p>
    <w:p>
      <w:r>
        <w:rPr>
          <w:rFonts w:ascii="Calibri" w:hAnsi="Calibri"/>
          <w:sz w:val="21"/>
        </w:rPr>
        <w:t>Il a été recommandé à Sam d'effectuer le remplacement des néons dans l'atelier par des luminaires étanches de type IP55. De plus, il est essentiel d'éloigner le stockage des huiles inflammables d'au moins un mètre de toute source d'énergie électrique, car elles sont actuellement stockées sous les tableaux électriques.</w:t>
      </w:r>
    </w:p>
    <w:p>
      <w:r>
        <w:rPr>
          <w:rFonts w:ascii="Calibri" w:hAnsi="Calibri"/>
          <w:sz w:val="21"/>
        </w:rPr>
        <w:t>Préconisation d'équipement : Caméra Thermique pour Thermographie Infrarouge</w:t>
      </w:r>
    </w:p>
    <w:p>
      <w:r>
        <w:rPr>
          <w:rFonts w:ascii="Calibri" w:hAnsi="Calibri"/>
          <w:sz w:val="21"/>
        </w:rPr>
        <w:t>David Museur a recommandé l'acquisition d'une caméra thermique pour réaliser des contrôles par thermographie infrarouge. Cette méthode, couramment utilisée dans les grands groupes industriels, est de plus en plus adoptée par les PME pour la surveillance des équipements électriques.</w:t>
      </w:r>
    </w:p>
    <w:p>
      <w:r>
        <w:rPr>
          <w:rFonts w:ascii="Calibri" w:hAnsi="Calibri"/>
          <w:sz w:val="21"/>
        </w:rPr>
        <w:t>La thermographie infrarouge permet de détecter des anomalies thermiques, telles que des échauffements anormaux, sur les équipements en fonctionnement. Ces anomalies peuvent être causées par des surcharges, des courts-circuits, ou des connexions défectueuses, qui sont des sources potentielles d'incendies d'origine électrique.</w:t>
      </w:r>
    </w:p>
    <w:p>
      <w:r>
        <w:rPr>
          <w:rFonts w:ascii="Calibri" w:hAnsi="Calibri"/>
          <w:sz w:val="21"/>
        </w:rPr>
        <w:t>L'avantage principal de cette méthode est sa capacité à fournir une cartographie précise des températures des équipements, permettant ainsi d'identifier rapidement les zones à risque. Les données obtenues peuvent être mémorisées et comparées dans le temps pour suivre l'évolution des conditions des équipements.</w:t>
      </w:r>
    </w:p>
    <w:p>
      <w:r>
        <w:rPr>
          <w:rFonts w:ascii="Calibri" w:hAnsi="Calibri"/>
          <w:sz w:val="21"/>
        </w:rPr>
        <w:t>En plus de la prévention des incendies, la thermographie infrarouge est utile pour prévenir les bris de machines en détectant des défauts tels que des problèmes de roulement ou des fuites de liquide. Elle permet ainsi de réaliser des interventions correctives ou préventives avant que les anomalies ne causent des dommages significatifs.</w:t>
      </w:r>
    </w:p>
    <w:p>
      <w:r>
        <w:rPr>
          <w:rFonts w:ascii="Calibri" w:hAnsi="Calibri"/>
          <w:sz w:val="21"/>
        </w:rPr>
        <w:t>Enfin, l'utilisation d'une caméra thermique peut contribuer à réduire les coûts de maintenance en évitant des arrêts de production non planifiés et en prolongeant la durée de vie des équipements.</w:t>
      </w:r>
    </w:p>
    <w:p>
      <w:r>
        <w:rPr>
          <w:rFonts w:ascii="Calibri" w:hAnsi="Calibri"/>
          <w:sz w:val="21"/>
        </w:rPr>
        <w:t>4. Excellentes Démarches de Sécurité Mises en Place par Sam</w:t>
      </w:r>
    </w:p>
    <w:p>
      <w:r>
        <w:rPr>
          <w:rFonts w:ascii="Calibri" w:hAnsi="Calibri"/>
          <w:sz w:val="21"/>
        </w:rPr>
        <w:t>Sam Paillon a mis en place plusieurs démarches exemplaires qui méritent d'être mises en avant :</w:t>
      </w:r>
    </w:p>
    <w:p>
      <w:r>
        <w:rPr>
          <w:b/>
          <w:color w:val="D9A41A"/>
        </w:rPr>
        <w:t xml:space="preserve">•  </w:t>
      </w:r>
      <w:r>
        <w:rPr>
          <w:sz w:val="21"/>
        </w:rPr>
        <w:t>Contrôle des EPI (Équipements de Protection Individuelle) des salariés, garantissant que chaque employé dispose des protections nécessaires pour effectuer son travail en toute sécurité.</w:t>
      </w:r>
    </w:p>
    <w:p>
      <w:r>
        <w:rPr>
          <w:b/>
          <w:color w:val="D9A41A"/>
        </w:rPr>
        <w:t xml:space="preserve">•  </w:t>
      </w:r>
      <w:r>
        <w:rPr>
          <w:sz w:val="21"/>
        </w:rPr>
        <w:t>Gestion améliorée du garage, avec un rangement optimisé, le stockage des liquides inflammables dans un conteneur sécurisé (Algeco Sécurité), et l'évacuation des vieux produits.</w:t>
      </w:r>
    </w:p>
    <w:p>
      <w:r>
        <w:rPr>
          <w:b/>
          <w:color w:val="D9A41A"/>
        </w:rPr>
        <w:t xml:space="preserve">•  </w:t>
      </w:r>
      <w:r>
        <w:rPr>
          <w:sz w:val="21"/>
        </w:rPr>
        <w:t>Exercice régulier de simulation de panne sur les manèges, impliquant chaque opérateur. Ces exercices permettent de préparer le personnel à évacuer les clients en toute sécurité en cas de panne, tout en préservant la sécurité des salariés.</w:t>
      </w:r>
    </w:p>
    <w:p>
      <w:r>
        <w:rPr>
          <w:rFonts w:ascii="Calibri" w:hAnsi="Calibri"/>
          <w:sz w:val="21"/>
        </w:rPr>
        <w:t>Ces démarches sont excellentes et validées en tant qu'expert par David Museur.</w:t>
      </w:r>
    </w:p>
    <w:p>
      <w:r>
        <w:rPr>
          <w:rFonts w:ascii="Calibri" w:hAnsi="Calibri"/>
          <w:sz w:val="21"/>
        </w:rPr>
        <w:t>5. Opérations à Suivre</w:t>
      </w:r>
    </w:p>
    <w:p>
      <w:r>
        <w:rPr>
          <w:rFonts w:ascii="Calibri" w:hAnsi="Calibri"/>
          <w:sz w:val="21"/>
        </w:rPr>
        <w:t>Tâches Immédiates</w:t>
      </w:r>
    </w:p>
    <w:p>
      <w:r>
        <w:rPr>
          <w:b/>
          <w:color w:val="D9A41A"/>
        </w:rPr>
        <w:t xml:space="preserve">•  </w:t>
      </w:r>
      <w:r>
        <w:rPr>
          <w:sz w:val="21"/>
        </w:rPr>
        <w:t>Mise à jour des fiches manèges : Sam doit fournir la liste des manèges pour permettre la mise à jour des fiches.</w:t>
      </w:r>
    </w:p>
    <w:p>
      <w:r>
        <w:rPr>
          <w:b/>
          <w:color w:val="D9A41A"/>
        </w:rPr>
        <w:t xml:space="preserve">•  </w:t>
      </w:r>
      <w:r>
        <w:rPr>
          <w:sz w:val="21"/>
        </w:rPr>
        <w:t>Scannage des rapports de vérification : Scanner et envoyer les rapports à David pour qu'ils soient intégrés dans le DU.</w:t>
      </w:r>
    </w:p>
    <w:p>
      <w:r>
        <w:rPr>
          <w:b/>
          <w:color w:val="D9A41A"/>
        </w:rPr>
        <w:t xml:space="preserve">•  </w:t>
      </w:r>
      <w:r>
        <w:rPr>
          <w:sz w:val="21"/>
        </w:rPr>
        <w:t>Remplacement des néons : Effectuer le remplacement des néons dans l'atelier par des luminaires étanches de type IP55.</w:t>
      </w:r>
    </w:p>
    <w:p>
      <w:r>
        <w:rPr>
          <w:b/>
          <w:color w:val="D9A41A"/>
        </w:rPr>
        <w:t xml:space="preserve">•  </w:t>
      </w:r>
      <w:r>
        <w:rPr>
          <w:sz w:val="21"/>
        </w:rPr>
        <w:t>Stockage des huiles : Éloigner les huiles inflammables d'au moins un mètre de toute source d'énergie électrique.</w:t>
      </w:r>
    </w:p>
    <w:p>
      <w:r>
        <w:rPr>
          <w:rFonts w:ascii="Calibri" w:hAnsi="Calibri"/>
          <w:sz w:val="21"/>
        </w:rPr>
        <w:t>Tâches à Long Terme</w:t>
      </w:r>
    </w:p>
    <w:p>
      <w:r>
        <w:rPr>
          <w:b/>
          <w:color w:val="D9A41A"/>
        </w:rPr>
        <w:t xml:space="preserve">•  </w:t>
      </w:r>
      <w:r>
        <w:rPr>
          <w:sz w:val="21"/>
        </w:rPr>
        <w:t>Culture sécurité : Continuer à promouvoir la culture sécurité auprès des employés et intégrer cette démarche dans tous les aspects de la gestion du parc.</w:t>
      </w:r>
    </w:p>
    <w:p>
      <w:r>
        <w:rPr>
          <w:b/>
          <w:color w:val="D9A41A"/>
        </w:rPr>
        <w:t xml:space="preserve">•  </w:t>
      </w:r>
      <w:r>
        <w:rPr>
          <w:sz w:val="21"/>
        </w:rPr>
        <w:t>Contrôle des équipements : Assurer un suivi rigoureux des vérifications annuelles des compresseurs et autres équipements de sécurité.</w:t>
      </w:r>
    </w:p>
    <w:p>
      <w:r>
        <w:rPr>
          <w:b/>
          <w:color w:val="D9A41A"/>
        </w:rPr>
        <w:t xml:space="preserve">•  </w:t>
      </w:r>
      <w:r>
        <w:rPr>
          <w:sz w:val="21"/>
        </w:rPr>
        <w:t>Investissement dans une caméra thermique : Envisager l'achat d'une caméra thermique pour réaliser des contrôles par thermographie infrarouge (voir fiche conseil en annexe).</w:t>
      </w:r>
    </w:p>
    <w:p>
      <w:r>
        <w:rPr>
          <w:rFonts w:ascii="Calibri" w:hAnsi="Calibri"/>
          <w:sz w:val="21"/>
        </w:rPr>
        <w:t>6. Conclusion et Recommandations</w:t>
      </w:r>
    </w:p>
    <w:p>
      <w:r>
        <w:rPr>
          <w:rFonts w:ascii="Calibri" w:hAnsi="Calibri"/>
          <w:sz w:val="21"/>
        </w:rPr>
        <w:t>Il est recommandé de suivre les tâches identifiées pour garantir que le Document Unique et les autres documents de sécurité soient à jour. Cela permettra à Azur Parc de rester en conformité avec les obligations réglementaires et d'assurer la sécurité de ses employés et visiteurs.</w:t>
      </w:r>
    </w:p>
    <w:p>
      <w:r>
        <w:rPr>
          <w:rFonts w:ascii="Calibri" w:hAnsi="Calibri"/>
          <w:sz w:val="21"/>
        </w:rPr>
        <w:t>Il est également conseillé d’adopter une approche proactive en matière de sécurité, en intégrant régulièrement des retours d’expérience (REX) et en améliorant les installations selon les besoins identifiés.</w:t>
      </w:r>
    </w:p>
    <w:p>
      <w:r>
        <w:rPr>
          <w:rFonts w:ascii="Calibri" w:hAnsi="Calibri"/>
          <w:sz w:val="21"/>
        </w:rPr>
        <w:t>Confidentiel</w:t>
        <w:tab/>
        <w:t>Page 1</w:t>
        <w:tab/>
        <w:t>10/08/2024</w:t>
      </w:r>
    </w:p>
    <w:sectPr w:rsidR="00FC693F" w:rsidRPr="0006063C" w:rsidSect="00034616">
      <w:headerReference w:type="default" r:id="rId9"/>
      <w:footerReference w:type="default" r:id="rId10"/>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6"/>
      </w:rPr>
      <w:t xml:space="preserve">Azur Park · HSE 2026 · 29/04/2026    |    Page </w:t>
    </w:r>
    <w:r>
      <w:rPr>
        <w:rFonts w:ascii="Calibri" w:hAnsi="Calibri"/>
        <w:color w:val="6B74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7200"/>
    </w:tblGrid>
    <w:tr>
      <w:tc>
        <w:tcPr>
          <w:tcW w:type="dxa" w:w="4680"/>
        </w:tcPr>
        <w:p>
          <w:r>
            <w:drawing>
              <wp:inline xmlns:a="http://schemas.openxmlformats.org/drawingml/2006/main" xmlns:pic="http://schemas.openxmlformats.org/drawingml/2006/picture">
                <wp:extent cx="822960" cy="576072"/>
                <wp:docPr id="1" name="Picture 1"/>
                <wp:cNvGraphicFramePr>
                  <a:graphicFrameLocks noChangeAspect="1"/>
                </wp:cNvGraphicFramePr>
                <a:graphic>
                  <a:graphicData uri="http://schemas.openxmlformats.org/drawingml/2006/picture">
                    <pic:pic>
                      <pic:nvPicPr>
                        <pic:cNvPr id="0" name="logo_azur.png"/>
                        <pic:cNvPicPr/>
                      </pic:nvPicPr>
                      <pic:blipFill>
                        <a:blip r:embed="rId1"/>
                        <a:stretch>
                          <a:fillRect/>
                        </a:stretch>
                      </pic:blipFill>
                      <pic:spPr>
                        <a:xfrm>
                          <a:off x="0" y="0"/>
                          <a:ext cx="822960" cy="576072"/>
                        </a:xfrm>
                        <a:prstGeom prst="rect"/>
                      </pic:spPr>
                    </pic:pic>
                  </a:graphicData>
                </a:graphic>
              </wp:inline>
            </w:drawing>
          </w:r>
        </w:p>
      </w:tc>
      <w:tc>
        <w:tcPr>
          <w:tcW w:type="dxa" w:w="4680"/>
        </w:tcPr>
        <w:p>
          <w:pPr>
            <w:jc w:val="right"/>
            <w:pBdr>
              <w:bottom w:val="single" w:sz="6" w:color="D9A41A"/>
            </w:pBdr>
          </w:pPr>
          <w:r>
            <w:rPr>
              <w:rFonts w:ascii="Calibri" w:hAnsi="Calibri"/>
              <w:color w:val="6B7480"/>
              <w:sz w:val="18"/>
            </w:rPr>
            <w:t>Compte-rendu mise à jour DU · 10/08/2024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B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B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A4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