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6B7480"/>
          <w:sz w:val="26"/>
        </w:rPr>
        <w:t>AZUR PARK</w:t>
      </w:r>
    </w:p>
    <w:p>
      <w:pPr>
        <w:jc w:val="center"/>
      </w:pPr>
      <w:r>
        <w:rPr>
          <w:b/>
          <w:color w:val="0A3B7A"/>
          <w:sz w:val="52"/>
        </w:rPr>
        <w:t>Compte-rendu — Visite initiale Azur Park</w:t>
      </w:r>
    </w:p>
    <w:p>
      <w:pPr>
        <w:jc w:val="center"/>
      </w:pPr>
      <w:r>
        <w:rPr>
          <w:color w:val="D9A41A"/>
          <w:sz w:val="28"/>
        </w:rPr>
        <w:t>06/05/2013</w:t>
      </w:r>
    </w:p>
    <w:p>
      <w:r>
        <w:br w:type="page"/>
      </w:r>
    </w:p>
    <w:p>
      <w:r>
        <w:rPr>
          <w:color w:val="6B7480"/>
          <w:sz w:val="18"/>
        </w:rPr>
        <w:t xml:space="preserve">    |    </w:t>
      </w:r>
      <w:r>
        <w:rPr>
          <w:rFonts w:ascii="Calibri" w:hAnsi="Calibri"/>
          <w:sz w:val="20"/>
        </w:rPr>
        <w:t>COMPTE-RENDU  Visite du 6 mai 2013</w:t>
      </w:r>
    </w:p>
    <w:p/>
    <w:p>
      <w:r>
        <w:rPr>
          <w:rFonts w:ascii="Calibri" w:hAnsi="Calibri"/>
          <w:b/>
          <w:color w:val="0A3B7A"/>
          <w:sz w:val="20"/>
        </w:rPr>
        <w:t>Auteur</w:t>
      </w:r>
      <w:r>
        <w:rPr>
          <w:color w:val="6B7480"/>
          <w:sz w:val="18"/>
        </w:rPr>
        <w:t xml:space="preserve">    |    </w:t>
      </w:r>
      <w:r>
        <w:rPr>
          <w:rFonts w:ascii="Calibri" w:hAnsi="Calibri"/>
          <w:sz w:val="20"/>
        </w:rPr>
        <w:t>RiskAttitude représentée par David MUSEUR</w:t>
      </w:r>
    </w:p>
    <w:p>
      <w:r>
        <w:rPr>
          <w:rFonts w:ascii="Calibri" w:hAnsi="Calibri"/>
          <w:sz w:val="21"/>
        </w:rPr>
        <w:t>Azur Park 4170, RD98, 83580 Gassin</w:t>
      </w:r>
    </w:p>
    <w:p>
      <w:r>
        <w:rPr>
          <w:rFonts w:ascii="Calibri" w:hAnsi="Calibri"/>
          <w:sz w:val="21"/>
        </w:rPr>
        <w:t>Participants</w:t>
      </w:r>
    </w:p>
    <w:p>
      <w:r>
        <w:rPr>
          <w:rFonts w:ascii="Calibri" w:hAnsi="Calibri"/>
          <w:b/>
          <w:color w:val="0A3B7A"/>
          <w:sz w:val="20"/>
        </w:rPr>
        <w:t>Participants</w:t>
      </w:r>
      <w:r>
        <w:rPr>
          <w:color w:val="6B7480"/>
          <w:sz w:val="18"/>
        </w:rPr>
        <w:t xml:space="preserve">    |    </w:t>
      </w:r>
      <w:r>
        <w:rPr>
          <w:rFonts w:ascii="Calibri" w:hAnsi="Calibri"/>
          <w:sz w:val="20"/>
        </w:rPr>
        <w:t>Société – Fonction</w:t>
      </w:r>
      <w:r>
        <w:rPr>
          <w:color w:val="6B7480"/>
          <w:sz w:val="18"/>
        </w:rPr>
        <w:t xml:space="preserve">    |    </w:t>
      </w:r>
      <w:r>
        <w:rPr>
          <w:rFonts w:ascii="Calibri" w:hAnsi="Calibri"/>
          <w:sz w:val="20"/>
        </w:rPr>
        <w:t>Présents</w:t>
      </w:r>
      <w:r>
        <w:rPr>
          <w:color w:val="6B7480"/>
          <w:sz w:val="18"/>
        </w:rPr>
        <w:t xml:space="preserve">    |    </w:t>
      </w:r>
      <w:r>
        <w:rPr>
          <w:rFonts w:ascii="Calibri" w:hAnsi="Calibri"/>
          <w:sz w:val="20"/>
        </w:rPr>
        <w:t>Absents</w:t>
      </w:r>
    </w:p>
    <w:p>
      <w:r>
        <w:rPr>
          <w:rFonts w:ascii="Calibri" w:hAnsi="Calibri"/>
          <w:b/>
          <w:color w:val="0A3B7A"/>
          <w:sz w:val="20"/>
        </w:rPr>
        <w:t>M. Serge PAILLON</w:t>
      </w:r>
      <w:r>
        <w:rPr>
          <w:color w:val="6B7480"/>
          <w:sz w:val="18"/>
        </w:rPr>
        <w:t xml:space="preserve">    |    </w:t>
      </w:r>
      <w:r>
        <w:rPr>
          <w:rFonts w:ascii="Calibri" w:hAnsi="Calibri"/>
          <w:sz w:val="20"/>
        </w:rPr>
        <w:t>La fête du Golfe Attractions PAILLON &amp; Fils (APF) P.C.B Azur Park Gérant</w:t>
      </w:r>
      <w:r>
        <w:rPr>
          <w:color w:val="6B7480"/>
          <w:sz w:val="18"/>
        </w:rPr>
        <w:t xml:space="preserve">    |    </w:t>
      </w:r>
      <w:r>
        <w:rPr>
          <w:rFonts w:ascii="Calibri" w:hAnsi="Calibri"/>
          <w:sz w:val="20"/>
        </w:rPr>
        <w:t>X</w:t>
      </w:r>
    </w:p>
    <w:p>
      <w:r>
        <w:rPr>
          <w:rFonts w:ascii="Calibri" w:hAnsi="Calibri"/>
          <w:b/>
          <w:color w:val="0A3B7A"/>
          <w:sz w:val="20"/>
        </w:rPr>
        <w:t>Mme Brigitte</w:t>
      </w:r>
      <w:r>
        <w:rPr>
          <w:color w:val="6B7480"/>
          <w:sz w:val="18"/>
        </w:rPr>
        <w:t xml:space="preserve">    |    </w:t>
      </w:r>
      <w:r>
        <w:rPr>
          <w:rFonts w:ascii="Calibri" w:hAnsi="Calibri"/>
          <w:sz w:val="20"/>
        </w:rPr>
        <w:t>Secrétaire générale des 3 entités</w:t>
      </w:r>
      <w:r>
        <w:rPr>
          <w:color w:val="6B7480"/>
          <w:sz w:val="18"/>
        </w:rPr>
        <w:t xml:space="preserve">    |    </w:t>
      </w:r>
      <w:r>
        <w:rPr>
          <w:rFonts w:ascii="Calibri" w:hAnsi="Calibri"/>
          <w:sz w:val="20"/>
        </w:rPr>
        <w:t>X</w:t>
      </w:r>
    </w:p>
    <w:p>
      <w:r>
        <w:rPr>
          <w:rFonts w:ascii="Calibri" w:hAnsi="Calibri"/>
          <w:b/>
          <w:color w:val="0A3B7A"/>
          <w:sz w:val="20"/>
        </w:rPr>
        <w:t>M. Géry COGEN</w:t>
      </w:r>
      <w:r>
        <w:rPr>
          <w:color w:val="6B7480"/>
          <w:sz w:val="18"/>
        </w:rPr>
        <w:t xml:space="preserve">    |    </w:t>
      </w:r>
      <w:r>
        <w:rPr>
          <w:rFonts w:ascii="Calibri" w:hAnsi="Calibri"/>
          <w:sz w:val="20"/>
        </w:rPr>
        <w:t>Opérateur de manèges et technicien des 3 entités</w:t>
      </w:r>
      <w:r>
        <w:rPr>
          <w:color w:val="6B7480"/>
          <w:sz w:val="18"/>
        </w:rPr>
        <w:t xml:space="preserve">    |    </w:t>
      </w:r>
      <w:r>
        <w:rPr>
          <w:rFonts w:ascii="Calibri" w:hAnsi="Calibri"/>
          <w:sz w:val="20"/>
        </w:rPr>
        <w:t>X</w:t>
      </w:r>
    </w:p>
    <w:p>
      <w:r>
        <w:rPr>
          <w:rFonts w:ascii="Calibri" w:hAnsi="Calibri"/>
          <w:b/>
          <w:color w:val="0A3B7A"/>
          <w:sz w:val="20"/>
        </w:rPr>
        <w:t>M. David MUSEUR</w:t>
      </w:r>
      <w:r>
        <w:rPr>
          <w:color w:val="6B7480"/>
          <w:sz w:val="18"/>
        </w:rPr>
        <w:t xml:space="preserve">    |    </w:t>
      </w:r>
      <w:r>
        <w:rPr>
          <w:rFonts w:ascii="Calibri" w:hAnsi="Calibri"/>
          <w:sz w:val="20"/>
        </w:rPr>
        <w:t>RiskAttitude – Gérant</w:t>
      </w:r>
      <w:r>
        <w:rPr>
          <w:color w:val="6B7480"/>
          <w:sz w:val="18"/>
        </w:rPr>
        <w:t xml:space="preserve">    |    </w:t>
      </w:r>
      <w:r>
        <w:rPr>
          <w:rFonts w:ascii="Calibri" w:hAnsi="Calibri"/>
          <w:sz w:val="20"/>
        </w:rPr>
        <w:t>X</w:t>
      </w:r>
    </w:p>
    <w:p>
      <w:r>
        <w:rPr>
          <w:rFonts w:ascii="Calibri" w:hAnsi="Calibri"/>
          <w:b/>
          <w:color w:val="0A3B7A"/>
          <w:sz w:val="20"/>
        </w:rPr>
        <w:t>Mlle Hélène LAFFINEUR</w:t>
      </w:r>
      <w:r>
        <w:rPr>
          <w:color w:val="6B7480"/>
          <w:sz w:val="18"/>
        </w:rPr>
        <w:t xml:space="preserve">    |    </w:t>
      </w:r>
      <w:r>
        <w:rPr>
          <w:rFonts w:ascii="Calibri" w:hAnsi="Calibri"/>
          <w:sz w:val="20"/>
        </w:rPr>
        <w:t>RiskAttitude – Risk Manager Junior</w:t>
      </w:r>
      <w:r>
        <w:rPr>
          <w:color w:val="6B7480"/>
          <w:sz w:val="18"/>
        </w:rPr>
        <w:t xml:space="preserve">    |    </w:t>
      </w:r>
      <w:r>
        <w:rPr>
          <w:rFonts w:ascii="Calibri" w:hAnsi="Calibri"/>
          <w:sz w:val="20"/>
        </w:rPr>
        <w:t>X</w:t>
      </w:r>
    </w:p>
    <w:p>
      <w:r>
        <w:rPr>
          <w:rFonts w:ascii="Calibri" w:hAnsi="Calibri"/>
          <w:sz w:val="21"/>
        </w:rPr>
        <w:t>SOMMAIRE</w:t>
      </w:r>
    </w:p>
    <w:p>
      <w:r>
        <w:rPr>
          <w:rFonts w:ascii="Calibri" w:hAnsi="Calibri"/>
          <w:sz w:val="21"/>
        </w:rPr>
        <w:t>Participants</w:t>
        <w:tab/>
        <w:t>1</w:t>
      </w:r>
    </w:p>
    <w:p>
      <w:r>
        <w:rPr>
          <w:rFonts w:ascii="Calibri" w:hAnsi="Calibri"/>
          <w:sz w:val="21"/>
        </w:rPr>
        <w:t>Résumé</w:t>
        <w:tab/>
        <w:t>3</w:t>
      </w:r>
    </w:p>
    <w:p>
      <w:r>
        <w:rPr>
          <w:rFonts w:ascii="Calibri" w:hAnsi="Calibri"/>
          <w:sz w:val="21"/>
        </w:rPr>
        <w:t>Projets futurs</w:t>
        <w:tab/>
        <w:t>4</w:t>
      </w:r>
    </w:p>
    <w:p>
      <w:r>
        <w:rPr>
          <w:rFonts w:ascii="Calibri" w:hAnsi="Calibri"/>
          <w:sz w:val="21"/>
        </w:rPr>
        <w:t>Horaires d’ouverture</w:t>
        <w:tab/>
        <w:t>4</w:t>
      </w:r>
    </w:p>
    <w:p>
      <w:r>
        <w:rPr>
          <w:rFonts w:ascii="Calibri" w:hAnsi="Calibri"/>
          <w:sz w:val="21"/>
        </w:rPr>
        <w:t>Compte-Rendu de visite</w:t>
        <w:tab/>
        <w:t>5</w:t>
      </w:r>
    </w:p>
    <w:p>
      <w:r>
        <w:rPr>
          <w:rFonts w:ascii="Calibri" w:hAnsi="Calibri"/>
          <w:sz w:val="21"/>
        </w:rPr>
        <w:t>Informations complémentaires</w:t>
        <w:tab/>
        <w:t>8</w:t>
      </w:r>
    </w:p>
    <w:p>
      <w:r>
        <w:rPr>
          <w:rFonts w:ascii="Calibri" w:hAnsi="Calibri"/>
          <w:sz w:val="21"/>
        </w:rPr>
        <w:t>Annexe 1 : Plan de Azur Park de Gassin</w:t>
        <w:tab/>
        <w:t>9</w:t>
      </w:r>
    </w:p>
    <w:p>
      <w:r>
        <w:rPr>
          <w:rFonts w:ascii="Calibri" w:hAnsi="Calibri"/>
          <w:sz w:val="21"/>
        </w:rPr>
        <w:t>Annexe 2 : Préconisation sur les défibrilateurs</w:t>
        <w:tab/>
        <w:t>10</w:t>
      </w:r>
    </w:p>
    <w:p>
      <w:r>
        <w:rPr>
          <w:rFonts w:ascii="Calibri" w:hAnsi="Calibri"/>
          <w:sz w:val="21"/>
        </w:rPr>
        <w:t>Résumé</w:t>
      </w:r>
    </w:p>
    <w:p>
      <w:r>
        <w:rPr>
          <w:rFonts w:ascii="Calibri" w:hAnsi="Calibri"/>
          <w:sz w:val="21"/>
        </w:rPr>
        <w:t>M. PAILLON souhaite obtenir une assistance à la rédaction de son Document Unique (DUE) pour l’ensemble des salariés (CDI, CDD, intérimaires et saisonniers) pour ses 3 structures.</w:t>
      </w:r>
    </w:p>
    <w:p>
      <w:r>
        <w:rPr>
          <w:rFonts w:ascii="Calibri" w:hAnsi="Calibri"/>
          <w:sz w:val="21"/>
        </w:rPr>
        <w:t>Chacune de ces structures a des activités distinctes :</w:t>
      </w:r>
    </w:p>
    <w:p>
      <w:r>
        <w:rPr>
          <w:b/>
          <w:color w:val="D9A41A"/>
        </w:rPr>
        <w:t xml:space="preserve">•  </w:t>
      </w:r>
      <w:r>
        <w:rPr>
          <w:sz w:val="21"/>
        </w:rPr>
        <w:t>SARL Fête du Golfe</w:t>
      </w:r>
    </w:p>
    <w:p>
      <w:r>
        <w:rPr>
          <w:rFonts w:ascii="Calibri" w:hAnsi="Calibri"/>
          <w:sz w:val="21"/>
        </w:rPr>
        <w:t>Parc d’attractions permanent, ouvert de avril à septembre, dont le siège social est situé au Parc du Golfe, à Gassin.</w:t>
      </w:r>
    </w:p>
    <w:p>
      <w:r>
        <w:rPr>
          <w:rFonts w:ascii="Calibri" w:hAnsi="Calibri"/>
          <w:sz w:val="21"/>
        </w:rPr>
        <w:t>M. PAILLON s’occupe de l’entretien des manèges, pour lesquels il est propriétaire.</w:t>
      </w:r>
    </w:p>
    <w:p>
      <w:r>
        <w:rPr>
          <w:rFonts w:ascii="Calibri" w:hAnsi="Calibri"/>
          <w:sz w:val="21"/>
        </w:rPr>
        <w:t>Le terrain sur lequel sont entreposés ses manèges sert également de minigolf. Une partie du terrain peut être allouée à la disposition de manèges possédés par d’autres propriétaires.</w:t>
      </w:r>
    </w:p>
    <w:p>
      <w:r>
        <w:rPr>
          <w:b/>
          <w:color w:val="D9A41A"/>
        </w:rPr>
        <w:t xml:space="preserve">•  </w:t>
      </w:r>
      <w:r>
        <w:rPr>
          <w:sz w:val="21"/>
        </w:rPr>
        <w:t>SARL APF « Le Carrousel »</w:t>
      </w:r>
    </w:p>
    <w:p>
      <w:r>
        <w:rPr>
          <w:rFonts w:ascii="Calibri" w:hAnsi="Calibri"/>
          <w:sz w:val="21"/>
        </w:rPr>
        <w:t>Gestion d’un trampoline situé au Jardin Albert 1er à Nice et organisation de toute l’activité Luna Park à Nice.</w:t>
      </w:r>
    </w:p>
    <w:p>
      <w:r>
        <w:rPr>
          <w:rFonts w:ascii="Calibri" w:hAnsi="Calibri"/>
          <w:sz w:val="21"/>
        </w:rPr>
        <w:t>En effet, M. PAILLON est considéré comme organisateur de cet événement ponctuel. Il gère et met à disposition ses propres manèges mais aussi les manèges de tiers. Cette activité est soumise à commission de sécurité.</w:t>
      </w:r>
    </w:p>
    <w:p>
      <w:r>
        <w:rPr>
          <w:rFonts w:ascii="Calibri" w:hAnsi="Calibri"/>
          <w:sz w:val="21"/>
        </w:rPr>
        <w:t>Selon lui, Il n’aurait pas la responsabilité du personnel de chaque exposant puisqu’ils doivent eux-mêmes avoir réalisé leur propre DUE.</w:t>
      </w:r>
    </w:p>
    <w:p>
      <w:r>
        <w:rPr>
          <w:b/>
          <w:color w:val="D9A41A"/>
        </w:rPr>
        <w:t xml:space="preserve">•  </w:t>
      </w:r>
      <w:r>
        <w:rPr>
          <w:sz w:val="21"/>
        </w:rPr>
        <w:t>SARL P.C.B</w:t>
      </w:r>
    </w:p>
    <w:p>
      <w:r>
        <w:rPr>
          <w:rFonts w:ascii="Calibri" w:hAnsi="Calibri"/>
          <w:sz w:val="21"/>
        </w:rPr>
        <w:t>Gère un bail commercial en tant qu’organisateur de l’Azur Park de Gassin.</w:t>
      </w:r>
    </w:p>
    <w:p>
      <w:r>
        <w:rPr>
          <w:rFonts w:ascii="Calibri" w:hAnsi="Calibri"/>
          <w:sz w:val="21"/>
        </w:rPr>
        <w:t>Partie principalement administrative, logistique et communication du parc.</w:t>
      </w:r>
    </w:p>
    <w:p>
      <w:r>
        <w:rPr>
          <w:rFonts w:ascii="Calibri" w:hAnsi="Calibri"/>
          <w:sz w:val="21"/>
        </w:rPr>
        <w:t>Projets futurs</w:t>
      </w:r>
    </w:p>
    <w:p>
      <w:r>
        <w:rPr>
          <w:rFonts w:ascii="Calibri" w:hAnsi="Calibri"/>
          <w:sz w:val="21"/>
        </w:rPr>
        <w:t>Les 3 propriétés appartiennent à Serge PAILLON dans le cadre d’une SCI.</w:t>
      </w:r>
    </w:p>
    <w:p>
      <w:r>
        <w:rPr>
          <w:rFonts w:ascii="Calibri" w:hAnsi="Calibri"/>
          <w:sz w:val="21"/>
        </w:rPr>
        <w:t>Actuellement, les 3 entités sont sous forme SARL. M. PAILLON, par le biais de son Expert-Comptable, est en train de réunir petit à petit ces 3 entités sous un même holding de forme SAS, appelé « SNP ».</w:t>
      </w:r>
    </w:p>
    <w:p>
      <w:r>
        <w:rPr>
          <w:rFonts w:ascii="Calibri" w:hAnsi="Calibri"/>
          <w:sz w:val="21"/>
        </w:rPr>
        <w:t>Le document unique que nous allons réaliser portera le nom de « SNP », puisqu’il sera valable pour l’ensemble des entités.</w:t>
      </w:r>
    </w:p>
    <w:p>
      <w:r>
        <w:rPr>
          <w:rFonts w:ascii="Calibri" w:hAnsi="Calibri"/>
          <w:sz w:val="21"/>
        </w:rPr>
        <w:t>M. PAILLON a demandé qu’en parallèle au DUE soit réalisé une étude sur un plan de gestion de crise pour l’ensemble des entités. Ce plan devra être composé de :</w:t>
      </w:r>
    </w:p>
    <w:p>
      <w:r>
        <w:rPr>
          <w:b/>
          <w:color w:val="D9A41A"/>
        </w:rPr>
        <w:t xml:space="preserve">•  </w:t>
      </w:r>
      <w:r>
        <w:rPr>
          <w:sz w:val="21"/>
        </w:rPr>
        <w:t>un plan d’urgence,</w:t>
      </w:r>
    </w:p>
    <w:p>
      <w:r>
        <w:rPr>
          <w:b/>
          <w:color w:val="D9A41A"/>
        </w:rPr>
        <w:t xml:space="preserve">•  </w:t>
      </w:r>
      <w:r>
        <w:rPr>
          <w:sz w:val="21"/>
        </w:rPr>
        <w:t>un plan de communication de crise, tant en interne, pour le personnel et pour le public lors d’un événement accidentel, qu’en externe pour les médias (Etat, policiers, gendarmerie, pompiers),</w:t>
      </w:r>
    </w:p>
    <w:p>
      <w:r>
        <w:rPr>
          <w:b/>
          <w:color w:val="D9A41A"/>
        </w:rPr>
        <w:t xml:space="preserve">•  </w:t>
      </w:r>
      <w:r>
        <w:rPr>
          <w:sz w:val="21"/>
        </w:rPr>
        <w:t>un plan de continuité ou de reprise d’activité,</w:t>
      </w:r>
    </w:p>
    <w:p>
      <w:r>
        <w:rPr>
          <w:b/>
          <w:color w:val="D9A41A"/>
        </w:rPr>
        <w:t xml:space="preserve">•  </w:t>
      </w:r>
      <w:r>
        <w:rPr>
          <w:sz w:val="21"/>
        </w:rPr>
        <w:t>un plan de redémarrage définitif pour l’ensemble de l’activité.</w:t>
      </w:r>
    </w:p>
    <w:p>
      <w:r>
        <w:rPr>
          <w:rFonts w:ascii="Calibri" w:hAnsi="Calibri"/>
          <w:sz w:val="21"/>
        </w:rPr>
        <w:t>Ce plan de gestion de crise devra être mis en place à la suite de tout type d’événement, et plus spécifiquement un événement panne, accident ou bris lors de l’activité d’un manège pouvant avoir des conséquences relativement importantes.</w:t>
      </w:r>
    </w:p>
    <w:p>
      <w:r>
        <w:rPr>
          <w:rFonts w:ascii="Calibri" w:hAnsi="Calibri"/>
          <w:sz w:val="21"/>
        </w:rPr>
        <w:t>Horaires d’ouverture</w:t>
      </w:r>
    </w:p>
    <w:p>
      <w:r>
        <w:rPr>
          <w:rFonts w:ascii="Calibri" w:hAnsi="Calibri"/>
          <w:sz w:val="21"/>
        </w:rPr>
        <w:t>Les manèges sont ouverts de 20h à 1h du matin en saison, voire jusque 2h du matin lors de la fermeture totale du parc. L’ouverture du public ne se fait qu’à partir de 18h en période estivale.</w:t>
      </w:r>
    </w:p>
    <w:p>
      <w:r>
        <w:rPr>
          <w:rFonts w:ascii="Calibri" w:hAnsi="Calibri"/>
          <w:sz w:val="21"/>
        </w:rPr>
        <w:t>Les salariés travaillent 1 matinée sur 2 en saison sur site, et principalement le matin pour l’installation des manèges pendant juillet et aout. Leurs horaires de travail sont adaptés en fonction des fortes chaleurs.</w:t>
      </w:r>
    </w:p>
    <w:p>
      <w:r>
        <w:rPr>
          <w:rFonts w:ascii="Calibri" w:hAnsi="Calibri"/>
          <w:sz w:val="21"/>
        </w:rPr>
        <w:t>L’ensemble des salariés est logé sur place, notamment les CDD et les intérimaires qui ont leurs propres caravanes autour du parc.</w:t>
      </w:r>
    </w:p>
    <w:p>
      <w:r>
        <w:rPr>
          <w:rFonts w:ascii="Calibri" w:hAnsi="Calibri"/>
          <w:sz w:val="21"/>
        </w:rPr>
        <w:t>La surveillance du site est donc très importante. Une intervention de premier secours en cas de blessure est aisément faisable : chaque salarié possède une trousse de secours dans sa caravane.</w:t>
      </w:r>
    </w:p>
    <w:p>
      <w:r>
        <w:rPr>
          <w:rFonts w:ascii="Calibri" w:hAnsi="Calibri"/>
          <w:sz w:val="21"/>
        </w:rPr>
        <w:t>Compte-Rendu de visite</w:t>
      </w:r>
    </w:p>
    <w:p>
      <w:r>
        <w:rPr>
          <w:rFonts w:ascii="Calibri" w:hAnsi="Calibri"/>
          <w:sz w:val="21"/>
        </w:rPr>
        <w:t>Selon M. PAILLON, les risques majeurs sont le port de charges lourdes, les risques de chute dus aux travaux en hauteur, et l’écrasement.</w:t>
      </w:r>
    </w:p>
    <w:p>
      <w:r>
        <w:rPr>
          <w:rFonts w:ascii="Calibri" w:hAnsi="Calibri"/>
          <w:sz w:val="21"/>
        </w:rPr>
        <w:t>Nous avons fait une partie de la visite avec le responsable nettoyage, dans le local d’entretien et l’atelier. Nous avons pu constater la présence de produits inflammables directement apposés au sol. Même si ceux-ci devraient être supprimés dans les prochains jours, nous préconisons vivement de stocker ces différents produits dans une armoire fermée coupe-feu, en faisant attention aux incompatibilités produit.</w:t>
      </w:r>
    </w:p>
    <w:p>
      <w:r>
        <w:rPr>
          <w:rFonts w:ascii="Calibri" w:hAnsi="Calibri"/>
          <w:sz w:val="21"/>
        </w:rPr>
        <w:t>Faire attention à bien les éloigner de toute source de chaleur, notamment lors de travaux par points chauds (meulage, soudage).</w:t>
      </w:r>
    </w:p>
    <w:p>
      <w:r>
        <w:rPr>
          <w:rFonts w:ascii="Calibri" w:hAnsi="Calibri"/>
          <w:sz w:val="21"/>
        </w:rPr>
        <w:t>L’ensemble du personnel rencontré était bien doté de chaussures de sécurité et ont parfaitement conscience des prises de risques, surtout lors des travaux en hauteur. Néanmoins, M. PAILLON reconnaît rencontrer des difficultés à pouvoir mettre en place les mesures de préconisation à la sécurité.</w:t>
      </w:r>
    </w:p>
    <w:p>
      <w:r>
        <w:rPr>
          <w:rFonts w:ascii="Calibri" w:hAnsi="Calibri"/>
          <w:sz w:val="21"/>
        </w:rPr>
        <w:t>Il met à disposition de ses salariés de nombreux EPI (harnais, chaussures de sécurité, lunettes, gants) dans une armoire accessible à tous. Il avait, lors de la crise pandémique, acheté plus de 5 000 masques. Ceux-ci sont parfaitement utilisables aujourd’hui dans le cadre de l’activité, notamment lors de dépoussiérage au niveau de la nuisance physique des collaborateurs.</w:t>
      </w:r>
    </w:p>
    <w:p>
      <w:r>
        <w:rPr>
          <w:rFonts w:ascii="Calibri" w:hAnsi="Calibri"/>
          <w:sz w:val="21"/>
        </w:rPr>
        <w:t>M. PAILLON possède deux grues utilisées pour le port de charges très lourdes (manutention/chargement). Deux personnes peuvent être amenées à conduire ces grues, mais elles ne bénéficient pas à ce jour d’autorisation de conduite. Nous avons préconisé la formation de ces personnes à l’autorisation de conduite.</w:t>
      </w:r>
    </w:p>
    <w:p>
      <w:r>
        <w:rPr>
          <w:rFonts w:ascii="Calibri" w:hAnsi="Calibri"/>
          <w:sz w:val="21"/>
        </w:rPr>
        <w:t>L’entreprise possède également un certain nombre de parcs roulants : un camion publicitaire (moins de 3,5t), 2 voitures de livraison, 4 camions tracteurs et 25 remorques sur lesquels sont placés les manèges lors de transferts de parc à parc organisés durant la nuit. Le travail sur le risque routier est donc à prendre en compte.</w:t>
      </w:r>
    </w:p>
    <w:p>
      <w:r>
        <w:rPr>
          <w:rFonts w:ascii="Calibri" w:hAnsi="Calibri"/>
          <w:sz w:val="21"/>
        </w:rPr>
        <w:t>Ces engins font l’office d’une police d’assurances. Toutefois, le contrôle technique n’a pas été effectué, notamment sur un tractopelle. Nous avons conseillé M. PAILLON d’effectuer ce contrôle technique, car sans celui-ci les garanties d’assurances ne seront pas acquises. Un point sera fait par M. PAILLON directement avec son assureur.</w:t>
      </w:r>
    </w:p>
    <w:p>
      <w:r>
        <w:rPr>
          <w:rFonts w:ascii="Calibri" w:hAnsi="Calibri"/>
          <w:sz w:val="21"/>
        </w:rPr>
        <w:t>Les machines bénéficient de caches moteur non accessibles au public et difficilement accessibles aux salariés, afin d’éviter les risques de blessure physique.</w:t>
      </w:r>
    </w:p>
    <w:p>
      <w:r>
        <w:rPr>
          <w:rFonts w:ascii="Calibri" w:hAnsi="Calibri"/>
          <w:sz w:val="21"/>
        </w:rPr>
        <w:t>M. PAILLON a souhaité nous préciser un élément très important dans la gestion des risques sécurité au travail : l’établissement est un ERP (Etablissement Recevant du Public) pouvant aller jusqu’à 5 000 personnes maximum sur le parc en saison haute. De ce fait, l’ensemble des mesures de sécurité et consignes d’affichage de sécurité pour le public sont tout à fait applicables et appréciables dans la gestion du risque Santé Sécurité au Travail pour le personnel.</w:t>
      </w:r>
    </w:p>
    <w:p>
      <w:r>
        <w:rPr>
          <w:rFonts w:ascii="Calibri" w:hAnsi="Calibri"/>
          <w:sz w:val="21"/>
        </w:rPr>
        <w:t>Les consignes sont bien visibles sur les manèges.</w:t>
      </w:r>
    </w:p>
    <w:p>
      <w:r>
        <w:rPr>
          <w:rFonts w:ascii="Calibri" w:hAnsi="Calibri"/>
          <w:sz w:val="21"/>
        </w:rPr>
        <w:t>Les salariés n’ont pas bénéficié de formation geste et posture, et nous n’avons pas constaté la présence de sauveteurs secouristes au travail (SST).</w:t>
      </w:r>
    </w:p>
    <w:p>
      <w:r>
        <w:rPr>
          <w:rFonts w:ascii="Calibri" w:hAnsi="Calibri"/>
          <w:sz w:val="21"/>
        </w:rPr>
        <w:t>Les extincteurs sont vérifiés annuellement, et les installations manèges sont vérifiées par un organisme technique avec une périodicité de 1 an ou 3 ans selon les manèges (3 ans pour les manèges considérés comme neufs).</w:t>
      </w:r>
    </w:p>
    <w:p>
      <w:r>
        <w:rPr>
          <w:rFonts w:ascii="Calibri" w:hAnsi="Calibri"/>
          <w:sz w:val="21"/>
        </w:rPr>
        <w:t>La vérification électrique a été effectuée avec levée de réserves immédiate par un organisme de contrôle. Nous n’avons repéré aucun voltage élevé sur le site : chaque manège est équipé de petits transformateurs en basse tension.</w:t>
      </w:r>
    </w:p>
    <w:p>
      <w:r>
        <w:rPr>
          <w:rFonts w:ascii="Calibri" w:hAnsi="Calibri"/>
          <w:sz w:val="21"/>
        </w:rPr>
        <w:t>Nous avons noté la présence d’extincteurs adaptés au feu et parfaitement accessibles auprès de chaque manège.</w:t>
      </w:r>
    </w:p>
    <w:p>
      <w:r>
        <w:rPr>
          <w:rFonts w:ascii="Calibri" w:hAnsi="Calibri"/>
          <w:sz w:val="21"/>
        </w:rPr>
        <w:t>M. PAILLON nous a précisé qu’il souhaitait mettre en place de nombreuses recommandations issues du DUE. Les plus urgentes constatées sont la mise en place d’une trousse de secours avec une fiche de contenu à tenir à jour, la formation pour les autorisations de conduite, la mise en place d’un permis pour le travail en hauteur de l’un des collaborateurs. Ce dernier ne souhaite pas s’attacher car il ne ressent pas la peur du vide, ce qui gène sérieusement M. PAILLON.</w:t>
      </w:r>
    </w:p>
    <w:p>
      <w:r>
        <w:rPr>
          <w:rFonts w:ascii="Calibri" w:hAnsi="Calibri"/>
          <w:sz w:val="21"/>
        </w:rPr>
        <w:t>La grande roue nécessitera une maintenance régulière et un permis pour les travaux en hauteur. Nous constatons déjà la présence d’une ligne de vie sécurité.</w:t>
      </w:r>
    </w:p>
    <w:p>
      <w:r>
        <w:rPr>
          <w:rFonts w:ascii="Calibri" w:hAnsi="Calibri"/>
          <w:sz w:val="21"/>
        </w:rPr>
        <w:t>Informations complémentaires</w:t>
      </w:r>
    </w:p>
    <w:p>
      <w:r>
        <w:rPr>
          <w:rFonts w:ascii="Calibri" w:hAnsi="Calibri"/>
          <w:sz w:val="21"/>
        </w:rPr>
        <w:t>A l’issue de la visite, nous avons rencontré Mme Brigitte, la secrétaire de direction de l’ensemble des 3 entités, qui sera l’interlocutrice principale de RiskAttitude au niveau du DUE.</w:t>
      </w:r>
    </w:p>
    <w:p>
      <w:r>
        <w:rPr>
          <w:rFonts w:ascii="Calibri" w:hAnsi="Calibri"/>
          <w:sz w:val="21"/>
        </w:rPr>
        <w:t>Mme Brigitte nous a fourni la liste de l’ensemble des salariés (CDI, CDD, intérimaires et saisonniers).</w:t>
      </w:r>
    </w:p>
    <w:p>
      <w:r>
        <w:rPr>
          <w:rFonts w:ascii="Calibri" w:hAnsi="Calibri"/>
          <w:sz w:val="21"/>
        </w:rPr>
        <w:t>Elle nous a également fourni le taux d’accident du travail (AT) appliqué par la CRAM à ce jour : 1,80 % pour les SARL Fête du golfe et PCB, et 7,30% pour la SARL APF. Il n’y a jamais eu de rapprochement vis-à-vis de la CRAM pour demander une modification du taux, car ils n’avaient pas encore fait leur DUE.</w:t>
      </w:r>
    </w:p>
    <w:p>
      <w:r>
        <w:rPr>
          <w:rFonts w:ascii="Calibri" w:hAnsi="Calibri"/>
          <w:sz w:val="21"/>
        </w:rPr>
        <w:t>Nous avons alors préconisé à M. PAILLON de transmettre ce DUE, avec l’appui de son Expert-Comptable, aux autorités françaises en vue de renégocier ce taux accident du travail.</w:t>
      </w:r>
    </w:p>
    <w:p>
      <w:r>
        <w:rPr>
          <w:rFonts w:ascii="Calibri" w:hAnsi="Calibri"/>
          <w:sz w:val="21"/>
        </w:rPr>
        <w:t>De plus, nous lui avons préconisé à la fois d’envoyer le DUE à son assureur en vue de réadapter le contrat d’assurance RC - faute inexcusable, et à la fois au médecin du travail afin de lui permettre de réaliser la fiche identité de l’ensemble des entités.</w:t>
      </w:r>
    </w:p>
    <w:p>
      <w:r>
        <w:rPr>
          <w:rFonts w:ascii="Calibri" w:hAnsi="Calibri"/>
          <w:sz w:val="21"/>
        </w:rPr>
        <w:t>Annexe 1 : Plan de Azur Park de Gassin</w:t>
      </w:r>
    </w:p>
    <w:p>
      <w:r>
        <w:rPr>
          <w:rFonts w:ascii="Calibri" w:hAnsi="Calibri"/>
          <w:sz w:val="21"/>
        </w:rPr>
        <w:t>Annexe 2 : Préconisation sur les défibrilateurs</w:t>
      </w:r>
    </w:p>
    <w:p>
      <w:r>
        <w:rPr>
          <w:rFonts w:ascii="Calibri" w:hAnsi="Calibri"/>
          <w:sz w:val="21"/>
        </w:rPr>
        <w:t>De : david &lt;david.museur@riskattitude.net&gt;</w:t>
      </w:r>
    </w:p>
    <w:p>
      <w:r>
        <w:rPr>
          <w:rFonts w:ascii="Calibri" w:hAnsi="Calibri"/>
          <w:sz w:val="21"/>
        </w:rPr>
        <w:t>Objet : DEFIBRILATEUR OUI OU NON</w:t>
      </w:r>
    </w:p>
    <w:p>
      <w:r>
        <w:rPr>
          <w:rFonts w:ascii="Calibri" w:hAnsi="Calibri"/>
          <w:sz w:val="21"/>
        </w:rPr>
        <w:t>Date : 6 mai 2013 15:00:12 HAEC</w:t>
      </w:r>
    </w:p>
    <w:p>
      <w:r>
        <w:rPr>
          <w:rFonts w:ascii="Calibri" w:hAnsi="Calibri"/>
          <w:sz w:val="21"/>
        </w:rPr>
        <w:t>À : lunapark &lt;lunapark@wanadoo.fr&gt;</w:t>
      </w:r>
    </w:p>
    <w:p>
      <w:r>
        <w:rPr>
          <w:rFonts w:ascii="Calibri" w:hAnsi="Calibri"/>
          <w:sz w:val="21"/>
        </w:rPr>
        <w:t>Cc : Laffineur Hélène &lt;helene.laffineur@riskattitude.net&gt;</w:t>
      </w:r>
    </w:p>
    <w:p>
      <w:r>
        <w:rPr>
          <w:rFonts w:ascii="Calibri" w:hAnsi="Calibri"/>
          <w:sz w:val="21"/>
        </w:rPr>
        <w:t>Chère Madame,</w:t>
      </w:r>
    </w:p>
    <w:p>
      <w:r>
        <w:rPr>
          <w:rFonts w:ascii="Calibri" w:hAnsi="Calibri"/>
          <w:sz w:val="21"/>
        </w:rPr>
        <w:t>Suite votre question ce jour, vous m’avez demandé si les défibrillateurs automatiques étaient obligatoires dans votre établissement.</w:t>
      </w:r>
    </w:p>
    <w:p>
      <w:r>
        <w:rPr>
          <w:rFonts w:ascii="Calibri" w:hAnsi="Calibri"/>
          <w:sz w:val="21"/>
        </w:rPr>
        <w:t>Contrairement à ce qui existe pour d’autres dispositifs de première intervention comme un extincteur ou autres, la réglementation du travail n’impose pas particulièrement le défibrillateur comme moyen de secours.</w:t>
      </w:r>
    </w:p>
    <w:p>
      <w:r>
        <w:rPr>
          <w:rFonts w:ascii="Calibri" w:hAnsi="Calibri"/>
          <w:sz w:val="21"/>
        </w:rPr>
        <w:t>Toutefois, la responsabilité de l’employeur pourrait être engagée en cas d’accident car il doit assurer la santé de ses salariés, en termes de résultat.</w:t>
      </w:r>
    </w:p>
    <w:p>
      <w:r>
        <w:rPr>
          <w:rFonts w:ascii="Calibri" w:hAnsi="Calibri"/>
          <w:sz w:val="21"/>
        </w:rPr>
        <w:t>C’est l’employeur qui, dans le cadre de l’évaluation des risques et de la consultation du médecin du travail et des représentants des salariés, détermine l’opportunité de s’équiper.</w:t>
      </w:r>
    </w:p>
    <w:p>
      <w:r>
        <w:rPr>
          <w:rFonts w:ascii="Calibri" w:hAnsi="Calibri"/>
          <w:sz w:val="21"/>
        </w:rPr>
        <w:t>Les facteurs de risques le plus souvent cités dans la littérature peuvent l’aider dans cette démarche :</w:t>
      </w:r>
    </w:p>
    <w:p>
      <w:r>
        <w:rPr>
          <w:b/>
          <w:color w:val="D9A41A"/>
        </w:rPr>
        <w:t xml:space="preserve">•  </w:t>
      </w:r>
      <w:r>
        <w:rPr>
          <w:sz w:val="21"/>
        </w:rPr>
        <w:t>Lorsqu’il y a de nombreuses personnes réunies sur un même lieu (salariés ou public),</w:t>
      </w:r>
    </w:p>
    <w:p>
      <w:r>
        <w:rPr>
          <w:rFonts w:ascii="Calibri" w:hAnsi="Calibri"/>
          <w:sz w:val="21"/>
        </w:rPr>
        <w:t>2.     Lorsqu’il y a de nombreuses personnes de plus de 50 ans,</w:t>
      </w:r>
    </w:p>
    <w:p>
      <w:r>
        <w:rPr>
          <w:rFonts w:ascii="Calibri" w:hAnsi="Calibri"/>
          <w:sz w:val="21"/>
        </w:rPr>
        <w:t>3.     Lorsque les centres de secours sont éloignés : ce qui n’est pas votre cas d’Après ce que vous m’avez précisé ce jour.</w:t>
      </w:r>
    </w:p>
    <w:p>
      <w:r>
        <w:rPr>
          <w:rFonts w:ascii="Calibri" w:hAnsi="Calibri"/>
          <w:sz w:val="21"/>
        </w:rPr>
        <w:t>4.     Lorsque les personnes sont soumises à des efforts physiques forts (activités sportives, manutention, ambiances thermiques inhabituelles, etc),</w:t>
      </w:r>
    </w:p>
    <w:p>
      <w:r>
        <w:rPr>
          <w:rFonts w:ascii="Calibri" w:hAnsi="Calibri"/>
          <w:sz w:val="21"/>
        </w:rPr>
        <w:t>5.     Lorsque les personnes sont fragiles (malades, personnes âgées, personnes ayant déjà eu des difficultés cardiaques), Vous avez apposé des consignes devant les manèges à sensation ?</w:t>
      </w:r>
    </w:p>
    <w:p>
      <w:r>
        <w:rPr>
          <w:rFonts w:ascii="Calibri" w:hAnsi="Calibri"/>
          <w:sz w:val="21"/>
        </w:rPr>
        <w:t>6.     Lorsqu’il y a des risques spécifiques à l’activité, en particulier pour les travaux électriques et ceux exposant à la noyade.</w:t>
      </w:r>
    </w:p>
    <w:p>
      <w:r>
        <w:rPr>
          <w:rFonts w:ascii="Calibri" w:hAnsi="Calibri"/>
          <w:sz w:val="21"/>
        </w:rPr>
        <w:t>En tout état de cause, la mise à disposition d’un défibrillateur ne permet pas de s’affranchir des obligations de sécurité prévues par la législation, en particulier des mesures de prévention des risques. Il s’agira par exemple d’équiper les salariés de moyens mécanisés de manutention pour diminuer les efforts, d’adapter la température des locaux de travail, de privilégier l’intervention hors tension sur les installations électriques, ETC. C’EST L’OBJET MÊME DU TRAVAIL QUE NOUS EFFECTUONS SUR LE DOCUMENT UNIQUE.</w:t>
      </w:r>
    </w:p>
    <w:p>
      <w:r>
        <w:rPr>
          <w:rFonts w:ascii="Calibri" w:hAnsi="Calibri"/>
          <w:sz w:val="21"/>
        </w:rPr>
        <w:t>Attention, si vous décidez de vous équiper d’un défibrillateur, ne pas oublier que son entretien et sa vérification périodiques ainsi que la formation à son utilisation demeurent obligatoires, de même que la consultation des instances représentatives du personnel pour aider aux choix du matériel et des programmes de formation.</w:t>
      </w:r>
    </w:p>
    <w:p>
      <w:r>
        <w:rPr>
          <w:rFonts w:ascii="Calibri" w:hAnsi="Calibri"/>
          <w:sz w:val="21"/>
        </w:rPr>
        <w:t>Pour plus d’information, je vous invite à consulter votre médecine du travail en lui faisant part de nos remarques .</w:t>
      </w:r>
    </w:p>
    <w:p>
      <w:r>
        <w:rPr>
          <w:rFonts w:ascii="Calibri" w:hAnsi="Calibri"/>
          <w:sz w:val="21"/>
        </w:rPr>
        <w:t>En espérant avoir répondu à votre question.</w:t>
      </w:r>
    </w:p>
    <w:p>
      <w:r>
        <w:rPr>
          <w:rFonts w:ascii="Calibri" w:hAnsi="Calibri"/>
          <w:sz w:val="21"/>
        </w:rPr>
        <w:t>Bien cordialement,</w:t>
      </w:r>
    </w:p>
    <w:p>
      <w:r>
        <w:rPr>
          <w:rFonts w:ascii="Calibri" w:hAnsi="Calibri"/>
          <w:sz w:val="21"/>
        </w:rPr>
        <w:t>David Museur</w:t>
      </w:r>
    </w:p>
    <w:p>
      <w:r>
        <w:rPr>
          <w:rFonts w:ascii="Calibri" w:hAnsi="Calibri"/>
          <w:sz w:val="21"/>
        </w:rPr>
        <w:t>Gérant</w:t>
      </w:r>
    </w:p>
    <w:p>
      <w:r>
        <w:rPr>
          <w:rFonts w:ascii="Calibri" w:hAnsi="Calibri"/>
          <w:sz w:val="21"/>
        </w:rPr>
        <w:t>[www.riskattitude.net](http://www.riskattitude.net/)</w:t>
      </w:r>
    </w:p>
    <w:p>
      <w:r>
        <w:rPr>
          <w:rFonts w:ascii="Calibri" w:hAnsi="Calibri"/>
          <w:sz w:val="21"/>
        </w:rPr>
        <w:t>06 08 64 65 42</w:t>
      </w:r>
    </w:p>
    <w:p>
      <w:r>
        <w:rPr>
          <w:rFonts w:ascii="Calibri" w:hAnsi="Calibri"/>
          <w:sz w:val="21"/>
        </w:rPr>
        <w:t>[Gratuit : Inscrivez-vous pour recevoir la newsletter mensuelle ...](http://www.riskattitude.net/fr/newsletters.html)</w:t>
      </w:r>
    </w:p>
    <w:p>
      <w:r>
        <w:rPr>
          <w:rFonts w:ascii="Calibri" w:hAnsi="Calibri"/>
          <w:sz w:val="21"/>
        </w:rPr>
        <w:t>[david.museur@riskattitude.net](mailto:david.museur@riskattitude.net)</w:t>
      </w:r>
    </w:p>
    <w:p>
      <w:r>
        <w:rPr>
          <w:rFonts w:ascii="Calibri" w:hAnsi="Calibri"/>
          <w:sz w:val="21"/>
        </w:rPr>
        <w:t xml:space="preserve">Appréciations techniques </w:t>
        <w:tab/>
        <w:t>Nature constructive et assurances</w:t>
        <w:tab/>
        <w:t xml:space="preserve">          Document non contractuel</w:t>
      </w:r>
    </w:p>
    <w:p>
      <w:r>
        <w:rPr>
          <w:rFonts w:ascii="Calibri" w:hAnsi="Calibri"/>
          <w:sz w:val="21"/>
        </w:rPr>
        <w:t>© RiskAttitude – Tous droits réservés</w:t>
        <w:tab/>
        <w:tab/>
        <w:t>Page 10 sur 11</w:t>
      </w:r>
    </w:p>
    <w:sectPr w:rsidR="00FC693F" w:rsidRPr="0006063C" w:rsidSect="00034616">
      <w:headerReference w:type="default" r:id="rId9"/>
      <w:footerReference w:type="default" r:id="rId10"/>
      <w:pgSz w:w="12240" w:h="15840"/>
      <w:pgMar w:top="1701"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480"/>
        <w:sz w:val="16"/>
      </w:rPr>
      <w:t xml:space="preserve">Azur Park · HSE 2026 · 29/04/2026    |    Page </w:t>
    </w:r>
    <w:r>
      <w:rPr>
        <w:rFonts w:ascii="Calibri" w:hAnsi="Calibri"/>
        <w:color w:val="6B7480"/>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2160"/>
      <w:gridCol w:w="7200"/>
    </w:tblGrid>
    <w:tr>
      <w:tc>
        <w:tcPr>
          <w:tcW w:type="dxa" w:w="4680"/>
        </w:tcPr>
        <w:p>
          <w:r>
            <w:drawing>
              <wp:inline xmlns:a="http://schemas.openxmlformats.org/drawingml/2006/main" xmlns:pic="http://schemas.openxmlformats.org/drawingml/2006/picture">
                <wp:extent cx="822960" cy="576072"/>
                <wp:docPr id="1" name="Picture 1"/>
                <wp:cNvGraphicFramePr>
                  <a:graphicFrameLocks noChangeAspect="1"/>
                </wp:cNvGraphicFramePr>
                <a:graphic>
                  <a:graphicData uri="http://schemas.openxmlformats.org/drawingml/2006/picture">
                    <pic:pic>
                      <pic:nvPicPr>
                        <pic:cNvPr id="0" name="logo_azur.png"/>
                        <pic:cNvPicPr/>
                      </pic:nvPicPr>
                      <pic:blipFill>
                        <a:blip r:embed="rId1"/>
                        <a:stretch>
                          <a:fillRect/>
                        </a:stretch>
                      </pic:blipFill>
                      <pic:spPr>
                        <a:xfrm>
                          <a:off x="0" y="0"/>
                          <a:ext cx="822960" cy="576072"/>
                        </a:xfrm>
                        <a:prstGeom prst="rect"/>
                      </pic:spPr>
                    </pic:pic>
                  </a:graphicData>
                </a:graphic>
              </wp:inline>
            </w:drawing>
          </w:r>
        </w:p>
      </w:tc>
      <w:tc>
        <w:tcPr>
          <w:tcW w:type="dxa" w:w="4680"/>
        </w:tcPr>
        <w:p>
          <w:pPr>
            <w:jc w:val="right"/>
            <w:pBdr>
              <w:bottom w:val="single" w:sz="6" w:color="D9A41A"/>
            </w:pBdr>
          </w:pPr>
          <w:r>
            <w:rPr>
              <w:rFonts w:ascii="Calibri" w:hAnsi="Calibri"/>
              <w:color w:val="6B7480"/>
              <w:sz w:val="18"/>
            </w:rPr>
            <w:t>Compte-rendu — Visite initiale Azur Park · 06/05/2013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F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3B7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3B7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D9A41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