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rFonts w:ascii="Calibri" w:hAnsi="Calibri"/>
          <w:b/>
          <w:color w:val="6B7480"/>
          <w:sz w:val="28"/>
        </w:rPr>
        <w:t>DOCUMENT UNIQUE D'ÉVALUATION</w:t>
      </w:r>
    </w:p>
    <w:p>
      <w:pPr>
        <w:spacing w:after="800"/>
        <w:jc w:val="center"/>
      </w:pPr>
      <w:r>
        <w:rPr>
          <w:rFonts w:ascii="Calibri" w:hAnsi="Calibri"/>
          <w:b/>
          <w:color w:val="6B7480"/>
          <w:sz w:val="28"/>
        </w:rPr>
        <w:t>DES RISQUES PROFESSIONNELS</w:t>
      </w:r>
    </w:p>
    <w:p>
      <w:pPr>
        <w:spacing w:after="160"/>
        <w:jc w:val="center"/>
      </w:pPr>
      <w:r>
        <w:rPr>
          <w:rFonts w:ascii="Calibri" w:hAnsi="Calibri"/>
          <w:b/>
          <w:color w:val="0A3B7A"/>
          <w:sz w:val="96"/>
        </w:rPr>
        <w:t>Azur Park</w:t>
      </w:r>
    </w:p>
    <w:p>
      <w:pPr>
        <w:spacing w:after="1600"/>
        <w:jc w:val="center"/>
      </w:pPr>
      <w:r>
        <w:rPr>
          <w:rFonts w:ascii="Calibri" w:hAnsi="Calibri"/>
          <w:color w:val="3A434F"/>
          <w:sz w:val="26"/>
        </w:rPr>
        <w:t>RD 598A — 83580 Gassin (Var)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F7F4ED"/>
          </w:tcPr>
          <w:p>
            <w:r>
              <w:rPr>
                <w:rFonts w:ascii="Calibri" w:hAnsi="Calibri"/>
                <w:b/>
                <w:color w:val="6B7480"/>
                <w:sz w:val="20"/>
              </w:rPr>
              <w:t>Version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/>
                <w:color w:val="1A1F26"/>
                <w:sz w:val="22"/>
              </w:rPr>
              <w:t>v2026.4</w:t>
            </w:r>
          </w:p>
        </w:tc>
      </w:tr>
      <w:tr>
        <w:tc>
          <w:tcPr>
            <w:tcW w:type="dxa" w:w="3600"/>
            <w:shd w:val="clear" w:color="auto" w:fill="F7F4ED"/>
          </w:tcPr>
          <w:p>
            <w:r>
              <w:rPr>
                <w:rFonts w:ascii="Calibri" w:hAnsi="Calibri"/>
                <w:b/>
                <w:color w:val="6B7480"/>
                <w:sz w:val="20"/>
              </w:rPr>
              <w:t>Date d'établissement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/>
                <w:color w:val="1A1F26"/>
                <w:sz w:val="22"/>
              </w:rPr>
              <w:t>29/04/2026</w:t>
            </w:r>
          </w:p>
        </w:tc>
      </w:tr>
      <w:tr>
        <w:tc>
          <w:tcPr>
            <w:tcW w:type="dxa" w:w="3600"/>
            <w:shd w:val="clear" w:color="auto" w:fill="F7F4ED"/>
          </w:tcPr>
          <w:p>
            <w:r>
              <w:rPr>
                <w:rFonts w:ascii="Calibri" w:hAnsi="Calibri"/>
                <w:b/>
                <w:color w:val="6B7480"/>
                <w:sz w:val="20"/>
              </w:rPr>
              <w:t>Responsable de la mise à jour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/>
                <w:color w:val="1A1F26"/>
                <w:sz w:val="22"/>
              </w:rPr>
              <w:t>Sam Paillon</w:t>
            </w:r>
          </w:p>
        </w:tc>
      </w:tr>
      <w:tr>
        <w:tc>
          <w:tcPr>
            <w:tcW w:type="dxa" w:w="3600"/>
            <w:shd w:val="clear" w:color="auto" w:fill="F7F4ED"/>
          </w:tcPr>
          <w:p>
            <w:r>
              <w:rPr>
                <w:rFonts w:ascii="Calibri" w:hAnsi="Calibri"/>
                <w:b/>
                <w:color w:val="6B7480"/>
                <w:sz w:val="20"/>
              </w:rPr>
              <w:t>Consultant externe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/>
                <w:color w:val="1A1F26"/>
                <w:sz w:val="22"/>
              </w:rPr>
              <w:t>David Museur — SECURE</w:t>
            </w:r>
          </w:p>
        </w:tc>
      </w:tr>
    </w:tbl>
    <w:p>
      <w:pPr>
        <w:spacing w:before="1200"/>
        <w:jc w:val="center"/>
      </w:pPr>
      <w:r>
        <w:rPr>
          <w:rFonts w:ascii="Calibri" w:hAnsi="Calibri"/>
          <w:i/>
          <w:color w:val="6B7480"/>
          <w:sz w:val="18"/>
        </w:rPr>
        <w:t>Document réglementaire — Article R.4121-1 et suivants du Code du travail</w:t>
      </w:r>
    </w:p>
    <w:p>
      <w:pPr>
        <w:jc w:val="center"/>
      </w:pPr>
      <w:r>
        <w:rPr>
          <w:rFonts w:ascii="Calibri" w:hAnsi="Calibri"/>
          <w:i/>
          <w:color w:val="6B7480"/>
          <w:sz w:val="18"/>
        </w:rPr>
        <w:t>Confidentiel — diffusion restreinte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1.</w:t>
        <w:tab/>
        <w:t>Identité de l'établissement</w:t>
      </w:r>
      <w:r>
        <w:rPr>
          <w:rFonts w:ascii="Calibri" w:hAnsi="Calibri"/>
          <w:color w:val="6B7480"/>
          <w:sz w:val="22"/>
        </w:rPr>
        <w:tab/>
        <w:t>3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2.</w:t>
        <w:tab/>
        <w:t>Méthodologie d'évaluation</w:t>
      </w:r>
      <w:r>
        <w:rPr>
          <w:rFonts w:ascii="Calibri" w:hAnsi="Calibri"/>
          <w:color w:val="6B7480"/>
          <w:sz w:val="22"/>
        </w:rPr>
        <w:tab/>
        <w:t>4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3.</w:t>
        <w:tab/>
        <w:t>Synthèse des risques par famille</w:t>
      </w:r>
      <w:r>
        <w:rPr>
          <w:rFonts w:ascii="Calibri" w:hAnsi="Calibri"/>
          <w:color w:val="6B7480"/>
          <w:sz w:val="22"/>
        </w:rPr>
        <w:tab/>
        <w:t>5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4.</w:t>
        <w:tab/>
        <w:t>Plan d'action consolidé 2025-2026</w:t>
      </w:r>
      <w:r>
        <w:rPr>
          <w:rFonts w:ascii="Calibri" w:hAnsi="Calibri"/>
          <w:color w:val="6B7480"/>
          <w:sz w:val="22"/>
        </w:rPr>
        <w:tab/>
        <w:t>7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5.</w:t>
        <w:tab/>
        <w:t>Démarches Sam validées (REX)</w:t>
      </w:r>
      <w:r>
        <w:rPr>
          <w:rFonts w:ascii="Calibri" w:hAnsi="Calibri"/>
          <w:color w:val="6B7480"/>
          <w:sz w:val="22"/>
        </w:rPr>
        <w:tab/>
        <w:t>10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6.</w:t>
        <w:tab/>
        <w:t>Acteurs sécurité</w:t>
      </w:r>
      <w:r>
        <w:rPr>
          <w:rFonts w:ascii="Calibri" w:hAnsi="Calibri"/>
          <w:color w:val="6B7480"/>
          <w:sz w:val="22"/>
        </w:rPr>
        <w:tab/>
        <w:t>11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>7.</w:t>
        <w:tab/>
        <w:t>Annexes réglementaires</w:t>
      </w:r>
      <w:r>
        <w:rPr>
          <w:rFonts w:ascii="Calibri" w:hAnsi="Calibri"/>
          <w:color w:val="6B7480"/>
          <w:sz w:val="22"/>
        </w:rPr>
        <w:tab/>
        <w:t>12</w:t>
      </w:r>
    </w:p>
    <w:p>
      <w:pPr>
        <w:tabs>
          <w:tab w:pos="8640" w:val="right"/>
        </w:tabs>
      </w:pPr>
      <w:r>
        <w:rPr>
          <w:rFonts w:ascii="Calibri" w:hAnsi="Calibri"/>
          <w:color w:val="1A1F26"/>
          <w:sz w:val="22"/>
        </w:rPr>
        <w:tab/>
        <w:t>Signatures</w:t>
      </w:r>
      <w:r>
        <w:rPr>
          <w:rFonts w:ascii="Calibri" w:hAnsi="Calibri"/>
          <w:color w:val="6B7480"/>
          <w:sz w:val="22"/>
        </w:rPr>
        <w:tab/>
        <w:t>—</w:t>
      </w:r>
    </w:p>
    <w:p>
      <w:r>
        <w:br w:type="page"/>
      </w:r>
    </w:p>
    <w:p>
      <w:pPr>
        <w:pStyle w:val="Heading1"/>
      </w:pPr>
      <w:r>
        <w:t>1. Identité de l'établissement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Dénomination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Azur Park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Adresse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RD 598A, 83580 Gassin (Var)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Activité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Parc d'attractions saisonnier (avril → septembre)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Capacité ERP déclarée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5 000 personnes maximum (déclaration M. Paillon, CR 06/05/2013)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Structure juridique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Historiquement 3 SARL (Fête du Golfe, APF, P.C.B.) — regroupement SAS « SNP » envisagé en 2013 (statut actuel à reconfirmer auprès du gérant)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Responsable Sécurité et Exploitation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Sam Paillon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Gérant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Serge Paillon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Consultant HSE externe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David Museur — SECURE (anciennement RiskAttitude)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Médecin du travail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À renseigner</w:t>
            </w:r>
          </w:p>
        </w:tc>
      </w:tr>
      <w:tr>
        <w:tc>
          <w:tcPr>
            <w:tcW w:type="dxa" w:w="28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480"/>
                <w:sz w:val="20"/>
              </w:rPr>
              <w:t>Organisme de contrôle (VGP, Q18)</w:t>
            </w:r>
          </w:p>
        </w:tc>
        <w:tc>
          <w:tcPr>
            <w:tcW w:type="dxa" w:w="6480"/>
            <w:tcBorders>
              <w:bottom w:val="single" w:sz="2" w:color="EFE9DC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A1F26"/>
                <w:sz w:val="21"/>
              </w:rPr>
              <w:t>À renseigner</w:t>
            </w:r>
          </w:p>
        </w:tc>
      </w:tr>
    </w:tbl>
    <w:p/>
    <w:p>
      <w:pPr>
        <w:pBdr>
          <w:bottom w:val="single" w:sz="4" w:color="D9A41A"/>
        </w:pBdr>
      </w:pPr>
    </w:p>
    <w:p>
      <w:pPr>
        <w:spacing w:after="80"/>
      </w:pPr>
      <w:r>
        <w:rPr>
          <w:rFonts w:ascii="Calibri" w:hAnsi="Calibri"/>
          <w:b w:val="0"/>
          <w:i/>
          <w:color w:val="6B7480"/>
          <w:sz w:val="20"/>
        </w:rPr>
        <w:t>Note méthodologique : ce document s'appuie sur la base d'évaluation RISC-4 (839 critères répartis en 9 familles), saisie le 10/08/2024 par Sam Paillon, complétée par les visites consultant des 22/06/2023, 10/08/2024, 09/07/2025 et le suivi du 11/07/2025.</w:t>
      </w:r>
    </w:p>
    <w:p>
      <w:r>
        <w:br w:type="page"/>
      </w:r>
    </w:p>
    <w:p>
      <w:pPr>
        <w:pStyle w:val="Heading1"/>
      </w:pPr>
      <w:r>
        <w:t>2. Méthodologie d'évaluation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L'évaluation des risques professionnels d'Azur Park repose sur la grille RISC-4 standardisée pour le secteur des parcs d'attractions, complétée par les observations terrain du consultant HSE.</w:t>
      </w:r>
    </w:p>
    <w:p>
      <w:pPr>
        <w:pStyle w:val="Heading2"/>
      </w:pPr>
      <w:r>
        <w:t>2.1 Échelle de notation par critère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Chaque critère est noté sur une échelle à 4 niveaux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  <w:tc>
          <w:tcPr>
            <w:tcW w:type="dxa" w:w="216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Libellé</w:t>
            </w:r>
          </w:p>
        </w:tc>
        <w:tc>
          <w:tcPr>
            <w:tcW w:type="dxa" w:w="576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Interprétation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0"/>
              </w:rPr>
              <w:t>Critère pleinement respecté — mesure de prévention en place et efficace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OUI partiel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0"/>
              </w:rPr>
              <w:t>Mesure en place mais incomplète ou non systématique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 partiel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0"/>
              </w:rPr>
              <w:t>Action engagée mais insuffisante au regard du risque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20"/>
              </w:rPr>
              <w:t>Critère non respecté — risque non couvert</w:t>
            </w:r>
          </w:p>
        </w:tc>
      </w:tr>
    </w:tbl>
    <w:p>
      <w:pPr>
        <w:spacing w:after="240"/>
      </w:pPr>
      <w:r>
        <w:rPr>
          <w:rFonts w:ascii="Calibri" w:hAnsi="Calibri"/>
          <w:b w:val="0"/>
          <w:i/>
          <w:color w:val="6B7480"/>
          <w:sz w:val="19"/>
        </w:rPr>
        <w:t>« Sans objet » (-1) est utilisé lorsque le critère n'est pas applicable au contexte (ex : agents biologiques de groupe 4 dans un parc d'attractions).</w:t>
      </w:r>
    </w:p>
    <w:p>
      <w:pPr>
        <w:pStyle w:val="Heading2"/>
      </w:pPr>
      <w:r>
        <w:t>2.2 Calcul de la note par famille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Note famille (/20) = (Σ notes obtenues / (3 × nb critères évalués)) × 20.</w:t>
      </w:r>
    </w:p>
    <w:p>
      <w:pPr>
        <w:spacing w:after="80"/>
      </w:pPr>
      <w:r>
        <w:rPr>
          <w:rFonts w:ascii="Calibri" w:hAnsi="Calibri"/>
          <w:b w:val="0"/>
          <w:i w:val="0"/>
          <w:color w:val="6B7480"/>
          <w:sz w:val="20"/>
        </w:rPr>
        <w:t>Les critères « Sans objet » sont exclus du calcul, conformément à la pratique RISC-4 standard.</w:t>
      </w:r>
    </w:p>
    <w:p>
      <w:r>
        <w:br w:type="page"/>
      </w:r>
    </w:p>
    <w:p>
      <w:pPr>
        <w:pStyle w:val="Heading1"/>
      </w:pPr>
      <w:r>
        <w:t>3. Synthèse des risques par famille</w:t>
      </w:r>
    </w:p>
    <w:p>
      <w:pPr>
        <w:spacing w:after="80"/>
      </w:pPr>
      <w:r>
        <w:rPr>
          <w:rFonts w:ascii="Calibri" w:hAnsi="Calibri"/>
          <w:b/>
          <w:i w:val="0"/>
          <w:color w:val="0A3B7A"/>
          <w:sz w:val="26"/>
        </w:rPr>
        <w:t>Note globale RISC-4 : 17.4/20</w:t>
      </w:r>
    </w:p>
    <w:p>
      <w:pPr>
        <w:spacing w:after="280"/>
      </w:pPr>
      <w:r>
        <w:rPr>
          <w:rFonts w:ascii="Calibri" w:hAnsi="Calibri"/>
          <w:b w:val="0"/>
          <w:i w:val="0"/>
          <w:color w:val="6B7480"/>
          <w:sz w:val="20"/>
        </w:rPr>
        <w:t>Sur 733 critères évalués (sur 839 au total — 106 sans objet) — saisie du 10/08/2024.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744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Famille</w:t>
            </w:r>
          </w:p>
        </w:tc>
        <w:tc>
          <w:tcPr>
            <w:tcW w:type="dxa" w:w="864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864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OUI</w:t>
            </w:r>
          </w:p>
        </w:tc>
        <w:tc>
          <w:tcPr>
            <w:tcW w:type="dxa" w:w="864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NON</w:t>
            </w:r>
          </w:p>
        </w:tc>
        <w:tc>
          <w:tcPr>
            <w:tcW w:type="dxa" w:w="100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Partiels</w:t>
            </w:r>
          </w:p>
        </w:tc>
        <w:tc>
          <w:tcPr>
            <w:tcW w:type="dxa" w:w="1296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 /20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Organisation interne de l'entreprise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shd w:val="clear" w:color="auto" w:fill="FBF3DC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15.6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psycho-sociaux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296"/>
            <w:shd w:val="clear" w:color="auto" w:fill="F0F6E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16.83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des manutentions manuelles et mécaniques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296"/>
            <w:shd w:val="clear" w:color="auto" w:fill="F0F6E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16.86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physiques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shd w:val="clear" w:color="auto" w:fill="F0F6E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17.05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biologiques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shd w:val="clear" w:color="auto" w:fill="F0F6E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17.38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d'incendie et d'explosion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shd w:val="clear" w:color="auto" w:fill="F0F6E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17.84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chimiques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shd w:val="clear" w:color="auto" w:fill="D6EFDD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18.27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routiers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shd w:val="clear" w:color="auto" w:fill="D6EFDD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18.48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Risques des circulations et déplacements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shd w:val="clear" w:color="auto" w:fill="D6EFDD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19.56</w:t>
            </w:r>
          </w:p>
        </w:tc>
      </w:tr>
    </w:tbl>
    <w:p/>
    <w:p>
      <w:pPr>
        <w:pBdr>
          <w:bottom w:val="single" w:sz="4" w:color="D9A41A"/>
        </w:pBdr>
      </w:pPr>
    </w:p>
    <w:p>
      <w:pPr>
        <w:pStyle w:val="Heading2"/>
      </w:pPr>
      <w:r>
        <w:t>3.1 Lecture du classement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La famille la plus déficitaire est « Organisation interne de l'entreprise » (15.6/20), avec 22 critères non conformes. La famille la mieux maîtrisée est « Risques des circulations et déplacements » (19.56/20).</w:t>
      </w:r>
    </w:p>
    <w:p>
      <w:pPr>
        <w:spacing w:after="80"/>
      </w:pPr>
      <w:r>
        <w:rPr>
          <w:rFonts w:ascii="Calibri" w:hAnsi="Calibri"/>
          <w:b w:val="0"/>
          <w:i w:val="0"/>
          <w:color w:val="3A434F"/>
          <w:sz w:val="21"/>
        </w:rPr>
        <w:t>Les 5 actions VITALES, CRITIQUES et NON-CONFORMITÉS RÉGLEMENTAIRES identifiées en 2025 sont consolidées dans le plan d'action (partie 4).</w:t>
      </w:r>
    </w:p>
    <w:p>
      <w:r>
        <w:br w:type="page"/>
      </w:r>
    </w:p>
    <w:p>
      <w:pPr>
        <w:pStyle w:val="Heading1"/>
      </w:pPr>
      <w:r>
        <w:t>4. Plan d'action consolidé 2025-2026</w:t>
      </w:r>
    </w:p>
    <w:p>
      <w:pPr>
        <w:spacing w:after="80"/>
      </w:pPr>
      <w:r>
        <w:rPr>
          <w:rFonts w:ascii="Calibri" w:hAnsi="Calibri"/>
          <w:b w:val="0"/>
          <w:i w:val="0"/>
          <w:color w:val="3A434F"/>
          <w:sz w:val="21"/>
        </w:rPr>
        <w:t>21 actions tracées sur 3 ans, issues des 3 visites du consultant David Museur. Statut au 29/04/2026.</w:t>
      </w:r>
    </w:p>
    <w:p>
      <w:pPr>
        <w:pStyle w:val="Heading2"/>
      </w:pPr>
      <w:r>
        <w:t>4.1 Année 2025 — 10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50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4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72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Sécurisation équipement électrique au sol (extérieur, environnement humide)</w:t>
            </w:r>
          </w:p>
        </w:tc>
        <w:tc>
          <w:tcPr>
            <w:tcW w:type="dxa" w:w="1728"/>
            <w:shd w:val="clear" w:color="auto" w:fill="F7DDD9"/>
          </w:tcPr>
          <w:p>
            <w:r>
              <w:rPr>
                <w:rFonts w:ascii="Calibri" w:hAnsi="Calibri"/>
                <w:sz w:val="18"/>
              </w:rPr>
              <w:t>VITAL (25/25)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24 h</w:t>
            </w:r>
          </w:p>
        </w:tc>
        <w:tc>
          <w:tcPr>
            <w:tcW w:type="dxa" w:w="1872"/>
            <w:shd w:val="clear" w:color="auto" w:fill="F7DDD9"/>
          </w:tcPr>
          <w:p>
            <w:r>
              <w:rPr>
                <w:rFonts w:ascii="Calibri" w:hAnsi="Calibri"/>
                <w:sz w:val="18"/>
              </w:rPr>
              <w:t>EN ATTENTE — non résolu au 11/07/2025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Séparation des produits chimiques incompatibles + bacs de rétention 110 %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 (5/5)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48 h</w:t>
            </w:r>
          </w:p>
        </w:tc>
        <w:tc>
          <w:tcPr>
            <w:tcW w:type="dxa" w:w="1872"/>
            <w:shd w:val="clear" w:color="auto" w:fill="E7EEF8"/>
          </w:tcPr>
          <w:p>
            <w:r>
              <w:rPr>
                <w:rFonts w:ascii="Calibri" w:hAnsi="Calibri"/>
                <w:sz w:val="18"/>
              </w:rPr>
              <w:t>En cours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Acquisition DAE semi-automatique + formation 2 personnes (obligation depuis 1er janvier 2022)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Non-conformité réglementaire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Septembre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Recyclage formation incendie (10 % du personnel — dernière session 2022, expirée)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Non-conformité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Septembre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Formation manipulation produits chimiques (5 personnes, jamais formées)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Manquant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Août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Formation travail en hauteur (3 personnes, jamais formées)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Manquant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Octobre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2025-7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Renouvellement des autorisations de conduite (4 conducteurs, dernière 2020 — expirée)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Non-conformité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Décembre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engager (modèles préparés)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2025-8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Pose de garde-corps sur étagères de stockage en hauteur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 mois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2025-9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Installation ventilation mécanique zone stockage chimique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 mois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2025-10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Débroussaillage zones extérieures (juin-septembre)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Saisonnier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</w:tr>
    </w:tbl>
    <w:p/>
    <w:p>
      <w:pPr>
        <w:pStyle w:val="Heading2"/>
      </w:pPr>
      <w:r>
        <w:t>4.2 Année 2024 — 5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50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4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72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2024-1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Mise à jour des fiches manèges (Sam fournit la liste)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Continu</w:t>
            </w:r>
          </w:p>
        </w:tc>
        <w:tc>
          <w:tcPr>
            <w:tcW w:type="dxa" w:w="1872"/>
            <w:shd w:val="clear" w:color="auto" w:fill="E7EEF8"/>
          </w:tcPr>
          <w:p>
            <w:r>
              <w:rPr>
                <w:rFonts w:ascii="Calibri" w:hAnsi="Calibri"/>
                <w:sz w:val="18"/>
              </w:rPr>
              <w:t>En cours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2024-2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Scannage et intégration des rapports de vérification dans le DU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Continu</w:t>
            </w:r>
          </w:p>
        </w:tc>
        <w:tc>
          <w:tcPr>
            <w:tcW w:type="dxa" w:w="1872"/>
            <w:shd w:val="clear" w:color="auto" w:fill="E7EEF8"/>
          </w:tcPr>
          <w:p>
            <w:r>
              <w:rPr>
                <w:rFonts w:ascii="Calibri" w:hAnsi="Calibri"/>
                <w:sz w:val="18"/>
              </w:rPr>
              <w:t>En cours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2024-3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Remplacement des néons d'atelier par luminaires étanches IP55</w:t>
            </w:r>
          </w:p>
        </w:tc>
        <w:tc>
          <w:tcPr>
            <w:tcW w:type="dxa" w:w="1728"/>
            <w:shd w:val="clear" w:color="auto" w:fill="FBF3DC"/>
          </w:tcPr>
          <w:p>
            <w:r>
              <w:rPr>
                <w:rFonts w:ascii="Calibri" w:hAnsi="Calibri"/>
                <w:sz w:val="18"/>
              </w:rPr>
              <w:t>Modéré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 mois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vérifier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2024-4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Stockage huiles inflammables à &gt;1 m de toute source d'énergie électrique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Immédiat</w:t>
            </w:r>
          </w:p>
        </w:tc>
        <w:tc>
          <w:tcPr>
            <w:tcW w:type="dxa" w:w="1872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Réalisé 11/07/2025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2024-5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Acquisition caméra thermique pour thermographie infrarouge (préventive)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Recommandation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À planifier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étudier</w:t>
            </w:r>
          </w:p>
        </w:tc>
      </w:tr>
    </w:tbl>
    <w:p/>
    <w:p>
      <w:pPr>
        <w:pStyle w:val="Heading2"/>
      </w:pPr>
      <w:r>
        <w:t>4.3 Année 2023 — 6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0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50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Criticité</w:t>
            </w:r>
          </w:p>
        </w:tc>
        <w:tc>
          <w:tcPr>
            <w:tcW w:type="dxa" w:w="14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type="dxa" w:w="1872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Mettre en place un registre de sécurité incendie</w:t>
            </w:r>
          </w:p>
        </w:tc>
        <w:tc>
          <w:tcPr>
            <w:tcW w:type="dxa" w:w="1728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Faible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Sous 2 mois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vérifier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Suppression de l'acétone (remplacement par produit moins inflammable)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 mois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vérifier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2023-7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Extincteurs visibles et accessibles en permanence (non obstrués)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 mois</w:t>
            </w:r>
          </w:p>
        </w:tc>
        <w:tc>
          <w:tcPr>
            <w:tcW w:type="dxa" w:w="1872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Réalisé selon CR 10/08/2024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2023-9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Stockage bouteilles de gaz : verticales, arrimées, distance 6 m oxygène/comburant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Permanent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À vérifier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2023-10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Éloigner les liquides inflammables des tableaux électriques</w:t>
            </w:r>
          </w:p>
        </w:tc>
        <w:tc>
          <w:tcPr>
            <w:tcW w:type="dxa" w:w="1728"/>
            <w:shd w:val="clear" w:color="auto" w:fill="FBE0DD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Immédiat</w:t>
            </w:r>
          </w:p>
        </w:tc>
        <w:tc>
          <w:tcPr>
            <w:tcW w:type="dxa" w:w="1872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Réalisé 11/07/2025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2023-11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Installer des bacs de rétention sous les liquides inflammables</w:t>
            </w:r>
          </w:p>
        </w:tc>
        <w:tc>
          <w:tcPr>
            <w:tcW w:type="dxa" w:w="1728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Faible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Immédiat</w:t>
            </w:r>
          </w:p>
        </w:tc>
        <w:tc>
          <w:tcPr>
            <w:tcW w:type="dxa" w:w="1872"/>
            <w:shd w:val="clear" w:color="auto" w:fill="D6EFDD"/>
          </w:tcPr>
          <w:p>
            <w:r>
              <w:rPr>
                <w:rFonts w:ascii="Calibri" w:hAnsi="Calibri"/>
                <w:sz w:val="18"/>
              </w:rPr>
              <w:t>Réalisé 11/07/2025</w:t>
            </w:r>
          </w:p>
        </w:tc>
      </w:tr>
    </w:tbl>
    <w:p/>
    <w:p>
      <w:r>
        <w:br w:type="page"/>
      </w:r>
    </w:p>
    <w:p>
      <w:pPr>
        <w:pStyle w:val="Heading1"/>
      </w:pPr>
      <w:r>
        <w:t>5. Démarches Sam validées (REX)</w:t>
      </w:r>
    </w:p>
    <w:p>
      <w:pPr>
        <w:spacing w:after="240"/>
      </w:pPr>
      <w:r>
        <w:rPr>
          <w:rFonts w:ascii="Calibri" w:hAnsi="Calibri"/>
          <w:b w:val="0"/>
          <w:i w:val="0"/>
          <w:color w:val="3A434F"/>
          <w:sz w:val="21"/>
        </w:rPr>
        <w:t>Initiatives mises en place par Sam Paillon et formellement validées par David Museur (SECURE) lors des visites de mise à jour.</w:t>
      </w:r>
    </w:p>
    <w:p>
      <w:r>
        <w:rPr>
          <w:b/>
          <w:color w:val="1B6A3A"/>
          <w:sz w:val="22"/>
        </w:rPr>
        <w:t xml:space="preserve">✓ </w:t>
      </w:r>
      <w:r>
        <w:rPr>
          <w:b/>
          <w:color w:val="0A3B7A"/>
          <w:sz w:val="22"/>
        </w:rPr>
        <w:t>Contrôle systématique des EPI</w:t>
      </w:r>
    </w:p>
    <w:p>
      <w:pPr>
        <w:spacing w:after="40"/>
      </w:pPr>
      <w:r>
        <w:rPr>
          <w:rFonts w:ascii="Calibri" w:hAnsi="Calibri"/>
          <w:b w:val="0"/>
          <w:i w:val="0"/>
          <w:sz w:val="20"/>
        </w:rPr>
        <w:t>Vérification que chaque employé dispose des protections nécessaires</w:t>
      </w:r>
    </w:p>
    <w:p>
      <w:pPr>
        <w:spacing w:after="200"/>
      </w:pPr>
      <w:r>
        <w:rPr>
          <w:rFonts w:ascii="Calibri" w:hAnsi="Calibri"/>
          <w:b w:val="0"/>
          <w:i/>
          <w:color w:val="1B6A3A"/>
          <w:sz w:val="18"/>
        </w:rPr>
        <w:t>Validée par David Museur (CR 10/08/2024)</w:t>
      </w:r>
    </w:p>
    <w:p>
      <w:r>
        <w:rPr>
          <w:b/>
          <w:color w:val="1B6A3A"/>
          <w:sz w:val="22"/>
        </w:rPr>
        <w:t xml:space="preserve">✓ </w:t>
      </w:r>
      <w:r>
        <w:rPr>
          <w:b/>
          <w:color w:val="0A3B7A"/>
          <w:sz w:val="22"/>
        </w:rPr>
        <w:t>Réorganisation du garage</w:t>
      </w:r>
    </w:p>
    <w:p>
      <w:pPr>
        <w:spacing w:after="40"/>
      </w:pPr>
      <w:r>
        <w:rPr>
          <w:rFonts w:ascii="Calibri" w:hAnsi="Calibri"/>
          <w:b w:val="0"/>
          <w:i w:val="0"/>
          <w:sz w:val="20"/>
        </w:rPr>
        <w:t>Rangement optimisé, stockage des inflammables en Algeco Sécurité, évacuation des vieux produits</w:t>
      </w:r>
    </w:p>
    <w:p>
      <w:pPr>
        <w:spacing w:after="200"/>
      </w:pPr>
      <w:r>
        <w:rPr>
          <w:rFonts w:ascii="Calibri" w:hAnsi="Calibri"/>
          <w:b w:val="0"/>
          <w:i/>
          <w:color w:val="1B6A3A"/>
          <w:sz w:val="18"/>
        </w:rPr>
        <w:t>Validée par David Museur (CR 10/08/2024)</w:t>
      </w:r>
    </w:p>
    <w:p>
      <w:r>
        <w:rPr>
          <w:b/>
          <w:color w:val="1B6A3A"/>
          <w:sz w:val="22"/>
        </w:rPr>
        <w:t xml:space="preserve">✓ </w:t>
      </w:r>
      <w:r>
        <w:rPr>
          <w:b/>
          <w:color w:val="0A3B7A"/>
          <w:sz w:val="22"/>
        </w:rPr>
        <w:t>Exercices de simulation de panne</w:t>
      </w:r>
    </w:p>
    <w:p>
      <w:pPr>
        <w:spacing w:after="40"/>
      </w:pPr>
      <w:r>
        <w:rPr>
          <w:rFonts w:ascii="Calibri" w:hAnsi="Calibri"/>
          <w:b w:val="0"/>
          <w:i w:val="0"/>
          <w:sz w:val="20"/>
        </w:rPr>
        <w:t>Exercices réguliers sur manèges impliquant chaque opérateur, préparation à l'évacuation des clients</w:t>
      </w:r>
    </w:p>
    <w:p>
      <w:pPr>
        <w:spacing w:after="200"/>
      </w:pPr>
      <w:r>
        <w:rPr>
          <w:rFonts w:ascii="Calibri" w:hAnsi="Calibri"/>
          <w:b w:val="0"/>
          <w:i/>
          <w:color w:val="1B6A3A"/>
          <w:sz w:val="18"/>
        </w:rPr>
        <w:t>Validée par David Museur (CR 10/08/2024)</w:t>
      </w:r>
    </w:p>
    <w:p>
      <w:r>
        <w:rPr>
          <w:b/>
          <w:color w:val="1B6A3A"/>
          <w:sz w:val="22"/>
        </w:rPr>
        <w:t xml:space="preserve">✓ </w:t>
      </w:r>
      <w:r>
        <w:rPr>
          <w:b/>
          <w:color w:val="0A3B7A"/>
          <w:sz w:val="22"/>
        </w:rPr>
        <w:t>Réactivité sur actions VITALES</w:t>
      </w:r>
    </w:p>
    <w:p>
      <w:pPr>
        <w:spacing w:after="40"/>
      </w:pPr>
      <w:r>
        <w:rPr>
          <w:rFonts w:ascii="Calibri" w:hAnsi="Calibri"/>
          <w:b w:val="0"/>
          <w:i w:val="0"/>
          <w:sz w:val="20"/>
        </w:rPr>
        <w:t>Mise en œuvre en 48 h des bidons déplacés et bacs de rétention installés (suite visite 09/07/2025)</w:t>
      </w:r>
    </w:p>
    <w:p>
      <w:pPr>
        <w:spacing w:after="200"/>
      </w:pPr>
      <w:r>
        <w:rPr>
          <w:rFonts w:ascii="Calibri" w:hAnsi="Calibri"/>
          <w:b w:val="0"/>
          <w:i/>
          <w:color w:val="1B6A3A"/>
          <w:sz w:val="18"/>
        </w:rPr>
        <w:t>Saluée comme « réactivité exemplaire » par David Museur (CR 11/07/2025)</w:t>
      </w:r>
    </w:p>
    <w:p>
      <w:r>
        <w:br w:type="page"/>
      </w:r>
    </w:p>
    <w:p>
      <w:pPr>
        <w:pStyle w:val="Heading1"/>
      </w:pPr>
      <w:r>
        <w:t>6. Acteurs sécurité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Nom</w:t>
            </w:r>
          </w:p>
        </w:tc>
        <w:tc>
          <w:tcPr>
            <w:tcW w:type="dxa" w:w="504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88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Sam Paillon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Responsable Sécurité et Exploitation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Serge Paillon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Gérant historique (créé en 2013)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À reconfirmer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David Museur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Consultant HSE — RiskAttitude (2013-2023) puis SECURE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Actif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Géry Cogen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Opérateur de manèges et technicien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Listé en 2013, à reconfirmer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Brigitte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Secrétaire générale (3 entités historiques)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Listée en 2013, à reconfirmer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Reynald Lalot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Conducteur d'engins (formation à valider)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À former CACES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Canache Marian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Conducteur d'engins (formation à valider)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À former CACES</w:t>
            </w:r>
          </w:p>
        </w:tc>
      </w:tr>
    </w:tbl>
    <w:p>
      <w:r>
        <w:br w:type="page"/>
      </w:r>
    </w:p>
    <w:p>
      <w:pPr>
        <w:pStyle w:val="Heading1"/>
      </w:pPr>
      <w:r>
        <w:t>7. Annexes réglementaires</w:t>
      </w:r>
    </w:p>
    <w:p>
      <w:pPr>
        <w:pStyle w:val="Heading2"/>
      </w:pPr>
      <w:r>
        <w:t>7.1 Inventaire des documents et registres obligatoires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56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32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Base légale</w:t>
            </w:r>
          </w:p>
        </w:tc>
        <w:tc>
          <w:tcPr>
            <w:tcW w:type="dxa" w:w="244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Périodicité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DUERP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R.4121-1 et s. Code du travail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Annuelle minimum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Registre de sécurité ERP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R.123-51 CCH ; GE 5 Règl. sécurité incendie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Rapports CEEV manèges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Loi 2008-136 ; Décret 2008-1458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1 à 3 ans selon catégorie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Livret de bord par attraction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Norme NF EN 13814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Quotidienne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Rapport Q18 (vérification électrique)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R.4226-14 à R.4226-21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Annuelle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Registre AT bénins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L.441-4 et D.441-1 CSS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Sous 48 h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Rapports moyens de secours (extincteurs, RIA)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R.4227-39 ; MS 73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Annuelle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Rapports VGP des engins de levage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R.4323-23 ; arrêté 1er mars 2004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Semestrielle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Autorisations de conduite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R.4323-55 ; arrêté 26/09/2025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À chaque embauche/changement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sz w:val="18"/>
              </w:rPr>
              <w:t>Registre public d'accessibilité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Art. L.111-7-3 CCH ; D. 2017-431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Continue</w:t>
            </w:r>
          </w:p>
        </w:tc>
      </w:tr>
    </w:tbl>
    <w:p>
      <w:pPr>
        <w:pStyle w:val="Heading2"/>
      </w:pPr>
      <w:r>
        <w:t>7.2 Obligation Défibrillateur Automatisé Externe (DAE)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Bases réglementaires : Décret n° 2018-1186 du 19 décembre 2018 ; Articles L.123-5, L.123-6 et R.123-57 à R.123-60 du CCH ; Arrêté du 29 octobre 2019 (signalisation).</w:t>
      </w:r>
    </w:p>
    <w:p>
      <w:pPr>
        <w:spacing w:after="80"/>
      </w:pPr>
      <w:r>
        <w:rPr>
          <w:rFonts w:ascii="Calibri" w:hAnsi="Calibri"/>
          <w:b w:val="0"/>
          <w:i w:val="0"/>
          <w:color w:val="B23A2F"/>
          <w:sz w:val="21"/>
        </w:rPr>
        <w:t>Application à Azur Park : obligation d'équipement effective depuis le 1er janvier 2022 (catégories ERP 1 à 3) ou 1er janvier 2021 (catégorie 4). Statut actuel : NON CONFORME — DAE à acquérir, formation 2 personnes minimum à programmer.</w:t>
      </w:r>
    </w:p>
    <w:p>
      <w:r>
        <w:br w:type="page"/>
      </w:r>
    </w:p>
    <w:p>
      <w:pPr>
        <w:pStyle w:val="Heading1"/>
      </w:pPr>
      <w:r>
        <w:t>Signatures</w:t>
      </w:r>
    </w:p>
    <w:p>
      <w:pPr>
        <w:spacing w:after="400"/>
      </w:pPr>
      <w:r>
        <w:rPr>
          <w:rFonts w:ascii="Calibri" w:hAnsi="Calibri"/>
          <w:b w:val="0"/>
          <w:i w:val="0"/>
          <w:sz w:val="21"/>
        </w:rPr>
        <w:t>Le présent Document Unique d'Évaluation des Risques Professionnels est arrêté à la date ci-dessous par les signataires suivants. Il sera révisé annuellement et lors de toute modification d'aménagement, d'équipement ou d'information sur les risques (Art. R.4121-2 du Code du travail).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08"/>
          </w:tcPr>
          <w:p>
            <w:r>
              <w:rPr>
                <w:rFonts w:ascii="Calibri" w:hAnsi="Calibri"/>
                <w:b/>
                <w:color w:val="0A3B7A"/>
                <w:sz w:val="22"/>
              </w:rPr>
              <w:t>Le Responsable Sécurité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/>
                <w:color w:val="0A3B7A"/>
                <w:sz w:val="22"/>
              </w:rPr>
              <w:t>Le Gérant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color w:val="1A1F26"/>
                <w:sz w:val="20"/>
              </w:rPr>
              <w:t>Sam Paillon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color w:val="1A1F26"/>
                <w:sz w:val="20"/>
              </w:rPr>
              <w:t>Serge Paillon</w:t>
            </w:r>
          </w:p>
        </w:tc>
      </w:tr>
    </w:tbl>
    <w:p>
      <w:pPr>
        <w:spacing w:after="800"/>
      </w:pPr>
      <w:r>
        <w:rPr>
          <w:rFonts w:ascii="Calibri" w:hAnsi="Calibri"/>
          <w:b w:val="0"/>
          <w:i w:val="0"/>
          <w:sz w:val="21"/>
        </w:rPr>
        <w:t xml:space="preserve"> 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Date : ____________________   Signature(s) : ____________________________</w:t>
      </w:r>
    </w:p>
    <w:p>
      <w:pPr>
        <w:spacing w:after="400"/>
      </w:pPr>
      <w:r>
        <w:rPr>
          <w:rFonts w:ascii="Calibri" w:hAnsi="Calibri"/>
          <w:b w:val="0"/>
          <w:i w:val="0"/>
          <w:sz w:val="21"/>
        </w:rPr>
        <w:t xml:space="preserve"> </w:t>
      </w:r>
    </w:p>
    <w:p>
      <w:pPr>
        <w:spacing w:after="80"/>
      </w:pPr>
      <w:r>
        <w:rPr>
          <w:rFonts w:ascii="Calibri" w:hAnsi="Calibri"/>
          <w:b/>
          <w:i w:val="0"/>
          <w:color w:val="0A3B7A"/>
          <w:sz w:val="22"/>
        </w:rPr>
        <w:t>Le Consultant HSE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David Museur — SECURE</w:t>
      </w:r>
    </w:p>
    <w:p>
      <w:pPr>
        <w:spacing w:after="400"/>
      </w:pPr>
      <w:r>
        <w:rPr>
          <w:rFonts w:ascii="Calibri" w:hAnsi="Calibri"/>
          <w:b w:val="0"/>
          <w:i w:val="0"/>
          <w:sz w:val="21"/>
        </w:rPr>
        <w:t xml:space="preserve"> 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Date : ____________________   Signature 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480"/>
        <w:sz w:val="16"/>
      </w:rPr>
      <w:t xml:space="preserve">Azur Park · HSE 2026 · 29/04/2026    |    Page </w:t>
    </w:r>
    <w:r>
      <w:rPr>
        <w:rFonts w:ascii="Calibri" w:hAnsi="Calibri"/>
        <w:color w:val="6B748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160"/>
      <w:gridCol w:w="72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822960" cy="5760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zu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5760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pBdr>
              <w:bottom w:val="single" w:sz="6" w:color="D9A41A"/>
            </w:pBdr>
          </w:pPr>
          <w:r>
            <w:rPr>
              <w:rFonts w:ascii="Calibri" w:hAnsi="Calibri"/>
              <w:color w:val="6B7480"/>
              <w:sz w:val="18"/>
            </w:rPr>
            <w:t>DUERP 2026 v4 · Azur Park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3B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3B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9A4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