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D9A41A"/>
          <w:sz w:val="22"/>
        </w:rPr>
        <w:t>MÉMO SÉCURITÉ</w:t>
      </w:r>
    </w:p>
    <w:p>
      <w:pPr>
        <w:jc w:val="center"/>
      </w:pPr>
      <w:r>
        <w:rPr>
          <w:rFonts w:ascii="Calibri" w:hAnsi="Calibri"/>
          <w:b/>
          <w:color w:val="0A3B7A"/>
          <w:sz w:val="40"/>
        </w:rPr>
        <w:t>Utilisation des engins de manutention et de levage</w:t>
      </w:r>
    </w:p>
    <w:p/>
    <w:p>
      <w:pPr>
        <w:pBdr>
          <w:bottom w:val="single" w:sz="4" w:color="D9A41A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80"/>
            <w:tcBorders>
              <w:bottom w:val="single" w:sz="2" w:color="EFE9DC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6B7480"/>
                <w:sz w:val="20"/>
              </w:rPr>
              <w:t>À l'attention de</w:t>
            </w:r>
          </w:p>
        </w:tc>
        <w:tc>
          <w:tcPr>
            <w:tcW w:type="dxa" w:w="6480"/>
            <w:tcBorders>
              <w:bottom w:val="single" w:sz="2" w:color="EFE9DC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A1F26"/>
                <w:sz w:val="21"/>
              </w:rPr>
              <w:t>Sam Paillon — Direction Azur Park</w:t>
            </w:r>
          </w:p>
        </w:tc>
      </w:tr>
      <w:tr>
        <w:tc>
          <w:tcPr>
            <w:tcW w:type="dxa" w:w="2880"/>
            <w:tcBorders>
              <w:bottom w:val="single" w:sz="2" w:color="EFE9DC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6B7480"/>
                <w:sz w:val="20"/>
              </w:rPr>
              <w:t>De</w:t>
            </w:r>
          </w:p>
        </w:tc>
        <w:tc>
          <w:tcPr>
            <w:tcW w:type="dxa" w:w="6480"/>
            <w:tcBorders>
              <w:bottom w:val="single" w:sz="2" w:color="EFE9DC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A1F26"/>
                <w:sz w:val="21"/>
              </w:rPr>
              <w:t>David Museur — Consultant HSE SECURE</w:t>
            </w:r>
          </w:p>
        </w:tc>
      </w:tr>
      <w:tr>
        <w:tc>
          <w:tcPr>
            <w:tcW w:type="dxa" w:w="2880"/>
            <w:tcBorders>
              <w:bottom w:val="single" w:sz="2" w:color="EFE9DC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6B7480"/>
                <w:sz w:val="20"/>
              </w:rPr>
              <w:t>Date</w:t>
            </w:r>
          </w:p>
        </w:tc>
        <w:tc>
          <w:tcPr>
            <w:tcW w:type="dxa" w:w="6480"/>
            <w:tcBorders>
              <w:bottom w:val="single" w:sz="2" w:color="EFE9DC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A1F26"/>
                <w:sz w:val="21"/>
              </w:rPr>
              <w:t>29/04/2026</w:t>
            </w:r>
          </w:p>
        </w:tc>
      </w:tr>
      <w:tr>
        <w:tc>
          <w:tcPr>
            <w:tcW w:type="dxa" w:w="2880"/>
            <w:tcBorders>
              <w:bottom w:val="single" w:sz="2" w:color="EFE9DC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6B7480"/>
                <w:sz w:val="20"/>
              </w:rPr>
              <w:t>Objet</w:t>
            </w:r>
          </w:p>
        </w:tc>
        <w:tc>
          <w:tcPr>
            <w:tcW w:type="dxa" w:w="6480"/>
            <w:tcBorders>
              <w:bottom w:val="single" w:sz="2" w:color="EFE9DC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A1F26"/>
                <w:sz w:val="21"/>
              </w:rPr>
              <w:t>Rappel des obligations réglementaires liées à l'utilisation des engins sur le parc</w:t>
            </w:r>
          </w:p>
        </w:tc>
      </w:tr>
    </w:tbl>
    <w:p>
      <w:pPr>
        <w:pStyle w:val="Heading1"/>
      </w:pPr>
      <w:r>
        <w:t>1. Le parc matériel concerné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Ce mémo s'applique à l'ensemble des engins motorisés utilisés sur le site d'Azur Park :</w:t>
      </w:r>
    </w:p>
    <w:p>
      <w:r>
        <w:rPr>
          <w:b/>
          <w:color w:val="D9A41A"/>
        </w:rPr>
        <w:t xml:space="preserve">•  </w:t>
      </w:r>
      <w:r>
        <w:rPr>
          <w:sz w:val="21"/>
        </w:rPr>
        <w:t>Manitou MT 1740 SLT — chariot télescopique (capacité 4 000 kg / hauteur 16,65 m)</w:t>
      </w:r>
    </w:p>
    <w:p>
      <w:r>
        <w:rPr>
          <w:b/>
          <w:color w:val="D9A41A"/>
        </w:rPr>
        <w:t xml:space="preserve">•  </w:t>
      </w:r>
      <w:r>
        <w:rPr>
          <w:sz w:val="21"/>
        </w:rPr>
        <w:t>Grue auxiliaire sur porteur MAN</w:t>
      </w:r>
    </w:p>
    <w:p>
      <w:r>
        <w:rPr>
          <w:b/>
          <w:color w:val="D9A41A"/>
        </w:rPr>
        <w:t xml:space="preserve">•  </w:t>
      </w:r>
      <w:r>
        <w:rPr>
          <w:sz w:val="21"/>
        </w:rPr>
        <w:t>Grue auxiliaire sur porteur Renault Premium</w:t>
      </w:r>
    </w:p>
    <w:p>
      <w:r>
        <w:rPr>
          <w:b/>
          <w:color w:val="D9A41A"/>
        </w:rPr>
        <w:t xml:space="preserve">•  </w:t>
      </w:r>
      <w:r>
        <w:rPr>
          <w:sz w:val="21"/>
        </w:rPr>
        <w:t>Fenwick — chariot élévateur frontal 1 tonne</w:t>
      </w:r>
    </w:p>
    <w:p>
      <w:pPr>
        <w:pStyle w:val="Heading1"/>
      </w:pPr>
      <w:r>
        <w:t>2. Les 3 règles d'or pour les conducteurs</w:t>
      </w:r>
    </w:p>
    <w:p>
      <w:pPr>
        <w:spacing w:after="80"/>
      </w:pPr>
      <w:r>
        <w:rPr>
          <w:rFonts w:ascii="Calibri" w:hAnsi="Calibri"/>
          <w:b w:val="0"/>
          <w:i w:val="0"/>
          <w:color w:val="3A434F"/>
          <w:sz w:val="21"/>
        </w:rPr>
        <w:t>Pour qu'un salarié (ou vous-même) puisse conduire l'un de ces engins sur le parc, 3 conditions cumulatives et obligatoires doivent être réunies :</w:t>
      </w:r>
    </w:p>
    <w:p>
      <w:pPr>
        <w:spacing w:after="40"/>
      </w:pPr>
      <w:r>
        <w:rPr>
          <w:rFonts w:ascii="Calibri" w:hAnsi="Calibri"/>
          <w:b/>
          <w:i w:val="0"/>
          <w:color w:val="0A3B7A"/>
          <w:sz w:val="23"/>
        </w:rPr>
        <w:t>1. Aptitude médicale</w:t>
      </w:r>
    </w:p>
    <w:p>
      <w:pPr>
        <w:spacing w:after="160"/>
      </w:pPr>
      <w:r>
        <w:rPr>
          <w:rFonts w:ascii="Calibri" w:hAnsi="Calibri"/>
          <w:b w:val="0"/>
          <w:i w:val="0"/>
          <w:sz w:val="21"/>
        </w:rPr>
        <w:t>Le conducteur doit avoir été déclaré « apte à la conduite d'engins » par la médecine du travail (visite médicale à jour).</w:t>
      </w:r>
    </w:p>
    <w:p>
      <w:pPr>
        <w:spacing w:after="40"/>
      </w:pPr>
      <w:r>
        <w:rPr>
          <w:rFonts w:ascii="Calibri" w:hAnsi="Calibri"/>
          <w:b/>
          <w:i w:val="0"/>
          <w:color w:val="0A3B7A"/>
          <w:sz w:val="23"/>
        </w:rPr>
        <w:t>2. Formation (CACES)</w:t>
      </w:r>
    </w:p>
    <w:p>
      <w:pPr>
        <w:spacing w:after="160"/>
      </w:pPr>
      <w:r>
        <w:rPr>
          <w:rFonts w:ascii="Calibri" w:hAnsi="Calibri"/>
          <w:b w:val="0"/>
          <w:i w:val="0"/>
          <w:sz w:val="21"/>
        </w:rPr>
        <w:t>Le conducteur doit avoir suivi une formation adéquate et détenir le CACES correspondant à la catégorie de l'engin (R482 cat. F pour le Manitou, R490 pour les grues, R489 pour le Fenwick).</w:t>
      </w:r>
    </w:p>
    <w:p>
      <w:pPr>
        <w:spacing w:after="40"/>
      </w:pPr>
      <w:r>
        <w:rPr>
          <w:rFonts w:ascii="Calibri" w:hAnsi="Calibri"/>
          <w:b/>
          <w:i w:val="0"/>
          <w:color w:val="0A3B7A"/>
          <w:sz w:val="23"/>
        </w:rPr>
        <w:t>3. Autorisation de conduite interne</w:t>
      </w:r>
    </w:p>
    <w:p>
      <w:pPr>
        <w:spacing w:after="160"/>
      </w:pPr>
      <w:r>
        <w:rPr>
          <w:rFonts w:ascii="Calibri" w:hAnsi="Calibri"/>
          <w:b w:val="0"/>
          <w:i w:val="0"/>
          <w:sz w:val="21"/>
        </w:rPr>
        <w:t>Vous devez signer et délivrer une autorisation de conduite nominative à chaque conducteur, après avoir vérifié les points 1 et 2.</w:t>
      </w:r>
    </w:p>
    <w:p>
      <w:pPr>
        <w:spacing w:after="80"/>
      </w:pPr>
      <w:r>
        <w:rPr>
          <w:rFonts w:ascii="Calibri" w:hAnsi="Calibri"/>
          <w:b w:val="0"/>
          <w:i/>
          <w:color w:val="B23A2F"/>
          <w:sz w:val="20"/>
        </w:rPr>
        <w:t>⚠ Le permis de conduire (B, C ou CE) ne suffit pas. L'autorisation interne est obligatoire, même sur un site privé clos.</w:t>
      </w:r>
    </w:p>
    <w:p>
      <w:pPr>
        <w:pStyle w:val="Heading1"/>
      </w:pPr>
      <w:r>
        <w:t>3. Conducteurs identifiés (à vérifier)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Quatre personnes sont actuellement identifiées pour la conduite :</w:t>
      </w:r>
    </w:p>
    <w:p>
      <w:r>
        <w:rPr>
          <w:color w:val="D9A41A"/>
        </w:rPr>
        <w:t xml:space="preserve">• </w:t>
      </w:r>
      <w:r>
        <w:rPr>
          <w:b/>
          <w:sz w:val="21"/>
        </w:rPr>
        <w:t>Paillon Serge</w:t>
      </w:r>
    </w:p>
    <w:p>
      <w:r>
        <w:rPr>
          <w:color w:val="D9A41A"/>
        </w:rPr>
        <w:t xml:space="preserve">• </w:t>
      </w:r>
      <w:r>
        <w:rPr>
          <w:b/>
          <w:sz w:val="21"/>
        </w:rPr>
        <w:t>Paillon Sam</w:t>
      </w:r>
    </w:p>
    <w:p>
      <w:r>
        <w:rPr>
          <w:color w:val="D9A41A"/>
        </w:rPr>
        <w:t xml:space="preserve">• </w:t>
      </w:r>
      <w:r>
        <w:rPr>
          <w:b/>
          <w:sz w:val="21"/>
        </w:rPr>
        <w:t>Lalot Reynald</w:t>
      </w:r>
    </w:p>
    <w:p>
      <w:r>
        <w:rPr>
          <w:color w:val="D9A41A"/>
        </w:rPr>
        <w:t xml:space="preserve">• </w:t>
      </w:r>
      <w:r>
        <w:rPr>
          <w:b/>
          <w:sz w:val="21"/>
        </w:rPr>
        <w:t>Canache Marian</w:t>
      </w:r>
    </w:p>
    <w:p>
      <w:pPr>
        <w:spacing w:after="80"/>
      </w:pPr>
      <w:r>
        <w:rPr>
          <w:rFonts w:ascii="Calibri" w:hAnsi="Calibri"/>
          <w:b w:val="0"/>
          <w:i w:val="0"/>
          <w:color w:val="B23A2F"/>
          <w:sz w:val="21"/>
        </w:rPr>
        <w:t>Action immédiate requise : vérifier que ces 4 personnes disposent de leur CACES et de leur aptitude médicale à jour, et signer leurs autorisations de conduite (modèles fournis dans le document « Autorisations de conduite — Saison 2026 »).</w:t>
      </w:r>
    </w:p>
    <w:p>
      <w:pPr>
        <w:pStyle w:val="Heading1"/>
      </w:pPr>
      <w:r>
        <w:t>4. Règles de circulation sur le parc</w:t>
      </w:r>
    </w:p>
    <w:p>
      <w:r>
        <w:rPr>
          <w:b/>
          <w:color w:val="D9A41A"/>
        </w:rPr>
        <w:t xml:space="preserve">•  </w:t>
      </w:r>
      <w:r>
        <w:rPr>
          <w:sz w:val="21"/>
        </w:rPr>
        <w:t>Priorité absolue aux piétons. La vitesse doit être adaptée et limitée.</w:t>
      </w:r>
    </w:p>
    <w:p>
      <w:r>
        <w:rPr>
          <w:b/>
          <w:color w:val="D9A41A"/>
        </w:rPr>
        <w:t xml:space="preserve">•  </w:t>
      </w:r>
      <w:r>
        <w:rPr>
          <w:sz w:val="21"/>
        </w:rPr>
        <w:t>Heures d'ouverture : la circulation des engins dans les allées ouvertes au public est strictement interdite pendant les heures d'ouverture, sauf urgence absolue et avec un accompagnateur à pied pour sécuriser la zone.</w:t>
      </w:r>
    </w:p>
    <w:p>
      <w:r>
        <w:rPr>
          <w:b/>
          <w:color w:val="D9A41A"/>
        </w:rPr>
        <w:t xml:space="preserve">•  </w:t>
      </w:r>
      <w:r>
        <w:rPr>
          <w:sz w:val="21"/>
        </w:rPr>
        <w:t>Équipements de sécurité : utilisation du gyrophare et de l'avertisseur sonore de recul obligatoire en permanence.</w:t>
      </w:r>
    </w:p>
    <w:p>
      <w:pPr>
        <w:pStyle w:val="Heading1"/>
      </w:pPr>
      <w:r>
        <w:t>5. Entretien et VGP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Tous les engins de levage (Manitou, grues, Fenwick) doivent obligatoirement subir une Vérification Générale Périodique (VGP) tous les 6 mois par un organisme agréé (Socotec, Apave, Dekra, Bureau Veritas).</w:t>
      </w:r>
    </w:p>
    <w:p>
      <w:pPr>
        <w:spacing w:after="80"/>
      </w:pPr>
      <w:r>
        <w:rPr>
          <w:rFonts w:ascii="Calibri" w:hAnsi="Calibri"/>
          <w:b w:val="0"/>
          <w:i w:val="0"/>
          <w:color w:val="3A434F"/>
          <w:sz w:val="21"/>
        </w:rPr>
        <w:t>Action requise : vérifier les dates des dernières VGP et planifier les prochaines. Les rapports doivent être conservés dans le registre de sécurité (Art. R.4323-25 du Code du travail).</w:t>
      </w:r>
    </w:p>
    <w:p>
      <w:pPr>
        <w:pStyle w:val="Heading1"/>
      </w:pPr>
      <w:r>
        <w:t>6. Risques et sanctions en cas de non-respect</w:t>
      </w:r>
    </w:p>
    <w:p>
      <w:pPr>
        <w:spacing w:after="80"/>
      </w:pPr>
      <w:r>
        <w:rPr>
          <w:rFonts w:ascii="Calibri" w:hAnsi="Calibri"/>
          <w:b/>
          <w:i w:val="0"/>
          <w:color w:val="B23A2F"/>
          <w:sz w:val="22"/>
        </w:rPr>
        <w:t>En cas d'accident impliquant un engin conduit par une personne non autorisée ou sans CACES :</w:t>
      </w:r>
    </w:p>
    <w:p>
      <w:r>
        <w:rPr>
          <w:b/>
          <w:color w:val="0A3B7A"/>
        </w:rPr>
        <w:t xml:space="preserve">Responsabilité civile : </w:t>
      </w:r>
      <w:r>
        <w:rPr>
          <w:sz w:val="21"/>
        </w:rPr>
        <w:t>L'assurance peut refuser de couvrir les dommages matériels ou corporels (faute inexcusable de l'employeur).</w:t>
      </w:r>
    </w:p>
    <w:p>
      <w:r>
        <w:rPr>
          <w:b/>
          <w:color w:val="0A3B7A"/>
        </w:rPr>
        <w:t xml:space="preserve">Responsabilité pénale : </w:t>
      </w:r>
      <w:r>
        <w:rPr>
          <w:sz w:val="21"/>
        </w:rPr>
        <w:t>En tant que dirigeant, votre responsabilité pénale personnelle peut être engagée (délit de mise en danger d'autrui, blessures involontaires, Art. 222-19 du Code pénal).</w:t>
      </w:r>
    </w:p>
    <w:p>
      <w:r>
        <w:rPr>
          <w:b/>
          <w:color w:val="0A3B7A"/>
        </w:rPr>
        <w:t xml:space="preserve">Jurisprudence : </w:t>
      </w:r>
      <w:r>
        <w:rPr>
          <w:sz w:val="21"/>
        </w:rPr>
        <w:t>Cass. Soc. 27 mars 2013, n° 11-28.750 — l'employeur qui ne délivre pas d'autorisation de conduite viole son obligation de sécurité de résultat.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B7480"/>
        <w:sz w:val="16"/>
      </w:rPr>
      <w:t xml:space="preserve">Azur Park · HSE 2026 · 29/04/2026    |    Page </w:t>
    </w:r>
    <w:r>
      <w:rPr>
        <w:rFonts w:ascii="Calibri" w:hAnsi="Calibri"/>
        <w:color w:val="6B7480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2160"/>
      <w:gridCol w:w="7200"/>
    </w:tblGrid>
    <w:tr>
      <w:tc>
        <w:tcPr>
          <w:tcW w:type="dxa" w:w="4680"/>
        </w:tcPr>
        <w:p>
          <w:r>
            <w:drawing>
              <wp:inline xmlns:a="http://schemas.openxmlformats.org/drawingml/2006/main" xmlns:pic="http://schemas.openxmlformats.org/drawingml/2006/picture">
                <wp:extent cx="822960" cy="57607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azu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2960" cy="57607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pPr>
            <w:jc w:val="right"/>
            <w:pBdr>
              <w:bottom w:val="single" w:sz="6" w:color="D9A41A"/>
            </w:pBdr>
          </w:pPr>
          <w:r>
            <w:rPr>
              <w:rFonts w:ascii="Calibri" w:hAnsi="Calibri"/>
              <w:color w:val="6B7480"/>
              <w:sz w:val="18"/>
            </w:rPr>
            <w:t>Mémo réglementaire engins · Sam Paillon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F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A3B7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A3B7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D9A41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