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B7480"/>
          <w:sz w:val="26"/>
        </w:rPr>
        <w:t>AZUR PARK</w:t>
      </w:r>
    </w:p>
    <w:p>
      <w:pPr>
        <w:jc w:val="center"/>
      </w:pPr>
      <w:r>
        <w:rPr>
          <w:b/>
          <w:color w:val="0A3B7A"/>
          <w:sz w:val="52"/>
        </w:rPr>
        <w:t>Plan de prévention Azur Park</w:t>
      </w:r>
    </w:p>
    <w:p>
      <w:pPr>
        <w:jc w:val="center"/>
      </w:pPr>
      <w:r>
        <w:rPr>
          <w:color w:val="D9A41A"/>
          <w:sz w:val="28"/>
        </w:rPr>
        <w:t>22/06/2023</w:t>
      </w:r>
    </w:p>
    <w:p>
      <w:r>
        <w:br w:type="page"/>
      </w:r>
    </w:p>
    <w:p>
      <w:r>
        <w:rPr>
          <w:b/>
          <w:color w:val="D9A41A"/>
        </w:rPr>
        <w:t xml:space="preserve">•  </w:t>
      </w:r>
      <w:r>
        <w:rPr>
          <w:sz w:val="21"/>
        </w:rPr>
        <w:t>Issu du rapport N°187</w:t>
      </w:r>
    </w:p>
    <w:p>
      <w:r>
        <w:rPr>
          <w:rFonts w:ascii="Calibri" w:hAnsi="Calibri"/>
          <w:sz w:val="21"/>
        </w:rPr>
        <w:t>PLAN DE PREVENTION</w:t>
      </w:r>
    </w:p>
    <w:p>
      <w:r>
        <w:rPr>
          <w:rFonts w:ascii="Calibri" w:hAnsi="Calibri"/>
          <w:sz w:val="21"/>
        </w:rPr>
        <w:t>AZUR PARK</w:t>
      </w:r>
    </w:p>
    <w:p>
      <w:r>
        <w:rPr>
          <w:rFonts w:ascii="Calibri" w:hAnsi="Calibri"/>
          <w:sz w:val="21"/>
        </w:rPr>
        <w:t>AZUR PARK RD598A 83580 GASSIN</w:t>
      </w:r>
    </w:p>
    <w:p>
      <w:r>
        <w:rPr>
          <w:rFonts w:ascii="Calibri" w:hAnsi="Calibri"/>
          <w:sz w:val="21"/>
        </w:rPr>
        <w:t>Document confidentiel</w:t>
      </w:r>
    </w:p>
    <w:p>
      <w:r>
        <w:rPr>
          <w:rFonts w:ascii="Calibri" w:hAnsi="Calibri"/>
          <w:sz w:val="21"/>
        </w:rPr>
        <w:t>Destinataires : direction général AZUR Parc</w:t>
      </w:r>
    </w:p>
    <w:p>
      <w:r>
        <w:rPr>
          <w:rFonts w:ascii="Calibri" w:hAnsi="Calibri"/>
          <w:sz w:val="21"/>
        </w:rPr>
        <w:t>Visité par :  Sam Paillon mise à jour annuel avec david museur avant saison Mai/JUIn de chaque année</w:t>
      </w:r>
    </w:p>
    <w:p>
      <w:r>
        <w:rPr>
          <w:rFonts w:ascii="Calibri" w:hAnsi="Calibri"/>
          <w:sz w:val="21"/>
        </w:rPr>
        <w:t>Visité le : 22/06/2023</w:t>
      </w:r>
    </w:p>
    <w:p>
      <w:r>
        <w:rPr>
          <w:rFonts w:ascii="Calibri" w:hAnsi="Calibri"/>
          <w:sz w:val="21"/>
        </w:rPr>
        <w:t>Précisions</w:t>
      </w:r>
    </w:p>
    <w:p>
      <w:r>
        <w:rPr>
          <w:rFonts w:ascii="Calibri" w:hAnsi="Calibri"/>
          <w:sz w:val="21"/>
        </w:rPr>
        <w:t>Le présent plan de prévention propose les recommandations fondées sur les observations et les renseignements fournis lors de la visite de prévention des risques. Ce plan de prévention a pour objet de proposer des améliorations dans le but de réduire l’exposition de l’entreprise aux risques associés.</w:t>
      </w:r>
    </w:p>
    <w:p>
      <w:r>
        <w:rPr>
          <w:rFonts w:ascii="Calibri" w:hAnsi="Calibri"/>
          <w:sz w:val="21"/>
        </w:rPr>
        <w:t>Les recommandations sont classées en fonction du délai de mise en œuvre, du délai le plus court au plus important. Les numérotations des recommandations correspondent à celles notées dans le rapport de visite.</w:t>
      </w:r>
    </w:p>
    <w:p>
      <w:r>
        <w:rPr>
          <w:rFonts w:ascii="Calibri" w:hAnsi="Calibri"/>
          <w:sz w:val="21"/>
        </w:rPr>
        <w:t>| Participants |</w:t>
      </w:r>
    </w:p>
    <w:p>
      <w:r>
        <w:rPr>
          <w:rFonts w:ascii="Calibri" w:hAnsi="Calibri"/>
          <w:b/>
          <w:color w:val="0A3B7A"/>
          <w:sz w:val="20"/>
        </w:rPr>
        <w:t>Sam paillon</w:t>
      </w:r>
      <w:r>
        <w:rPr>
          <w:color w:val="6B7480"/>
          <w:sz w:val="18"/>
        </w:rPr>
        <w:t xml:space="preserve">    |    </w:t>
      </w:r>
      <w:r>
        <w:rPr>
          <w:rFonts w:ascii="Calibri" w:hAnsi="Calibri"/>
          <w:sz w:val="20"/>
        </w:rPr>
        <w:t>responsable sécurité Azur parc</w:t>
      </w:r>
    </w:p>
    <w:p>
      <w:r>
        <w:rPr>
          <w:rFonts w:ascii="Calibri" w:hAnsi="Calibri"/>
          <w:sz w:val="21"/>
        </w:rPr>
        <w:t>| La responsabilité de Azur Park ne saurait en aucun cas être engagée en cas de survenance d'atteintes, qu'elles n'aient pas été identifiées par le diagnostic ou qu'elles soient survenues à l'issue de la mise en oeuvre de tout ou partie des préconisations. L'attention des lecteurs est attirée sur la portée générale des conseils qui ne peuvent en aucun cas être considérés comme une réponse adaptée à chaque cas particulier Aussi, les décideurs sont invités à se rapprocher des membres de Azur Park afin d'obtenir une expertise personnalisée et l'ensemble des réponses fournies. Le présent rapport, rédigé en fonction des notes prises lors de notre déplacement et en référence à des documents déjà en notre possession, est un outil d'appréciation et de recommandation, destiné à améliorer les mesures de prévention nécessaires pour faire face aux risques d'incendie, d'explosion et risques annexes. Il ne constitue ni un document d'évaluation de la valeur des biens examinés, ni une quelconque dérogation aux clauses du contrat. Le présent rapport n'a aucune valeur contractuelle. |</w:t>
      </w:r>
    </w:p>
    <w:p>
      <w:r>
        <w:rPr>
          <w:rFonts w:ascii="Calibri" w:hAnsi="Calibri"/>
          <w:sz w:val="21"/>
        </w:rPr>
        <w:t>Introduction</w:t>
      </w:r>
    </w:p>
    <w:p>
      <w:r>
        <w:rPr>
          <w:rFonts w:ascii="Calibri" w:hAnsi="Calibri"/>
          <w:sz w:val="21"/>
        </w:rPr>
        <w:t>Ce document fait suite à la visite prévention effectué le 22 juin 2023 en vue de la mise à jour du document unique</w:t>
      </w:r>
    </w:p>
    <w:p>
      <w:r>
        <w:rPr>
          <w:rFonts w:ascii="Calibri" w:hAnsi="Calibri"/>
          <w:sz w:val="21"/>
        </w:rPr>
        <w:t>Il sera complété dès l’intégration des rapports de vérifications à transmettre par Sam Paillon à david museur pour finalisation de la mise à jour du due</w:t>
      </w:r>
    </w:p>
    <w:p>
      <w:r>
        <w:rPr>
          <w:rFonts w:ascii="Calibri" w:hAnsi="Calibri"/>
          <w:sz w:val="21"/>
        </w:rPr>
        <w:t>Plan de prévention</w:t>
      </w:r>
    </w:p>
    <w:p>
      <w:r>
        <w:rPr>
          <w:rFonts w:ascii="Calibri" w:hAnsi="Calibri"/>
          <w:sz w:val="21"/>
        </w:rPr>
        <w:t>Sommaire</w:t>
      </w:r>
    </w:p>
    <w:p>
      <w:r>
        <w:rPr>
          <w:rFonts w:ascii="Calibri" w:hAnsi="Calibri"/>
          <w:sz w:val="21"/>
        </w:rPr>
        <w:t>n°2023-5 : Registre de sécurité incendie</w:t>
      </w:r>
    </w:p>
    <w:p>
      <w:r>
        <w:rPr>
          <w:rFonts w:ascii="Calibri" w:hAnsi="Calibri"/>
          <w:sz w:val="21"/>
        </w:rPr>
        <w:t>n°2023-6 : SUPPRESSION ACETONE</w:t>
      </w:r>
    </w:p>
    <w:p>
      <w:r>
        <w:rPr>
          <w:rFonts w:ascii="Calibri" w:hAnsi="Calibri"/>
          <w:sz w:val="21"/>
        </w:rPr>
        <w:t>n°2023-7 : Extincteurs</w:t>
      </w:r>
    </w:p>
    <w:p>
      <w:r>
        <w:rPr>
          <w:rFonts w:ascii="Calibri" w:hAnsi="Calibri"/>
          <w:sz w:val="21"/>
        </w:rPr>
        <w:t>n°2023-9 : Stockage - bouteilles de gaz</w:t>
      </w:r>
    </w:p>
    <w:p>
      <w:r>
        <w:rPr>
          <w:rFonts w:ascii="Calibri" w:hAnsi="Calibri"/>
          <w:sz w:val="21"/>
        </w:rPr>
        <w:t>n°2023-10 : atelier stockage liquide inflammable</w:t>
      </w:r>
    </w:p>
    <w:p>
      <w:r>
        <w:rPr>
          <w:rFonts w:ascii="Calibri" w:hAnsi="Calibri"/>
          <w:sz w:val="21"/>
        </w:rPr>
        <w:t>n°2023-11 : stockage de liquides inflammables</w:t>
      </w:r>
    </w:p>
    <w:p>
      <w:r>
        <w:rPr>
          <w:rFonts w:ascii="Calibri" w:hAnsi="Calibri"/>
          <w:sz w:val="21"/>
        </w:rPr>
        <w:t>Risques d'incendie et d'explosion</w:t>
      </w:r>
    </w:p>
    <w:p>
      <w:r>
        <w:rPr>
          <w:rFonts w:ascii="Calibri" w:hAnsi="Calibri"/>
          <w:sz w:val="21"/>
        </w:rPr>
        <w:t>Recommandation n°2023-5       Risque Faible ou maîtrisé</w:t>
      </w:r>
    </w:p>
    <w:p>
      <w:r>
        <w:rPr>
          <w:rFonts w:ascii="Calibri" w:hAnsi="Calibri"/>
          <w:sz w:val="21"/>
        </w:rPr>
        <w:t>Registre de sécurité incendie</w:t>
      </w:r>
    </w:p>
    <w:p>
      <w:r>
        <w:rPr>
          <w:rFonts w:ascii="Calibri" w:hAnsi="Calibri"/>
          <w:sz w:val="21"/>
        </w:rPr>
        <w:t>RISQUES D'INCENDIE ET D'EXPLOSION - L'entreprise tient-elle un registre incendie ?</w:t>
      </w:r>
    </w:p>
    <w:p>
      <w:r>
        <w:rPr>
          <w:rFonts w:ascii="Calibri" w:hAnsi="Calibri"/>
          <w:sz w:val="21"/>
        </w:rPr>
        <w:t>Mettre en place un registre de sécurité incendie sur lequel sont reportés les renseignements indispensables à la bonne marche du service de sécurité et, en particulier :</w:t>
      </w:r>
    </w:p>
    <w:p>
      <w:r>
        <w:rPr>
          <w:rFonts w:ascii="Calibri" w:hAnsi="Calibri"/>
          <w:sz w:val="21"/>
        </w:rPr>
        <w:t>— l’état du personnel chargé du service d’incendie ;</w:t>
      </w:r>
    </w:p>
    <w:p>
      <w:r>
        <w:rPr>
          <w:rFonts w:ascii="Calibri" w:hAnsi="Calibri"/>
          <w:sz w:val="21"/>
        </w:rPr>
        <w:t>— les diverses consignes, générales et particulières, établies en cas d’incendie ;</w:t>
      </w:r>
    </w:p>
    <w:p>
      <w:r>
        <w:rPr>
          <w:rFonts w:ascii="Calibri" w:hAnsi="Calibri"/>
          <w:sz w:val="21"/>
        </w:rPr>
        <w:t>— les dates des divers contrôles, essais et vérifications périodiques de matériel ainsi que les observations auxquelles ceux-ci ont donné lieu ;</w:t>
      </w:r>
    </w:p>
    <w:p>
      <w:r>
        <w:rPr>
          <w:rFonts w:ascii="Calibri" w:hAnsi="Calibri"/>
          <w:sz w:val="21"/>
        </w:rPr>
        <w:t>— les dates des travaux d’aménagement et de transformation, leur nature, les  et en remplir les différentes rubriques ;</w:t>
      </w:r>
    </w:p>
    <w:p>
      <w:r>
        <w:rPr>
          <w:rFonts w:ascii="Calibri" w:hAnsi="Calibri"/>
          <w:sz w:val="21"/>
        </w:rPr>
        <w:t>— les dates des exercices de simulation d'extinction de feu et/ou d'évacuation, et le compte rendu de ces simulations et exercices.</w:t>
      </w:r>
    </w:p>
    <w:p>
      <w:r>
        <w:rPr>
          <w:rFonts w:ascii="Calibri" w:hAnsi="Calibri"/>
          <w:sz w:val="21"/>
        </w:rPr>
        <w:t>Conditions d’exécution :</w:t>
      </w:r>
    </w:p>
    <w:p>
      <w:r>
        <w:rPr>
          <w:rFonts w:ascii="Calibri" w:hAnsi="Calibri"/>
          <w:sz w:val="21"/>
        </w:rPr>
        <w:t>Indicateurs de résultat :</w:t>
      </w:r>
    </w:p>
    <w:p>
      <w:r>
        <w:rPr>
          <w:rFonts w:ascii="Calibri" w:hAnsi="Calibri"/>
          <w:sz w:val="21"/>
        </w:rPr>
        <w:t>Estimation de son coût :</w:t>
      </w:r>
    </w:p>
    <w:p>
      <w:r>
        <w:rPr>
          <w:rFonts w:ascii="Calibri" w:hAnsi="Calibri"/>
          <w:sz w:val="21"/>
        </w:rPr>
        <w:t>Identification des ressources de l’entreprise pouvant être mobilisées :</w:t>
      </w:r>
    </w:p>
    <w:p>
      <w:r>
        <w:rPr>
          <w:rFonts w:ascii="Calibri" w:hAnsi="Calibri"/>
          <w:sz w:val="21"/>
        </w:rPr>
        <w:t>Calendrier de mise en œuvre :</w:t>
      </w:r>
    </w:p>
    <w:p>
      <w:r>
        <w:rPr>
          <w:rFonts w:ascii="Calibri" w:hAnsi="Calibri"/>
          <w:sz w:val="21"/>
        </w:rPr>
        <w:t>Délai de mise en oeuvre : Sous 2 mois</w:t>
      </w:r>
    </w:p>
    <w:p>
      <w:r>
        <w:rPr>
          <w:rFonts w:ascii="Calibri" w:hAnsi="Calibri"/>
          <w:sz w:val="21"/>
        </w:rPr>
        <w:t>Fait le :</w:t>
      </w:r>
    </w:p>
    <w:p>
      <w:r>
        <w:rPr>
          <w:rFonts w:ascii="Calibri" w:hAnsi="Calibri"/>
          <w:sz w:val="21"/>
        </w:rPr>
        <w:t>Recommandation n°2023-6       Risque Critique</w:t>
      </w:r>
    </w:p>
    <w:p>
      <w:r>
        <w:rPr>
          <w:rFonts w:ascii="Calibri" w:hAnsi="Calibri"/>
          <w:sz w:val="21"/>
        </w:rPr>
        <w:t>SUPPRESSION ACETONE</w:t>
      </w:r>
    </w:p>
    <w:p>
      <w:r>
        <w:rPr>
          <w:rFonts w:ascii="Calibri" w:hAnsi="Calibri"/>
          <w:sz w:val="21"/>
        </w:rPr>
        <w:t>RISQUES D'INCENDIE ET D'EXPLOSION - Certains travailleurs utilisent-ils des colles, acétone, alcool, peinture ou autres produits d'usage courant dans le cadre de leur travail ?</w:t>
      </w:r>
    </w:p>
    <w:p>
      <w:r>
        <w:rPr>
          <w:rFonts w:ascii="Calibri" w:hAnsi="Calibri"/>
          <w:sz w:val="21"/>
        </w:rPr>
        <w:t>il est imperatif de remplacer l'acetone par un produit de moindre inflammabilité .</w:t>
      </w:r>
    </w:p>
    <w:p>
      <w:r>
        <w:rPr>
          <w:rFonts w:ascii="Calibri" w:hAnsi="Calibri"/>
          <w:sz w:val="21"/>
        </w:rPr>
        <w:t>Conditions d’exécution :</w:t>
      </w:r>
    </w:p>
    <w:p>
      <w:r>
        <w:rPr>
          <w:rFonts w:ascii="Calibri" w:hAnsi="Calibri"/>
          <w:sz w:val="21"/>
        </w:rPr>
        <w:t>Indicateurs de résultat :</w:t>
      </w:r>
    </w:p>
    <w:p>
      <w:r>
        <w:rPr>
          <w:rFonts w:ascii="Calibri" w:hAnsi="Calibri"/>
          <w:sz w:val="21"/>
        </w:rPr>
        <w:t>Estimation de son coût :</w:t>
      </w:r>
    </w:p>
    <w:p>
      <w:r>
        <w:rPr>
          <w:rFonts w:ascii="Calibri" w:hAnsi="Calibri"/>
          <w:sz w:val="21"/>
        </w:rPr>
        <w:t>Identification des ressources de l’entreprise pouvant être mobilisées :</w:t>
      </w:r>
    </w:p>
    <w:p>
      <w:r>
        <w:rPr>
          <w:rFonts w:ascii="Calibri" w:hAnsi="Calibri"/>
          <w:sz w:val="21"/>
        </w:rPr>
        <w:t>Calendrier de mise en œuvre :</w:t>
      </w:r>
    </w:p>
    <w:p>
      <w:r>
        <w:rPr>
          <w:rFonts w:ascii="Calibri" w:hAnsi="Calibri"/>
          <w:sz w:val="21"/>
        </w:rPr>
        <w:t>Délai de mise en oeuvre : 2 mois</w:t>
      </w:r>
    </w:p>
    <w:p>
      <w:r>
        <w:rPr>
          <w:rFonts w:ascii="Calibri" w:hAnsi="Calibri"/>
          <w:sz w:val="21"/>
        </w:rPr>
        <w:t>Fait le :</w:t>
      </w:r>
    </w:p>
    <w:p>
      <w:r>
        <w:rPr>
          <w:rFonts w:ascii="Calibri" w:hAnsi="Calibri"/>
          <w:sz w:val="21"/>
        </w:rPr>
        <w:t>Recommandation n°2023-7       Risque Critique</w:t>
      </w:r>
    </w:p>
    <w:p>
      <w:r>
        <w:rPr>
          <w:rFonts w:ascii="Calibri" w:hAnsi="Calibri"/>
          <w:sz w:val="21"/>
        </w:rPr>
        <w:t>Extincteurs</w:t>
      </w:r>
    </w:p>
    <w:p>
      <w:r>
        <w:rPr>
          <w:rFonts w:ascii="Calibri" w:hAnsi="Calibri"/>
          <w:sz w:val="21"/>
        </w:rPr>
        <w:t>RISQUES D'INCENDIE ET D'EXPLOSION - L'entreprise vérifie-t-elle que les travailleurs respectent les consignes de sécurité (stockage de matières inflammables, papiers, etc.) ?</w:t>
      </w:r>
    </w:p>
    <w:p>
      <w:r>
        <w:rPr>
          <w:rFonts w:ascii="Calibri" w:hAnsi="Calibri"/>
          <w:sz w:val="21"/>
        </w:rPr>
        <w:t>Les extincteurs ne doivent en aucun cas être obstrués par d'autres objets,  il convient de positionner ces extincteurs sur leurs supports à des emplacements visibles et accessibles en permanence diminuant ainsi le temps d'intervention.</w:t>
      </w:r>
    </w:p>
    <w:p>
      <w:r>
        <w:rPr>
          <w:rFonts w:ascii="Calibri" w:hAnsi="Calibri"/>
          <w:sz w:val="21"/>
        </w:rPr>
        <w:t>Conditions d’exécution :</w:t>
      </w:r>
    </w:p>
    <w:p>
      <w:r>
        <w:rPr>
          <w:rFonts w:ascii="Calibri" w:hAnsi="Calibri"/>
          <w:sz w:val="21"/>
        </w:rPr>
        <w:t>Indicateurs de résultat :</w:t>
      </w:r>
    </w:p>
    <w:p>
      <w:r>
        <w:rPr>
          <w:rFonts w:ascii="Calibri" w:hAnsi="Calibri"/>
          <w:sz w:val="21"/>
        </w:rPr>
        <w:t>Estimation de son coût :</w:t>
      </w:r>
    </w:p>
    <w:p>
      <w:r>
        <w:rPr>
          <w:rFonts w:ascii="Calibri" w:hAnsi="Calibri"/>
          <w:sz w:val="21"/>
        </w:rPr>
        <w:t>Identification des ressources de l’entreprise pouvant être mobilisées :</w:t>
      </w:r>
    </w:p>
    <w:p>
      <w:r>
        <w:rPr>
          <w:rFonts w:ascii="Calibri" w:hAnsi="Calibri"/>
          <w:sz w:val="21"/>
        </w:rPr>
        <w:t>Calendrier de mise en œuvre :</w:t>
      </w:r>
    </w:p>
    <w:p>
      <w:r>
        <w:rPr>
          <w:rFonts w:ascii="Calibri" w:hAnsi="Calibri"/>
          <w:sz w:val="21"/>
        </w:rPr>
        <w:t>Délai de mise en oeuvre : 1 mois</w:t>
      </w:r>
    </w:p>
    <w:p>
      <w:r>
        <w:rPr>
          <w:rFonts w:ascii="Calibri" w:hAnsi="Calibri"/>
          <w:sz w:val="21"/>
        </w:rPr>
        <w:t>Fait le :</w:t>
      </w:r>
    </w:p>
    <w:p>
      <w:r>
        <w:rPr>
          <w:rFonts w:ascii="Calibri" w:hAnsi="Calibri"/>
          <w:sz w:val="21"/>
        </w:rPr>
        <w:t>Recommandation n°2023-9       Risque Critique</w:t>
      </w:r>
    </w:p>
    <w:p>
      <w:r>
        <w:rPr>
          <w:rFonts w:ascii="Calibri" w:hAnsi="Calibri"/>
          <w:sz w:val="21"/>
        </w:rPr>
        <w:t>Stockage - bouteilles de gaz</w:t>
      </w:r>
    </w:p>
    <w:p>
      <w:r>
        <w:rPr>
          <w:rFonts w:ascii="Calibri" w:hAnsi="Calibri"/>
          <w:sz w:val="21"/>
        </w:rPr>
        <w:t>RISQUES D'INCENDIE ET D'EXPLOSION - L'entreprise vérifie-t-elle que les travailleurs respectent les consignes de sécurité (stockage de matières inflammables, papiers, etc.) ?</w:t>
      </w:r>
    </w:p>
    <w:p>
      <w:r>
        <w:rPr>
          <w:rFonts w:ascii="Calibri" w:hAnsi="Calibri"/>
          <w:sz w:val="21"/>
        </w:rPr>
        <w:t>Les bouteilles doivent être stockées et arrimées verticalement et si possible, éloignés des bâtiments. Ne jamais stocker les bouteilles de gaz, même vides, dans les conditions suivantes : A l'horizontal, à proximité des voies de circulation, au soleil, à proximité d'une flamme, d'une source d'énergie ou de chaleur, à proximité de produits corrosifs, explosifs, dans un environnement corrosif.</w:t>
      </w:r>
    </w:p>
    <w:p>
      <w:r>
        <w:rPr>
          <w:rFonts w:ascii="Calibri" w:hAnsi="Calibri"/>
          <w:sz w:val="21"/>
        </w:rPr>
        <w:t>Vérifier la comptabilité de stockage des produits. Du fait des caractéristiques d’explosivité et d’inflammation des mélanges oxygène-gaz, les bouteilles d’oxygène doivent être séparées à une distance d’au moins 6 mètres des bouteilles de gaz combustibles. Séparer le stockage des bouteilles d’oxygène et d’acétylène.</w:t>
      </w:r>
    </w:p>
    <w:p>
      <w:r>
        <w:rPr>
          <w:rFonts w:ascii="Calibri" w:hAnsi="Calibri"/>
          <w:sz w:val="21"/>
        </w:rPr>
        <w:t>Séparer le stockage des bouteilles vides et des bouteilles pleines, et éliminer régulièrement les bouteilles vides.</w:t>
      </w:r>
    </w:p>
    <w:p>
      <w:r>
        <w:rPr>
          <w:rFonts w:ascii="Calibri" w:hAnsi="Calibri"/>
          <w:sz w:val="21"/>
        </w:rPr>
        <w:t>L’interdiction de fumer à proximité des lieux de stockages doit être respectée.</w:t>
      </w:r>
    </w:p>
    <w:p>
      <w:r>
        <w:rPr>
          <w:rFonts w:ascii="Calibri" w:hAnsi="Calibri"/>
          <w:sz w:val="21"/>
        </w:rPr>
        <w:t>Conditions d’exécution :</w:t>
      </w:r>
    </w:p>
    <w:p>
      <w:r>
        <w:rPr>
          <w:rFonts w:ascii="Calibri" w:hAnsi="Calibri"/>
          <w:sz w:val="21"/>
        </w:rPr>
        <w:t>Indicateurs de résultat :</w:t>
      </w:r>
    </w:p>
    <w:p>
      <w:r>
        <w:rPr>
          <w:rFonts w:ascii="Calibri" w:hAnsi="Calibri"/>
          <w:sz w:val="21"/>
        </w:rPr>
        <w:t>Estimation de son coût :</w:t>
      </w:r>
    </w:p>
    <w:p>
      <w:r>
        <w:rPr>
          <w:rFonts w:ascii="Calibri" w:hAnsi="Calibri"/>
          <w:sz w:val="21"/>
        </w:rPr>
        <w:t>Identification des ressources de l’entreprise pouvant être mobilisées :</w:t>
      </w:r>
    </w:p>
    <w:p>
      <w:r>
        <w:rPr>
          <w:rFonts w:ascii="Calibri" w:hAnsi="Calibri"/>
          <w:sz w:val="21"/>
        </w:rPr>
        <w:t>Calendrier de mise en œuvre :</w:t>
      </w:r>
    </w:p>
    <w:p>
      <w:r>
        <w:rPr>
          <w:rFonts w:ascii="Calibri" w:hAnsi="Calibri"/>
          <w:sz w:val="21"/>
        </w:rPr>
        <w:t>Délai de mise en oeuvre : Permanent</w:t>
      </w:r>
    </w:p>
    <w:p>
      <w:r>
        <w:rPr>
          <w:rFonts w:ascii="Calibri" w:hAnsi="Calibri"/>
          <w:sz w:val="21"/>
        </w:rPr>
        <w:t>Fait le :</w:t>
      </w:r>
    </w:p>
    <w:p>
      <w:r>
        <w:rPr>
          <w:rFonts w:ascii="Calibri" w:hAnsi="Calibri"/>
          <w:sz w:val="21"/>
        </w:rPr>
        <w:t>Recommandation n°2023-10       Risque Critique</w:t>
      </w:r>
    </w:p>
    <w:p>
      <w:r>
        <w:rPr>
          <w:rFonts w:ascii="Calibri" w:hAnsi="Calibri"/>
          <w:sz w:val="21"/>
        </w:rPr>
        <w:t>atelier stockage liquide inflammable</w:t>
      </w:r>
    </w:p>
    <w:p>
      <w:r>
        <w:rPr>
          <w:rFonts w:ascii="Calibri" w:hAnsi="Calibri"/>
          <w:sz w:val="21"/>
        </w:rPr>
        <w:t>RISQUES D'INCENDIE ET D'EXPLOSION - L'entreprise vérifie-t-elle que les travailleurs respectent les consignes de sécurité (stockage de matières inflammables, papiers, etc.) ?</w:t>
      </w:r>
    </w:p>
    <w:p>
      <w:r>
        <w:rPr>
          <w:rFonts w:ascii="Calibri" w:hAnsi="Calibri"/>
          <w:sz w:val="21"/>
        </w:rPr>
        <w:t>eloigner les liquide inflammables des tableau electriques</w:t>
      </w:r>
    </w:p>
    <w:p>
      <w:r>
        <w:rPr>
          <w:rFonts w:ascii="Calibri" w:hAnsi="Calibri"/>
          <w:sz w:val="21"/>
        </w:rPr>
        <w:t>Conditions d’exécution :</w:t>
      </w:r>
    </w:p>
    <w:p>
      <w:r>
        <w:rPr>
          <w:rFonts w:ascii="Calibri" w:hAnsi="Calibri"/>
          <w:sz w:val="21"/>
        </w:rPr>
        <w:t>Indicateurs de résultat :</w:t>
      </w:r>
    </w:p>
    <w:p>
      <w:r>
        <w:rPr>
          <w:rFonts w:ascii="Calibri" w:hAnsi="Calibri"/>
          <w:sz w:val="21"/>
        </w:rPr>
        <w:t>Estimation de son coût :</w:t>
      </w:r>
    </w:p>
    <w:p>
      <w:r>
        <w:rPr>
          <w:rFonts w:ascii="Calibri" w:hAnsi="Calibri"/>
          <w:sz w:val="21"/>
        </w:rPr>
        <w:t>Identification des ressources de l’entreprise pouvant être mobilisées :</w:t>
      </w:r>
    </w:p>
    <w:p>
      <w:r>
        <w:rPr>
          <w:rFonts w:ascii="Calibri" w:hAnsi="Calibri"/>
          <w:sz w:val="21"/>
        </w:rPr>
        <w:t>Calendrier de mise en œuvre :</w:t>
      </w:r>
    </w:p>
    <w:p>
      <w:r>
        <w:rPr>
          <w:rFonts w:ascii="Calibri" w:hAnsi="Calibri"/>
          <w:sz w:val="21"/>
        </w:rPr>
        <w:t>Délai de mise en oeuvre : immédiat</w:t>
      </w:r>
    </w:p>
    <w:p>
      <w:r>
        <w:rPr>
          <w:rFonts w:ascii="Calibri" w:hAnsi="Calibri"/>
          <w:sz w:val="21"/>
        </w:rPr>
        <w:t>Fait le :</w:t>
      </w:r>
    </w:p>
    <w:p>
      <w:r>
        <w:rPr>
          <w:rFonts w:ascii="Calibri" w:hAnsi="Calibri"/>
          <w:sz w:val="21"/>
        </w:rPr>
        <w:t>Recommandation n°2023-11       Risque Faible ou maîtrisé</w:t>
      </w:r>
    </w:p>
    <w:p>
      <w:r>
        <w:rPr>
          <w:rFonts w:ascii="Calibri" w:hAnsi="Calibri"/>
          <w:sz w:val="21"/>
        </w:rPr>
        <w:t>stockage de liquides inflammables</w:t>
      </w:r>
    </w:p>
    <w:p>
      <w:r>
        <w:rPr>
          <w:rFonts w:ascii="Calibri" w:hAnsi="Calibri"/>
          <w:sz w:val="21"/>
        </w:rPr>
        <w:t>RISQUES D'INCENDIE ET D'EXPLOSION - L'entreprise a-t-elle réfléchi à l'utilisation de produits de moindre inflammabilité ?</w:t>
      </w:r>
    </w:p>
    <w:p>
      <w:r>
        <w:rPr>
          <w:rFonts w:ascii="Calibri" w:hAnsi="Calibri"/>
          <w:sz w:val="21"/>
        </w:rPr>
        <w:t>Certains produits réagissent entre eux : il est indispensable que tous les fûts et bidons qui les contiennent soient soigneusement étiquetés. Il est important que ces liquides soient contenus dans des récipients étanches et solides, eux-mêmes déposés dans des bacs de rétention de capacité au moins égale au volume de liquide stocké.</w:t>
      </w:r>
    </w:p>
    <w:p>
      <w:r>
        <w:rPr>
          <w:rFonts w:ascii="Calibri" w:hAnsi="Calibri"/>
          <w:sz w:val="21"/>
        </w:rPr>
        <w:t>Dans la mesure du possible, il est préférable d’opérer tous les transvasements en dehors du local de stockage pour éviter toute accumulation de vapeurs combustibles.</w:t>
      </w:r>
    </w:p>
    <w:p>
      <w:r>
        <w:rPr>
          <w:rFonts w:ascii="Calibri" w:hAnsi="Calibri"/>
          <w:sz w:val="21"/>
        </w:rPr>
        <w:t>Dans ce dernier, il est nécessaire que le renouvellement de l’air soit permanent (éventuellement à l’aide d’un dispositif de ventilation) et que la température ambiante soit inférieure à 20 °C.</w:t>
      </w:r>
    </w:p>
    <w:p>
      <w:r>
        <w:rPr>
          <w:rFonts w:ascii="Calibri" w:hAnsi="Calibri"/>
          <w:sz w:val="21"/>
        </w:rPr>
        <w:t>Les moyens d’intervention doivent être des extincteurs à poudre polyvalente (A, B, C) ou à mousse, éventuellement à CO2 pour abattre les flammes dans un premier temps. Ils devront se situer à proximité du stockage et être facile à saisir.</w:t>
      </w:r>
    </w:p>
    <w:p>
      <w:r>
        <w:rPr>
          <w:rFonts w:ascii="Calibri" w:hAnsi="Calibri"/>
          <w:sz w:val="21"/>
        </w:rPr>
        <w:t>Conditions d’exécution :</w:t>
      </w:r>
    </w:p>
    <w:p>
      <w:r>
        <w:rPr>
          <w:rFonts w:ascii="Calibri" w:hAnsi="Calibri"/>
          <w:sz w:val="21"/>
        </w:rPr>
        <w:t>Indicateurs de résultat :</w:t>
      </w:r>
    </w:p>
    <w:p>
      <w:r>
        <w:rPr>
          <w:rFonts w:ascii="Calibri" w:hAnsi="Calibri"/>
          <w:sz w:val="21"/>
        </w:rPr>
        <w:t>Estimation de son coût :</w:t>
      </w:r>
    </w:p>
    <w:p>
      <w:r>
        <w:rPr>
          <w:rFonts w:ascii="Calibri" w:hAnsi="Calibri"/>
          <w:sz w:val="21"/>
        </w:rPr>
        <w:t>Identification des ressources de l’entreprise pouvant être mobilisées :</w:t>
      </w:r>
    </w:p>
    <w:p>
      <w:r>
        <w:rPr>
          <w:rFonts w:ascii="Calibri" w:hAnsi="Calibri"/>
          <w:sz w:val="21"/>
        </w:rPr>
        <w:t>Calendrier de mise en œuvre :</w:t>
      </w:r>
    </w:p>
    <w:p>
      <w:r>
        <w:rPr>
          <w:rFonts w:ascii="Calibri" w:hAnsi="Calibri"/>
          <w:sz w:val="21"/>
        </w:rPr>
        <w:t>Délai de mise en oeuvre : immediat</w:t>
      </w:r>
    </w:p>
    <w:p>
      <w:r>
        <w:rPr>
          <w:rFonts w:ascii="Calibri" w:hAnsi="Calibri"/>
          <w:sz w:val="21"/>
        </w:rPr>
        <w:t>Fait le :</w:t>
      </w:r>
    </w:p>
    <w:p>
      <w:r>
        <w:rPr>
          <w:rFonts w:ascii="Calibri" w:hAnsi="Calibri"/>
          <w:sz w:val="21"/>
        </w:rPr>
        <w:t>Fait le :</w:t>
      </w:r>
    </w:p>
    <w:sectPr w:rsidR="00FC693F" w:rsidRPr="0006063C" w:rsidSect="00034616">
      <w:headerReference w:type="default" r:id="rId9"/>
      <w:footerReference w:type="default" r:id="rId10"/>
      <w:pgSz w:w="12240" w:h="15840"/>
      <w:pgMar w:top="1701"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6"/>
      </w:rPr>
      <w:t xml:space="preserve">Azur Park · HSE 2026 · 29/04/2026    |    Page </w:t>
    </w:r>
    <w:r>
      <w:rPr>
        <w:rFonts w:ascii="Calibri" w:hAnsi="Calibri"/>
        <w:color w:val="6B7480"/>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160"/>
      <w:gridCol w:w="7200"/>
    </w:tblGrid>
    <w:tr>
      <w:tc>
        <w:tcPr>
          <w:tcW w:type="dxa" w:w="4680"/>
        </w:tcPr>
        <w:p>
          <w:r>
            <w:drawing>
              <wp:inline xmlns:a="http://schemas.openxmlformats.org/drawingml/2006/main" xmlns:pic="http://schemas.openxmlformats.org/drawingml/2006/picture">
                <wp:extent cx="822960" cy="576072"/>
                <wp:docPr id="1" name="Picture 1"/>
                <wp:cNvGraphicFramePr>
                  <a:graphicFrameLocks noChangeAspect="1"/>
                </wp:cNvGraphicFramePr>
                <a:graphic>
                  <a:graphicData uri="http://schemas.openxmlformats.org/drawingml/2006/picture">
                    <pic:pic>
                      <pic:nvPicPr>
                        <pic:cNvPr id="0" name="logo_azur.png"/>
                        <pic:cNvPicPr/>
                      </pic:nvPicPr>
                      <pic:blipFill>
                        <a:blip r:embed="rId1"/>
                        <a:stretch>
                          <a:fillRect/>
                        </a:stretch>
                      </pic:blipFill>
                      <pic:spPr>
                        <a:xfrm>
                          <a:off x="0" y="0"/>
                          <a:ext cx="822960" cy="576072"/>
                        </a:xfrm>
                        <a:prstGeom prst="rect"/>
                      </pic:spPr>
                    </pic:pic>
                  </a:graphicData>
                </a:graphic>
              </wp:inline>
            </w:drawing>
          </w:r>
        </w:p>
      </w:tc>
      <w:tc>
        <w:tcPr>
          <w:tcW w:type="dxa" w:w="4680"/>
        </w:tcPr>
        <w:p>
          <w:pPr>
            <w:jc w:val="right"/>
            <w:pBdr>
              <w:bottom w:val="single" w:sz="6" w:color="D9A41A"/>
            </w:pBdr>
          </w:pPr>
          <w:r>
            <w:rPr>
              <w:rFonts w:ascii="Calibri" w:hAnsi="Calibri"/>
              <w:color w:val="6B7480"/>
              <w:sz w:val="18"/>
            </w:rPr>
            <w:t>Plan de prévention Azur Park · 22/06/2023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3B7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3B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D9A4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