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A41A"/>
          <w:sz w:val="20"/>
        </w:rPr>
        <w:t>Annexe DUERP</w:t>
      </w:r>
    </w:p>
    <w:p>
      <w:pPr>
        <w:jc w:val="center"/>
      </w:pPr>
      <w:r>
        <w:rPr>
          <w:b/>
          <w:color w:val="0A3B7A"/>
          <w:sz w:val="40"/>
        </w:rPr>
        <w:t>Unité de Travail : Engins de levage et de manutention</w:t>
      </w:r>
    </w:p>
    <w:p/>
    <w:p>
      <w:pPr>
        <w:pBdr>
          <w:bottom w:val="single" w:sz="4" w:color="D9A41A"/>
        </w:pBdr>
      </w:pPr>
    </w:p>
    <w:p>
      <w:pPr>
        <w:pStyle w:val="Heading1"/>
      </w:pPr>
      <w:r>
        <w:t>1. Description de l'Unité de Travail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Cette unité de travail concerne l'utilisation des engins motorisés sur le site d'Azur Park pour les opérations de maintenance, montage/démontage des attractions, et manutention générale.</w:t>
      </w:r>
    </w:p>
    <w:p>
      <w:pPr>
        <w:pStyle w:val="Heading2"/>
      </w:pPr>
      <w:r>
        <w:t>Parc matériel identifié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Engin</w:t>
            </w:r>
          </w:p>
        </w:tc>
        <w:tc>
          <w:tcPr>
            <w:tcW w:type="dxa" w:w="288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Capacité</w:t>
            </w:r>
          </w:p>
        </w:tc>
        <w:tc>
          <w:tcPr>
            <w:tcW w:type="dxa" w:w="216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CACES requis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Manitou MT 1740 SLT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4 000 kg / 16,65 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R482 cat. F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Grue auxiliaire sur MAN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R490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Grue auxiliaire sur Renault Premium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R490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Fenwick — chariot élévateur frontal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 tonne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R489</w:t>
            </w:r>
          </w:p>
        </w:tc>
      </w:tr>
    </w:tbl>
    <w:p>
      <w:pPr>
        <w:pStyle w:val="Heading2"/>
      </w:pPr>
      <w:r>
        <w:t>Conducteurs autorisés (sous réserve de validité des habilitations)</w:t>
      </w:r>
    </w:p>
    <w:p>
      <w:r>
        <w:rPr>
          <w:color w:val="D9A41A"/>
        </w:rPr>
        <w:t xml:space="preserve">• </w:t>
      </w:r>
      <w:r>
        <w:rPr>
          <w:sz w:val="21"/>
        </w:rPr>
        <w:t>Paillon Serge</w:t>
      </w:r>
    </w:p>
    <w:p>
      <w:r>
        <w:rPr>
          <w:color w:val="D9A41A"/>
        </w:rPr>
        <w:t xml:space="preserve">• </w:t>
      </w:r>
      <w:r>
        <w:rPr>
          <w:sz w:val="21"/>
        </w:rPr>
        <w:t>Paillon Sam</w:t>
      </w:r>
    </w:p>
    <w:p>
      <w:r>
        <w:rPr>
          <w:color w:val="D9A41A"/>
        </w:rPr>
        <w:t xml:space="preserve">• </w:t>
      </w:r>
      <w:r>
        <w:rPr>
          <w:sz w:val="21"/>
        </w:rPr>
        <w:t>Lalot Reynald</w:t>
      </w:r>
    </w:p>
    <w:p>
      <w:r>
        <w:rPr>
          <w:color w:val="D9A41A"/>
        </w:rPr>
        <w:t xml:space="preserve">• </w:t>
      </w:r>
      <w:r>
        <w:rPr>
          <w:sz w:val="21"/>
        </w:rPr>
        <w:t>Canache Marian</w:t>
      </w:r>
    </w:p>
    <w:p>
      <w:pPr>
        <w:pStyle w:val="Heading1"/>
      </w:pPr>
      <w:r>
        <w:t>2. Évaluation des risques (Matrice G × 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160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Danger identifié</w:t>
            </w:r>
          </w:p>
        </w:tc>
        <w:tc>
          <w:tcPr>
            <w:tcW w:type="dxa" w:w="2448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Risque encouru</w:t>
            </w:r>
          </w:p>
        </w:tc>
        <w:tc>
          <w:tcPr>
            <w:tcW w:type="dxa" w:w="576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G</w:t>
            </w:r>
          </w:p>
        </w:tc>
        <w:tc>
          <w:tcPr>
            <w:tcW w:type="dxa" w:w="576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</w:t>
            </w:r>
          </w:p>
        </w:tc>
        <w:tc>
          <w:tcPr>
            <w:tcW w:type="dxa" w:w="576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</w:t>
            </w:r>
          </w:p>
        </w:tc>
        <w:tc>
          <w:tcPr>
            <w:tcW w:type="dxa" w:w="3024"/>
            <w:shd w:val="clear" w:color="auto" w:fill="0A3B7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Mesures de prévention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Circulation des engins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Heurt avec piéton (salarié ou public)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576"/>
            <w:shd w:val="clear" w:color="auto" w:fill="FBF3D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8"/>
              </w:rPr>
              <w:t>Vitesse limitée. Gyrophares et avertisseurs sonores de recul.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Levage de charges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Chute de la charge, écrasement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576"/>
            <w:shd w:val="clear" w:color="auto" w:fill="FBF3D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8"/>
              </w:rPr>
              <w:t>Respect des abaques (Manitou max 4 000 kg à 500 mm). Stabilisateurs hydrauliques.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Stabilité de l'engin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Renversement (dévers, sol meuble)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576"/>
            <w:shd w:val="clear" w:color="auto" w:fill="D6EFDD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8"/>
              </w:rPr>
              <w:t>Correcteur de dévers hydraulique sur le Manitou. Vérification du sol.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Utilisation non autorisée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Accident lié à l'incompétence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576"/>
            <w:shd w:val="clear" w:color="auto" w:fill="FBF3DC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8"/>
              </w:rPr>
              <w:t>Retrait des clés. Liste nominative des conducteurs autorisés.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Défaillance technique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Rupture hydraulique, perte de freinage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576"/>
            <w:shd w:val="clear" w:color="auto" w:fill="D6EFDD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18"/>
              </w:rPr>
              <w:t>Entretien régulier. Freins multidisques assistés.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/>
          <w:color w:val="6B7480"/>
          <w:sz w:val="18"/>
        </w:rPr>
        <w:t>Légende : G = Gravité (1 à 4), P = Probabilité (1 à 4), C = G × P. C ≥ 12 critique, 8-11 modéré, &lt; 8 faible.</w:t>
      </w:r>
    </w:p>
    <w:p>
      <w:pPr>
        <w:pStyle w:val="Heading1"/>
      </w:pPr>
      <w:r>
        <w:t>3. Plan d'action et mesures de prévention</w:t>
      </w:r>
    </w:p>
    <w:p>
      <w:pPr>
        <w:spacing w:after="40"/>
      </w:pPr>
      <w:r>
        <w:rPr>
          <w:rFonts w:ascii="Calibri" w:hAnsi="Calibri"/>
          <w:b/>
          <w:i w:val="0"/>
          <w:color w:val="0A3B7A"/>
          <w:sz w:val="22"/>
        </w:rPr>
        <w:t>1. Vérification des habilitations CACES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S'assurer que chaque conducteur possède le CACES correspondant à l'engin utilisé.</w:t>
      </w:r>
    </w:p>
    <w:p>
      <w:pPr>
        <w:spacing w:after="40"/>
      </w:pPr>
      <w:r>
        <w:rPr>
          <w:rFonts w:ascii="Calibri" w:hAnsi="Calibri"/>
          <w:b/>
          <w:i w:val="0"/>
          <w:color w:val="0A3B7A"/>
          <w:sz w:val="22"/>
        </w:rPr>
        <w:t>2. Aptitude médicale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Vérifier la validité de l'aptitude médicale délivrée par la médecine du travail pour chaque conducteur.</w:t>
      </w:r>
    </w:p>
    <w:p>
      <w:pPr>
        <w:spacing w:after="40"/>
      </w:pPr>
      <w:r>
        <w:rPr>
          <w:rFonts w:ascii="Calibri" w:hAnsi="Calibri"/>
          <w:b/>
          <w:i w:val="0"/>
          <w:color w:val="0A3B7A"/>
          <w:sz w:val="22"/>
        </w:rPr>
        <w:t>3. Autorisations de conduite internes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Rédiger, faire signer et conserver dans le dossier du personnel les autorisations nominatives pour les 4 conducteurs.</w:t>
      </w:r>
    </w:p>
    <w:p>
      <w:pPr>
        <w:spacing w:after="40"/>
      </w:pPr>
      <w:r>
        <w:rPr>
          <w:rFonts w:ascii="Calibri" w:hAnsi="Calibri"/>
          <w:b/>
          <w:i w:val="0"/>
          <w:color w:val="0A3B7A"/>
          <w:sz w:val="22"/>
        </w:rPr>
        <w:t>4. Vérifications Générales Périodiques (VGP)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S'assurer que tous les engins font l'objet d'une VGP tous les 6 mois par un organisme agréé. Conserver les rapports dans le registre de sécurité.</w:t>
      </w:r>
    </w:p>
    <w:p>
      <w:pPr>
        <w:spacing w:after="40"/>
      </w:pPr>
      <w:r>
        <w:rPr>
          <w:rFonts w:ascii="Calibri" w:hAnsi="Calibri"/>
          <w:b/>
          <w:i w:val="0"/>
          <w:color w:val="0A3B7A"/>
          <w:sz w:val="22"/>
        </w:rPr>
        <w:t>5. Règles de circulation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Définir des règles strictes : interdiction de circuler dans les allées ouvertes au public pendant les heures d'ouverture, sauf urgence absolue avec accompagnement piéton.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480"/>
        <w:sz w:val="16"/>
      </w:rPr>
      <w:t xml:space="preserve">Azur Park · HSE 2026 · 29/04/2026    |    Page </w:t>
    </w:r>
    <w:r>
      <w:rPr>
        <w:rFonts w:ascii="Calibri" w:hAnsi="Calibri"/>
        <w:color w:val="6B7480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160"/>
      <w:gridCol w:w="7200"/>
    </w:tblGrid>
    <w:tr>
      <w:tc>
        <w:tcPr>
          <w:tcW w:type="dxa" w:w="4680"/>
        </w:tcPr>
        <w:p>
          <w:r>
            <w:drawing>
              <wp:inline xmlns:a="http://schemas.openxmlformats.org/drawingml/2006/main" xmlns:pic="http://schemas.openxmlformats.org/drawingml/2006/picture">
                <wp:extent cx="822960" cy="57607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azu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5760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pBdr>
              <w:bottom w:val="single" w:sz="6" w:color="D9A41A"/>
            </w:pBdr>
          </w:pPr>
          <w:r>
            <w:rPr>
              <w:rFonts w:ascii="Calibri" w:hAnsi="Calibri"/>
              <w:color w:val="6B7480"/>
              <w:sz w:val="18"/>
            </w:rPr>
            <w:t>Volet Engins · DUERP Azur Park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3B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3B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D9A4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