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z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0A3B7A"/>
          <w:sz w:val="22"/>
          <w:spacing w:val="60"/>
        </w:rPr>
        <w:t>DUERP</w:t>
      </w:r>
    </w:p>
    <w:p>
      <w:pPr>
        <w:spacing w:after="240"/>
        <w:jc w:val="center"/>
      </w:pPr>
      <w:r>
        <w:rPr>
          <w:rFonts w:ascii="Calibri" w:hAnsi="Calibri"/>
          <w:b/>
          <w:color w:val="1A1F26"/>
          <w:sz w:val="56"/>
        </w:rPr>
        <w:t>Document Unique d'Évaluation des Risques Professionnels</w:t>
      </w:r>
    </w:p>
    <w:p>
      <w:pPr>
        <w:jc w:val="center"/>
      </w:pPr>
      <w:r>
        <w:rPr>
          <w:rFonts w:ascii="Calibri" w:hAnsi="Calibri"/>
          <w:color w:val="6B7480"/>
          <w:sz w:val="28"/>
        </w:rPr>
        <w:t>Édition 2026 v4 — consolidé</w:t>
      </w: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2"/>
              </w:rPr>
              <w:t>Établissement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2"/>
              </w:rPr>
              <w:t>Azur Park</w:t>
            </w:r>
          </w:p>
        </w:tc>
      </w:tr>
      <w:tr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2"/>
              </w:rPr>
              <w:t>Adresse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2"/>
              </w:rPr>
              <w:t>RD 598A, 83580 Gassin (Var)</w:t>
            </w:r>
          </w:p>
        </w:tc>
      </w:tr>
      <w:tr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2"/>
              </w:rPr>
              <w:t>Responsable Sécurité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2"/>
              </w:rPr>
              <w:t>Sam Paillon</w:t>
            </w:r>
          </w:p>
        </w:tc>
      </w:tr>
      <w:tr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2"/>
              </w:rPr>
              <w:t>Date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2"/>
              </w:rPr>
              <w:t>29 Avril 2026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8" w:space="4" w:color="D9A41A"/>
        </w:pBdr>
      </w:pPr>
      <w:r>
        <w:rPr>
          <w:rFonts w:ascii="Calibri" w:hAnsi="Calibri"/>
          <w:b/>
          <w:color w:val="0A3B7A"/>
          <w:sz w:val="40"/>
        </w:rPr>
        <w:t>Sommaire</w:t>
      </w:r>
    </w:p>
    <w:p>
      <w:pPr>
        <w:tabs>
          <w:tab w:pos="8504" w:val="right" w:leader="dot"/>
        </w:tabs>
        <w:spacing w:after="160"/>
      </w:pPr>
      <w:r>
        <w:rPr>
          <w:rFonts w:ascii="Calibri" w:hAnsi="Calibri"/>
          <w:color w:val="1A1F26"/>
          <w:sz w:val="22"/>
        </w:rPr>
        <w:t>PARTIE 1 — Présentation de l'établissement</w:t>
      </w:r>
      <w:r>
        <w:rPr>
          <w:rFonts w:ascii="Calibri" w:hAnsi="Calibri"/>
        </w:rPr>
        <w:tab/>
      </w:r>
      <w:r>
        <w:rPr>
          <w:rFonts w:ascii="Calibri" w:hAnsi="Calibri"/>
          <w:color w:val="6B7480"/>
          <w:sz w:val="22"/>
        </w:rPr>
        <w:t>p. 3</w:t>
      </w:r>
    </w:p>
    <w:p>
      <w:pPr>
        <w:tabs>
          <w:tab w:pos="8504" w:val="right" w:leader="dot"/>
        </w:tabs>
        <w:spacing w:after="160"/>
      </w:pPr>
      <w:r>
        <w:rPr>
          <w:rFonts w:ascii="Calibri" w:hAnsi="Calibri"/>
          <w:color w:val="1A1F26"/>
          <w:sz w:val="22"/>
        </w:rPr>
        <w:t>PARTIE 2 — Gouvernance HSE et acteurs</w:t>
      </w:r>
      <w:r>
        <w:rPr>
          <w:rFonts w:ascii="Calibri" w:hAnsi="Calibri"/>
        </w:rPr>
        <w:tab/>
      </w:r>
      <w:r>
        <w:rPr>
          <w:rFonts w:ascii="Calibri" w:hAnsi="Calibri"/>
          <w:color w:val="6B7480"/>
          <w:sz w:val="22"/>
        </w:rPr>
        <w:t>p. 4</w:t>
      </w:r>
    </w:p>
    <w:p>
      <w:pPr>
        <w:tabs>
          <w:tab w:pos="8504" w:val="right" w:leader="dot"/>
        </w:tabs>
        <w:spacing w:after="160"/>
      </w:pPr>
      <w:r>
        <w:rPr>
          <w:rFonts w:ascii="Calibri" w:hAnsi="Calibri"/>
          <w:color w:val="1A1F26"/>
          <w:sz w:val="22"/>
        </w:rPr>
        <w:t>PARTIE 3 — Méthodologie d'évaluation</w:t>
      </w:r>
      <w:r>
        <w:rPr>
          <w:rFonts w:ascii="Calibri" w:hAnsi="Calibri"/>
        </w:rPr>
        <w:tab/>
      </w:r>
      <w:r>
        <w:rPr>
          <w:rFonts w:ascii="Calibri" w:hAnsi="Calibri"/>
          <w:color w:val="6B7480"/>
          <w:sz w:val="22"/>
        </w:rPr>
        <w:t>p. 5</w:t>
      </w:r>
    </w:p>
    <w:p>
      <w:pPr>
        <w:tabs>
          <w:tab w:pos="8504" w:val="right" w:leader="dot"/>
        </w:tabs>
        <w:spacing w:after="160"/>
      </w:pPr>
      <w:r>
        <w:rPr>
          <w:rFonts w:ascii="Calibri" w:hAnsi="Calibri"/>
          <w:color w:val="1A1F26"/>
          <w:sz w:val="22"/>
        </w:rPr>
        <w:t>PARTIE 4 — Synthèse de l'évaluation des risques (RISC-4)</w:t>
      </w:r>
      <w:r>
        <w:rPr>
          <w:rFonts w:ascii="Calibri" w:hAnsi="Calibri"/>
        </w:rPr>
        <w:tab/>
      </w:r>
      <w:r>
        <w:rPr>
          <w:rFonts w:ascii="Calibri" w:hAnsi="Calibri"/>
          <w:color w:val="6B7480"/>
          <w:sz w:val="22"/>
        </w:rPr>
        <w:t>p. 6</w:t>
      </w:r>
    </w:p>
    <w:p>
      <w:pPr>
        <w:tabs>
          <w:tab w:pos="8504" w:val="right" w:leader="dot"/>
        </w:tabs>
        <w:spacing w:after="160"/>
      </w:pPr>
      <w:r>
        <w:rPr>
          <w:rFonts w:ascii="Calibri" w:hAnsi="Calibri"/>
          <w:color w:val="1A1F26"/>
          <w:sz w:val="22"/>
        </w:rPr>
        <w:t>PARTIE 5 — Plan d'action consolidé 2023-2025</w:t>
      </w:r>
      <w:r>
        <w:rPr>
          <w:rFonts w:ascii="Calibri" w:hAnsi="Calibri"/>
        </w:rPr>
        <w:tab/>
      </w:r>
      <w:r>
        <w:rPr>
          <w:rFonts w:ascii="Calibri" w:hAnsi="Calibri"/>
          <w:color w:val="6B7480"/>
          <w:sz w:val="22"/>
        </w:rPr>
        <w:t>p. 8</w:t>
      </w:r>
    </w:p>
    <w:p>
      <w:pPr>
        <w:tabs>
          <w:tab w:pos="8504" w:val="right" w:leader="dot"/>
        </w:tabs>
        <w:spacing w:after="160"/>
      </w:pPr>
      <w:r>
        <w:rPr>
          <w:rFonts w:ascii="Calibri" w:hAnsi="Calibri"/>
          <w:color w:val="1A1F26"/>
          <w:sz w:val="22"/>
        </w:rPr>
        <w:t>PARTIE 6 — Démarches de prévention validées (REX)</w:t>
      </w:r>
      <w:r>
        <w:rPr>
          <w:rFonts w:ascii="Calibri" w:hAnsi="Calibri"/>
        </w:rPr>
        <w:tab/>
      </w:r>
      <w:r>
        <w:rPr>
          <w:rFonts w:ascii="Calibri" w:hAnsi="Calibri"/>
          <w:color w:val="6B7480"/>
          <w:sz w:val="22"/>
        </w:rPr>
        <w:t>p. 10</w:t>
      </w:r>
    </w:p>
    <w:p>
      <w:pPr>
        <w:tabs>
          <w:tab w:pos="8504" w:val="right" w:leader="dot"/>
        </w:tabs>
        <w:spacing w:after="160"/>
      </w:pPr>
      <w:r>
        <w:rPr>
          <w:rFonts w:ascii="Calibri" w:hAnsi="Calibri"/>
          <w:color w:val="1A1F26"/>
          <w:sz w:val="22"/>
        </w:rPr>
        <w:t>PARTIE 7 — Annexes et traçabilité réglementaire</w:t>
      </w:r>
      <w:r>
        <w:rPr>
          <w:rFonts w:ascii="Calibri" w:hAnsi="Calibri"/>
        </w:rPr>
        <w:tab/>
      </w:r>
      <w:r>
        <w:rPr>
          <w:rFonts w:ascii="Calibri" w:hAnsi="Calibri"/>
          <w:color w:val="6B7480"/>
          <w:sz w:val="22"/>
        </w:rPr>
        <w:t>p. 11</w:t>
      </w:r>
    </w:p>
    <w:p>
      <w:pPr>
        <w:tabs>
          <w:tab w:pos="8504" w:val="right" w:leader="dot"/>
        </w:tabs>
        <w:spacing w:after="160"/>
      </w:pPr>
      <w:r>
        <w:rPr>
          <w:rFonts w:ascii="Calibri" w:hAnsi="Calibri"/>
          <w:color w:val="1A1F26"/>
          <w:sz w:val="22"/>
        </w:rPr>
        <w:t>PARTIE 8 — Engagement de la direction et signatures</w:t>
      </w:r>
      <w:r>
        <w:rPr>
          <w:rFonts w:ascii="Calibri" w:hAnsi="Calibri"/>
        </w:rPr>
        <w:tab/>
      </w:r>
      <w:r>
        <w:rPr>
          <w:rFonts w:ascii="Calibri" w:hAnsi="Calibri"/>
          <w:color w:val="6B7480"/>
          <w:sz w:val="22"/>
        </w:rPr>
        <w:t>p. 12</w:t>
      </w:r>
    </w:p>
    <w:p>
      <w:r>
        <w:br w:type="page"/>
      </w:r>
    </w:p>
    <w:p>
      <w:pPr>
        <w:spacing w:before="400" w:after="200"/>
        <w:pBdr>
          <w:bottom w:val="single" w:sz="8" w:space="4" w:color="D9A41A"/>
        </w:pBdr>
      </w:pPr>
      <w:r>
        <w:rPr>
          <w:rFonts w:ascii="Calibri" w:hAnsi="Calibri"/>
          <w:b/>
          <w:color w:val="0A3B7A"/>
          <w:sz w:val="40"/>
        </w:rPr>
        <w:t>PARTIE 1 — Présentation de l'établissement</w:t>
      </w:r>
    </w:p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1.1. Identité de l'établissement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0"/>
              </w:rPr>
              <w:t>Dénomination commerciale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Azur Park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0"/>
              </w:rPr>
              <w:t>Adresse postale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RD 598A, 83580 Gassin (Var)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0"/>
              </w:rPr>
              <w:t>Activité principale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Parc d'attractions saisonnier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0"/>
              </w:rPr>
              <w:t>Saisonnalité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Avril à septembre — ouverture publique 18h-1h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0"/>
              </w:rPr>
              <w:t>Capacité ERP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5 000 personnes maximum (à reconfirmer)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0"/>
              </w:rPr>
              <w:t>Structure juridique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À confirmer (extrait Kbis)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0"/>
              </w:rPr>
              <w:t>Effectifs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CDI, CDD, intérimaires, saisonniers (logés sur place)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0"/>
              </w:rPr>
              <w:t>Date d'élaboration du DUERP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29/04/2026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1.2. Cadre réglementaire applicable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Référence</w:t>
            </w:r>
          </w:p>
        </w:tc>
        <w:tc>
          <w:tcPr>
            <w:tcW w:type="dxa" w:w="4703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Objet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Article L.4121-1 et suivants du Code du travail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Obligation générale de sécurité de l'employeur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Article R.4121-1 à R.4121-4 du Code du travail</w:t>
            </w:r>
          </w:p>
        </w:tc>
        <w:tc>
          <w:tcPr>
            <w:tcW w:type="dxa" w:w="4703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Obligation d'évaluation des risques (DUERP) et mise à jour annuelle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Loi n° 2008-136 du 13 février 2008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Sécurité des manèges, machines et installations forains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Décret n° 2008-1458 du 30 décembre 2008</w:t>
            </w:r>
          </w:p>
        </w:tc>
        <w:tc>
          <w:tcPr>
            <w:tcW w:type="dxa" w:w="4703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Contrôles techniques des manèges (CEEV)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Décret n° 2018-1186 du 19 décembre 2018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Obligation DAE pour les ERP de catégories 1 à 4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Article R.4323-55 du Code du travail</w:t>
            </w:r>
          </w:p>
        </w:tc>
        <w:tc>
          <w:tcPr>
            <w:tcW w:type="dxa" w:w="4703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Autorisation de conduite nominative obligatoire pour engins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Arrêté du 26 septembre 2025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Formation à la conduite (CACES) — refonte référentielle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8" w:space="4" w:color="D9A41A"/>
        </w:pBdr>
      </w:pPr>
      <w:r>
        <w:rPr>
          <w:rFonts w:ascii="Calibri" w:hAnsi="Calibri"/>
          <w:b/>
          <w:color w:val="0A3B7A"/>
          <w:sz w:val="40"/>
        </w:rPr>
        <w:t>PARTIE 2 — Gouvernance HSE et acteurs</w:t>
      </w:r>
    </w:p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2.1. Organisation HSE</w:t>
      </w:r>
    </w:p>
    <w:p>
      <w:r>
        <w:rPr>
          <w:rFonts w:ascii="Calibri" w:hAnsi="Calibri"/>
          <w:color w:val="1A1F26"/>
          <w:sz w:val="22"/>
        </w:rPr>
        <w:t xml:space="preserve">La gouvernance HSE d'Azur Park repose sur une responsabilité directe de la direction, appuyée par un référent sécurité interne et un consultant externe spécialisé. L'historique de prévention couvre </w:t>
      </w:r>
      <w:r>
        <w:rPr>
          <w:rFonts w:ascii="Calibri" w:hAnsi="Calibri"/>
          <w:b/>
          <w:color w:val="1A1F26"/>
          <w:sz w:val="22"/>
        </w:rPr>
        <w:t>13 années</w:t>
      </w:r>
      <w:r>
        <w:rPr>
          <w:rFonts w:ascii="Calibri" w:hAnsi="Calibri"/>
          <w:color w:val="1A1F26"/>
          <w:sz w:val="22"/>
        </w:rPr>
        <w:t xml:space="preserve"> (2013-2026), avec des visites régulières et une démarche d'amélioration continue.</w:t>
      </w:r>
    </w:p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2.2. Acteurs identifiés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Personne</w:t>
            </w:r>
          </w:p>
        </w:tc>
        <w:tc>
          <w:tcPr>
            <w:tcW w:type="dxa" w:w="3135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Fonction</w:t>
            </w:r>
          </w:p>
        </w:tc>
        <w:tc>
          <w:tcPr>
            <w:tcW w:type="dxa" w:w="3135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Sam Paillon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Responsable Sécurité et Exploitation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Actif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Serge Paillon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Gérant historique (créé en 2013)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À reconfirmer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David Museur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Consultant HSE — RiskAttitude (2013-2023) puis SECURE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Actif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Géry Cogen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Opérateur de manèges et technicien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Listé en 2013, à reconfirmer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Brigitte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Secrétaire générale (3 entités historiques)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Listée en 2013, à reconfirmer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Reynald Lalot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Conducteur d'engins (formation à valider)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À former CACES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Canache Marian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Conducteur d'engins (formation à valider)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À former CACES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2.3. Conducteurs d'engins identifiés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Conducteur</w:t>
            </w:r>
          </w:p>
        </w:tc>
        <w:tc>
          <w:tcPr>
            <w:tcW w:type="dxa" w:w="235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Engins concernés</w:t>
            </w:r>
          </w:p>
        </w:tc>
        <w:tc>
          <w:tcPr>
            <w:tcW w:type="dxa" w:w="235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CACES requis</w:t>
            </w:r>
          </w:p>
        </w:tc>
        <w:tc>
          <w:tcPr>
            <w:tcW w:type="dxa" w:w="235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Paillon Serge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Manitou + Grues + Fenwick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R482 F + R490 + R489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À vérifier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Paillon Sam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Manitou + Grues + Fenwick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R482 F + R490 + R489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À vérifier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Lalot Reynald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Manitou + Grues + Fenwick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R482 F + R490 + R489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À vérifier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Canache Marian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Manitou + Grues + Fenwick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R482 F + R490 + R489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À vérifier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8" w:space="4" w:color="D9A41A"/>
        </w:pBdr>
      </w:pPr>
      <w:r>
        <w:rPr>
          <w:rFonts w:ascii="Calibri" w:hAnsi="Calibri"/>
          <w:b/>
          <w:color w:val="0A3B7A"/>
          <w:sz w:val="40"/>
        </w:rPr>
        <w:t>PARTIE 3 — Méthodologie d'évaluation</w:t>
      </w:r>
    </w:p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3.1. Référentiel utilisé</w:t>
      </w:r>
    </w:p>
    <w:p>
      <w:r>
        <w:rPr>
          <w:rFonts w:ascii="Calibri" w:hAnsi="Calibri"/>
          <w:color w:val="1A1F26"/>
          <w:sz w:val="22"/>
        </w:rPr>
        <w:t xml:space="preserve">L'évaluation des risques s'appuie sur le référentiel </w:t>
      </w:r>
      <w:r>
        <w:rPr>
          <w:rFonts w:ascii="Calibri" w:hAnsi="Calibri"/>
          <w:b/>
          <w:color w:val="1A1F26"/>
          <w:sz w:val="22"/>
        </w:rPr>
        <w:t>RISC-4</w:t>
      </w:r>
      <w:r>
        <w:rPr>
          <w:rFonts w:ascii="Calibri" w:hAnsi="Calibri"/>
          <w:color w:val="1A1F26"/>
          <w:sz w:val="22"/>
        </w:rPr>
        <w:t xml:space="preserve">, qui structure l'analyse en </w:t>
      </w:r>
      <w:r>
        <w:rPr>
          <w:rFonts w:ascii="Calibri" w:hAnsi="Calibri"/>
          <w:b/>
          <w:color w:val="1A1F26"/>
          <w:sz w:val="22"/>
        </w:rPr>
        <w:t>9 familles de risques</w:t>
      </w:r>
      <w:r>
        <w:rPr>
          <w:rFonts w:ascii="Calibri" w:hAnsi="Calibri"/>
          <w:color w:val="1A1F26"/>
          <w:sz w:val="22"/>
        </w:rPr>
        <w:t xml:space="preserve"> couvrant </w:t>
      </w:r>
      <w:r>
        <w:rPr>
          <w:rFonts w:ascii="Calibri" w:hAnsi="Calibri"/>
          <w:b/>
          <w:color w:val="1A1F26"/>
          <w:sz w:val="22"/>
        </w:rPr>
        <w:t>839 critères</w:t>
      </w:r>
      <w:r>
        <w:rPr>
          <w:rFonts w:ascii="Calibri" w:hAnsi="Calibri"/>
          <w:color w:val="1A1F26"/>
          <w:sz w:val="22"/>
        </w:rPr>
        <w:t xml:space="preserve"> d'évaluation. Chaque critère est noté sur l'échelle suivante 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</w:t>
            </w:r>
          </w:p>
        </w:tc>
        <w:tc>
          <w:tcPr>
            <w:tcW w:type="dxa" w:w="3135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Signification</w:t>
            </w:r>
          </w:p>
        </w:tc>
        <w:tc>
          <w:tcPr>
            <w:tcW w:type="dxa" w:w="3135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Pondération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Critère pleinement satisfait (OUI)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Conformité maximale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Critère majoritairement satisfait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Quasi-conforme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Critère partiellement satisfait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Action requise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Critère non satisfait (NON)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Non-conformité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Critère sans objet (SO)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Non applicable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3.2. Calcul de la note</w:t>
      </w:r>
    </w:p>
    <w:p>
      <w:r>
        <w:rPr>
          <w:rFonts w:ascii="Calibri" w:hAnsi="Calibri"/>
          <w:color w:val="1A1F26"/>
          <w:sz w:val="22"/>
        </w:rPr>
        <w:t>Note globale = (Σ notes obtenues / (3 × nombre de critères évalués)) × 20</w:t>
      </w:r>
    </w:p>
    <w:p>
      <w:r>
        <w:rPr>
          <w:rFonts w:ascii="Calibri" w:hAnsi="Calibri"/>
          <w:color w:val="1A1F26"/>
          <w:sz w:val="22"/>
        </w:rPr>
        <w:t xml:space="preserve">Les critères « Sans Objet » sont </w:t>
      </w:r>
      <w:r>
        <w:rPr>
          <w:rFonts w:ascii="Calibri" w:hAnsi="Calibri"/>
          <w:b/>
          <w:color w:val="1A1F26"/>
          <w:sz w:val="22"/>
        </w:rPr>
        <w:t>exclus du dénominateur</w:t>
      </w:r>
      <w:r>
        <w:rPr>
          <w:rFonts w:ascii="Calibri" w:hAnsi="Calibri"/>
          <w:color w:val="1A1F26"/>
          <w:sz w:val="22"/>
        </w:rPr>
        <w:t>. L'échelle est ramenée sur 20 pour la lisibilité.</w:t>
      </w:r>
    </w:p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3.3. Sources d'évaluation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135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Visite</w:t>
            </w:r>
          </w:p>
        </w:tc>
        <w:tc>
          <w:tcPr>
            <w:tcW w:type="dxa" w:w="3135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Consultant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06/05/2013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Visite initiale (3 entités SARL)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RiskAttitude — David Museur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22/06/2023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Plan de prévention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RiskAttitude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10/08/2024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Mise à jour DU + saisie complète RISC-4 (839 critères)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David Museur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09/07/2025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Visite de sécurité — risque VITAL identifié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SECURE — David Museur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11/07/2025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Suivi des actions correctives (48 h après)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SECURE — David Museur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8" w:space="4" w:color="D9A41A"/>
        </w:pBdr>
      </w:pPr>
      <w:r>
        <w:rPr>
          <w:rFonts w:ascii="Calibri" w:hAnsi="Calibri"/>
          <w:b/>
          <w:color w:val="0A3B7A"/>
          <w:sz w:val="40"/>
        </w:rPr>
        <w:t>PARTIE 4 — Synthèse de l'évaluation RISC-4</w:t>
      </w:r>
    </w:p>
    <w:p>
      <w:pPr>
        <w:jc w:val="center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BF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A3B7A"/>
                <w:sz w:val="18"/>
              </w:rPr>
              <w:t>NOTE GLOBALE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A1F26"/>
                <w:sz w:val="56"/>
              </w:rPr>
              <w:t>17.4 / 20</w:t>
            </w:r>
          </w:p>
          <w:p>
            <w:pPr>
              <w:jc w:val="center"/>
            </w:pPr>
            <w:r>
              <w:rPr>
                <w:rFonts w:ascii="Calibri" w:hAnsi="Calibri"/>
                <w:color w:val="6B7480"/>
                <w:sz w:val="18"/>
              </w:rPr>
              <w:t>Sur 733 critères évalués</w:t>
            </w:r>
          </w:p>
        </w:tc>
        <w:tc>
          <w:tcPr>
            <w:tcW w:type="dxa" w:w="3135"/>
            <w:shd w:val="clear" w:color="auto" w:fill="F0F4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A3B7A"/>
                <w:sz w:val="18"/>
              </w:rPr>
              <w:t>CONFORMITÉ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A1F26"/>
                <w:sz w:val="56"/>
              </w:rPr>
              <w:t>74,4 %</w:t>
            </w:r>
          </w:p>
          <w:p>
            <w:pPr>
              <w:jc w:val="center"/>
            </w:pPr>
            <w:r>
              <w:rPr>
                <w:rFonts w:ascii="Calibri" w:hAnsi="Calibri"/>
                <w:color w:val="6B7480"/>
                <w:sz w:val="18"/>
              </w:rPr>
              <w:t>624 critères « OUI » sur 839</w:t>
            </w:r>
          </w:p>
        </w:tc>
        <w:tc>
          <w:tcPr>
            <w:tcW w:type="dxa" w:w="3135"/>
            <w:shd w:val="clear" w:color="auto" w:fill="FCE7E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A3B7A"/>
                <w:sz w:val="18"/>
              </w:rPr>
              <w:t>ACTION VITALE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A1F26"/>
                <w:sz w:val="56"/>
              </w:rPr>
              <w:t>1</w:t>
            </w:r>
          </w:p>
          <w:p>
            <w:pPr>
              <w:jc w:val="center"/>
            </w:pPr>
            <w:r>
              <w:rPr>
                <w:rFonts w:ascii="Calibri" w:hAnsi="Calibri"/>
                <w:color w:val="6B7480"/>
                <w:sz w:val="18"/>
              </w:rPr>
              <w:t>Sécurisation électrique extérieure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4.1. Notes par famille de risque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344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Famille de risque</w:t>
            </w:r>
          </w:p>
        </w:tc>
        <w:tc>
          <w:tcPr>
            <w:tcW w:type="dxa" w:w="1344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OUI</w:t>
            </w:r>
          </w:p>
        </w:tc>
        <w:tc>
          <w:tcPr>
            <w:tcW w:type="dxa" w:w="1344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NON</w:t>
            </w:r>
          </w:p>
        </w:tc>
        <w:tc>
          <w:tcPr>
            <w:tcW w:type="dxa" w:w="1344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Partiels</w:t>
            </w:r>
          </w:p>
        </w:tc>
        <w:tc>
          <w:tcPr>
            <w:tcW w:type="dxa" w:w="1344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</w:t>
            </w:r>
          </w:p>
        </w:tc>
        <w:tc>
          <w:tcPr>
            <w:tcW w:type="dxa" w:w="1344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 /20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Organisation interne de l'entreprise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78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28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15.60</w:t>
            </w:r>
          </w:p>
        </w:tc>
      </w:tr>
      <w:tr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Risques psycho-sociaux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81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16.83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Risques des manutentions manuelles et mécaniques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69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16.86</w:t>
            </w:r>
          </w:p>
        </w:tc>
      </w:tr>
      <w:tr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Risques physiques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119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17.05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Risques biologiques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17.38</w:t>
            </w:r>
          </w:p>
        </w:tc>
      </w:tr>
      <w:tr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Risques d'incendie et d'explosion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66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17.84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Risques chimiques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69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18.27</w:t>
            </w:r>
          </w:p>
        </w:tc>
      </w:tr>
      <w:tr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Risques routiers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344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18.48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Risques des circulations et déplacements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89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  <w:t>19.56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4.2. Risques majeurs identifiés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Risque</w:t>
            </w:r>
          </w:p>
        </w:tc>
        <w:tc>
          <w:tcPr>
            <w:tcW w:type="dxa" w:w="235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Localisation</w:t>
            </w:r>
          </w:p>
        </w:tc>
        <w:tc>
          <w:tcPr>
            <w:tcW w:type="dxa" w:w="235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Niveau</w:t>
            </w:r>
          </w:p>
        </w:tc>
        <w:tc>
          <w:tcPr>
            <w:tcW w:type="dxa" w:w="235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Statut au 11/07/2025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Équipement électrique au sol en environnement humide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Zone extérieure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VITAL (25/25)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EN ATTENTE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Stockage produits chimiques incompatibles sans rétention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Atelier principal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Critique (5/5)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En cours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Stockage huile sous tableau électrique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Atelier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Critique (5/5)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✅ Résolu (déplacé)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Absence bacs de rétention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Stockage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Élevé (12/25)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✅ Résolu (installés)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Absence DAE (obligation depuis 01/01/2022)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ERP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Non-conformité réglementaire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À acquérir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Formations personnel expirées (incendie 2022)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Tout le site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Non-conformité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À recycler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8" w:space="4" w:color="D9A41A"/>
        </w:pBdr>
      </w:pPr>
      <w:r>
        <w:rPr>
          <w:rFonts w:ascii="Calibri" w:hAnsi="Calibri"/>
          <w:b/>
          <w:color w:val="0A3B7A"/>
          <w:sz w:val="40"/>
        </w:rPr>
        <w:t>PARTIE 5 — Plan d'action consolidé 2023-2025</w:t>
      </w:r>
    </w:p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5.1. Actions 2023 (6 actions)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88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88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Criticité</w:t>
            </w:r>
          </w:p>
        </w:tc>
        <w:tc>
          <w:tcPr>
            <w:tcW w:type="dxa" w:w="188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Délai</w:t>
            </w:r>
          </w:p>
        </w:tc>
        <w:tc>
          <w:tcPr>
            <w:tcW w:type="dxa" w:w="188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2023-5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Mettre en place un registre de sécurité incendie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Faible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Sous 2 mois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À vérifier</w:t>
            </w:r>
          </w:p>
        </w:tc>
      </w:tr>
      <w:tr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2023-6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Suppression de l'acétone (remplacement par produit moins inflammable)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Critique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 mois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À vérifier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2023-7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Extincteurs visibles et accessibles en permanence (non obstrués)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Critique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1 mois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Réalisé selon CR 10/08/2024</w:t>
            </w:r>
          </w:p>
        </w:tc>
      </w:tr>
      <w:tr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2023-9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Stockage bouteilles de gaz : verticales, arrimées, distance 6 m oxygène/comburant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Critique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Permanent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À vérifier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2023-10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Éloigner les liquides inflammables des tableaux électriques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Critique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Immédiat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Réalisé 11/07/2025</w:t>
            </w:r>
          </w:p>
        </w:tc>
      </w:tr>
      <w:tr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2023-11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Installer des bacs de rétention sous les liquides inflammables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Faible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Immédiat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Réalisé 11/07/2025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5.2. Actions 2024 (5 actions)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88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88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Criticité</w:t>
            </w:r>
          </w:p>
        </w:tc>
        <w:tc>
          <w:tcPr>
            <w:tcW w:type="dxa" w:w="188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Délai</w:t>
            </w:r>
          </w:p>
        </w:tc>
        <w:tc>
          <w:tcPr>
            <w:tcW w:type="dxa" w:w="188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2024-1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Mise à jour des fiches manèges (Sam fournit la liste)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Modéré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Continu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En cours</w:t>
            </w:r>
          </w:p>
        </w:tc>
      </w:tr>
      <w:tr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2024-2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Scannage et intégration des rapports de vérification dans le DU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Modéré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Continu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En cours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2024-3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Remplacement des néons d'atelier par luminaires étanches IP55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Modéré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1 mois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À vérifier</w:t>
            </w:r>
          </w:p>
        </w:tc>
      </w:tr>
      <w:tr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2024-4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Stockage huiles inflammables à &gt;1 m de toute source d'énergie électrique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Critique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Immédiat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Réalisé 11/07/2025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2024-5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Acquisition caméra thermique pour thermographie infrarouge (préventive)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Recommandation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À planifier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À étudier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5.3. Actions 2025 (10 actions)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88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88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Criticité</w:t>
            </w:r>
          </w:p>
        </w:tc>
        <w:tc>
          <w:tcPr>
            <w:tcW w:type="dxa" w:w="188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Délai</w:t>
            </w:r>
          </w:p>
        </w:tc>
        <w:tc>
          <w:tcPr>
            <w:tcW w:type="dxa" w:w="188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2025-1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Sécurisation équipement électrique au sol (extérieur, environnement humide)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VITAL (25/25)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24 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EN ATTENTE — non résolu au 11/07/2025</w:t>
            </w:r>
          </w:p>
        </w:tc>
      </w:tr>
      <w:tr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2025-2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Séparation des produits chimiques incompatibles + bacs de rétention 110 %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Critique (5/5)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48 h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En cours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2025-3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Acquisition DAE semi-automatique + formation 2 personnes (obligation depuis 1er janvier 2022)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Non-conformité réglementaire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Septembre 2025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À planifier</w:t>
            </w:r>
          </w:p>
        </w:tc>
      </w:tr>
      <w:tr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2025-4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Recyclage formation incendie (10 % du personnel — dernière session 2022, expirée)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Non-conformité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Septembre 2025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À planifier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2025-5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Formation manipulation produits chimiques (5 personnes, jamais formées)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Manquant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Août 2025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À planifier</w:t>
            </w:r>
          </w:p>
        </w:tc>
      </w:tr>
      <w:tr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2025-6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Formation travail en hauteur (3 personnes, jamais formées)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Manquant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Octobre 2025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À planifier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2025-7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Renouvellement des autorisations de conduite (4 conducteurs, dernière 2020 — expirée)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Non-conformité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Décembre 2025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À engager (modèles préparés)</w:t>
            </w:r>
          </w:p>
        </w:tc>
      </w:tr>
      <w:tr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2025-8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Pose de garde-corps sur étagères de stockage en hauteur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Modéré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 mois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À planifier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2025-9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Installation ventilation mécanique zone stockage chimique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Modéré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1 mois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À planifier</w:t>
            </w:r>
          </w:p>
        </w:tc>
      </w:tr>
      <w:tr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2025-10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Débroussaillage zones extérieures (juin-septembre)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Modéré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Saisonnier</w:t>
            </w:r>
          </w:p>
        </w:tc>
        <w:tc>
          <w:tcPr>
            <w:tcW w:type="dxa" w:w="188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À planifier</w:t>
            </w:r>
          </w:p>
        </w:tc>
      </w:tr>
    </w:tbl>
    <w:p/>
    <w:p>
      <w:r>
        <w:br w:type="page"/>
      </w:r>
    </w:p>
    <w:p>
      <w:pPr>
        <w:spacing w:before="400" w:after="200"/>
        <w:pBdr>
          <w:bottom w:val="single" w:sz="8" w:space="4" w:color="D9A41A"/>
        </w:pBdr>
      </w:pPr>
      <w:r>
        <w:rPr>
          <w:rFonts w:ascii="Calibri" w:hAnsi="Calibri"/>
          <w:b/>
          <w:color w:val="0A3B7A"/>
          <w:sz w:val="40"/>
        </w:rPr>
        <w:t>PARTIE 6 — Démarches de prévention validées (REX)</w:t>
      </w:r>
    </w:p>
    <w:p>
      <w:r>
        <w:rPr>
          <w:rFonts w:ascii="Calibri" w:hAnsi="Calibri"/>
          <w:color w:val="1A1F26"/>
          <w:sz w:val="22"/>
        </w:rPr>
        <w:t>Cette partie consigne les démarches mises en place par Sam Paillon et formellement validées par David Museur (consultant SECURE, anciennement RiskAttitude).</w:t>
      </w:r>
    </w:p>
    <w:p>
      <w:pPr>
        <w:spacing w:before="200" w:after="80"/>
      </w:pPr>
      <w:r>
        <w:rPr>
          <w:rFonts w:ascii="Calibri" w:hAnsi="Calibri"/>
          <w:b/>
          <w:color w:val="1A1F26"/>
          <w:sz w:val="26"/>
        </w:rPr>
        <w:t>Contrôle systématique des EPI</w:t>
      </w:r>
    </w:p>
    <w:p>
      <w:r>
        <w:rPr>
          <w:rFonts w:ascii="Calibri" w:hAnsi="Calibri"/>
          <w:color w:val="1A1F26"/>
          <w:sz w:val="22"/>
        </w:rPr>
        <w:t>Vérification que chaque employé dispose des protections nécessaires</w:t>
      </w:r>
    </w:p>
    <w:p>
      <w:r>
        <w:rPr>
          <w:rFonts w:ascii="Calibri" w:hAnsi="Calibri"/>
          <w:i/>
          <w:color w:val="1B6A3A"/>
          <w:sz w:val="20"/>
        </w:rPr>
        <w:t>✓ Validée par David Museur (CR 10/08/2024)</w:t>
      </w:r>
    </w:p>
    <w:p/>
    <w:p>
      <w:pPr>
        <w:spacing w:before="200" w:after="80"/>
      </w:pPr>
      <w:r>
        <w:rPr>
          <w:rFonts w:ascii="Calibri" w:hAnsi="Calibri"/>
          <w:b/>
          <w:color w:val="1A1F26"/>
          <w:sz w:val="26"/>
        </w:rPr>
        <w:t>Réorganisation du garage</w:t>
      </w:r>
    </w:p>
    <w:p>
      <w:r>
        <w:rPr>
          <w:rFonts w:ascii="Calibri" w:hAnsi="Calibri"/>
          <w:color w:val="1A1F26"/>
          <w:sz w:val="22"/>
        </w:rPr>
        <w:t>Rangement optimisé, stockage des inflammables en Algeco Sécurité, évacuation des vieux produits</w:t>
      </w:r>
    </w:p>
    <w:p>
      <w:r>
        <w:rPr>
          <w:rFonts w:ascii="Calibri" w:hAnsi="Calibri"/>
          <w:i/>
          <w:color w:val="1B6A3A"/>
          <w:sz w:val="20"/>
        </w:rPr>
        <w:t>✓ Validée par David Museur (CR 10/08/2024)</w:t>
      </w:r>
    </w:p>
    <w:p/>
    <w:p>
      <w:pPr>
        <w:spacing w:before="200" w:after="80"/>
      </w:pPr>
      <w:r>
        <w:rPr>
          <w:rFonts w:ascii="Calibri" w:hAnsi="Calibri"/>
          <w:b/>
          <w:color w:val="1A1F26"/>
          <w:sz w:val="26"/>
        </w:rPr>
        <w:t>Exercices de simulation de panne</w:t>
      </w:r>
    </w:p>
    <w:p>
      <w:r>
        <w:rPr>
          <w:rFonts w:ascii="Calibri" w:hAnsi="Calibri"/>
          <w:color w:val="1A1F26"/>
          <w:sz w:val="22"/>
        </w:rPr>
        <w:t>Exercices réguliers sur manèges impliquant chaque opérateur, préparation à l'évacuation des clients</w:t>
      </w:r>
    </w:p>
    <w:p>
      <w:r>
        <w:rPr>
          <w:rFonts w:ascii="Calibri" w:hAnsi="Calibri"/>
          <w:i/>
          <w:color w:val="1B6A3A"/>
          <w:sz w:val="20"/>
        </w:rPr>
        <w:t>✓ Validée par David Museur (CR 10/08/2024)</w:t>
      </w:r>
    </w:p>
    <w:p/>
    <w:p>
      <w:pPr>
        <w:spacing w:before="200" w:after="80"/>
      </w:pPr>
      <w:r>
        <w:rPr>
          <w:rFonts w:ascii="Calibri" w:hAnsi="Calibri"/>
          <w:b/>
          <w:color w:val="1A1F26"/>
          <w:sz w:val="26"/>
        </w:rPr>
        <w:t>Réactivité sur actions VITALES</w:t>
      </w:r>
    </w:p>
    <w:p>
      <w:r>
        <w:rPr>
          <w:rFonts w:ascii="Calibri" w:hAnsi="Calibri"/>
          <w:color w:val="1A1F26"/>
          <w:sz w:val="22"/>
        </w:rPr>
        <w:t>Mise en œuvre en 48 h des bidons déplacés et bacs de rétention installés (suite visite 09/07/2025)</w:t>
      </w:r>
    </w:p>
    <w:p>
      <w:r>
        <w:rPr>
          <w:rFonts w:ascii="Calibri" w:hAnsi="Calibri"/>
          <w:i/>
          <w:color w:val="1B6A3A"/>
          <w:sz w:val="20"/>
        </w:rPr>
        <w:t>✓ Saluée comme « réactivité exemplaire » par David Museur (CR 11/07/2025)</w:t>
      </w:r>
    </w:p>
    <w:p/>
    <w:p>
      <w:r>
        <w:br w:type="page"/>
      </w:r>
    </w:p>
    <w:p>
      <w:pPr>
        <w:spacing w:before="400" w:after="200"/>
        <w:pBdr>
          <w:bottom w:val="single" w:sz="8" w:space="4" w:color="D9A41A"/>
        </w:pBdr>
      </w:pPr>
      <w:r>
        <w:rPr>
          <w:rFonts w:ascii="Calibri" w:hAnsi="Calibri"/>
          <w:b/>
          <w:color w:val="0A3B7A"/>
          <w:sz w:val="40"/>
        </w:rPr>
        <w:t>PARTIE 7 — Annexes et traçabilité réglementaire</w:t>
      </w:r>
    </w:p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7.1. Documents et registres obligatoires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135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Base légale</w:t>
            </w:r>
          </w:p>
        </w:tc>
        <w:tc>
          <w:tcPr>
            <w:tcW w:type="dxa" w:w="3135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Périodicité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DUERP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Art. R.4121-1 et suivants C. trav.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Annuelle minimum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Registre de sécurité ERP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Art. R.123-51 CCH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Mise à jour continue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Rapports CEEV des manèges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Loi n° 2008-136 ; Décret 2008-1458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Annuelle à triennale selon catégorie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Livret de bord par attraction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Norme NF EN 13814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Quotidienne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Rapport Q18 (vérification électrique)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Art. R.4226-14 C. trav.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Annuelle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Registre AT bénins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Art. L.441-4 C. séc. soc.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Continue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VGP des engins de levage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Arrêté 1er mars 2004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Semestrielle (6 mois)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Vérifications EPI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Arrêté 19 mars 1993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Annuelle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Registre public d'accessibilité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Décret 2017-431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Continue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7.2. Engins de levage et autorisations de conduite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Engin</w:t>
            </w:r>
          </w:p>
        </w:tc>
        <w:tc>
          <w:tcPr>
            <w:tcW w:type="dxa" w:w="235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Capacité</w:t>
            </w:r>
          </w:p>
        </w:tc>
        <w:tc>
          <w:tcPr>
            <w:tcW w:type="dxa" w:w="235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CACES requis</w:t>
            </w:r>
          </w:p>
        </w:tc>
        <w:tc>
          <w:tcPr>
            <w:tcW w:type="dxa" w:w="2351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VGP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Manitou MT 1740 SLT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4 000 kg / 16,65 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R482 catégorie F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6 mois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Grue auxiliaire sur MAN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R490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6 mois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Grue auxiliaire sur Renault Premium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R490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6 mois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Fenwick (chariot frontal)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 tonne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R489 catégorie 3</w:t>
            </w:r>
          </w:p>
        </w:tc>
        <w:tc>
          <w:tcPr>
            <w:tcW w:type="dxa" w:w="2351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6 mois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8" w:space="4" w:color="D9A41A"/>
        </w:pBdr>
      </w:pPr>
      <w:r>
        <w:rPr>
          <w:rFonts w:ascii="Calibri" w:hAnsi="Calibri"/>
          <w:b/>
          <w:color w:val="0A3B7A"/>
          <w:sz w:val="40"/>
        </w:rPr>
        <w:t>PARTIE 8 — Engagement de la direction et signatures</w:t>
      </w:r>
    </w:p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8.1. Engagement de la direction</w:t>
      </w:r>
    </w:p>
    <w:p>
      <w:r>
        <w:rPr>
          <w:rFonts w:ascii="Calibri" w:hAnsi="Calibri"/>
          <w:color w:val="1A1F26"/>
          <w:sz w:val="22"/>
        </w:rPr>
        <w:t>La direction d'Azur Park s'engage à mettre en œuvre les mesures de prévention identifiées dans le présent DUERP, à allouer les ressources humaines et financières nécessaires à leur réalisation, et à assurer un suivi régulier de leur avancement.</w:t>
      </w:r>
    </w:p>
    <w:p>
      <w:r>
        <w:rPr>
          <w:rFonts w:ascii="Calibri" w:hAnsi="Calibri"/>
          <w:color w:val="1A1F26"/>
          <w:sz w:val="22"/>
        </w:rPr>
        <w:t>La présente édition v4 corrige les erreurs identifiées dans les versions antérieures, notamment :</w:t>
      </w:r>
    </w:p>
    <w:p>
      <w:pPr>
        <w:ind w:left="567"/>
      </w:pPr>
      <w:r>
        <w:rPr>
          <w:rFonts w:ascii="Calibri" w:hAnsi="Calibri"/>
          <w:color w:val="1A1F26"/>
          <w:sz w:val="22"/>
        </w:rPr>
        <w:t>• Note RISC-4 corrigée à 17,40/20 (vs 19,61 antérieurement annoncée par pré-remplissage automatique)</w:t>
      </w:r>
    </w:p>
    <w:p>
      <w:pPr>
        <w:ind w:left="567"/>
      </w:pPr>
      <w:r>
        <w:rPr>
          <w:rFonts w:ascii="Calibri" w:hAnsi="Calibri"/>
          <w:color w:val="1A1F26"/>
          <w:sz w:val="22"/>
        </w:rPr>
        <w:t>• Localisation confirmée à Gassin (83580, Var) — toute mention erronée à Drap supprimée</w:t>
      </w:r>
    </w:p>
    <w:p>
      <w:pPr>
        <w:ind w:left="567"/>
      </w:pPr>
      <w:r>
        <w:rPr>
          <w:rFonts w:ascii="Calibri" w:hAnsi="Calibri"/>
          <w:color w:val="1A1F26"/>
          <w:sz w:val="22"/>
        </w:rPr>
        <w:t>• Distribution OUI/NON/SO réelle issue de la base RISC-4 (saisie 10/08/2024)</w:t>
      </w:r>
    </w:p>
    <w:p>
      <w:pPr>
        <w:ind w:left="567"/>
      </w:pPr>
      <w:r>
        <w:rPr>
          <w:rFonts w:ascii="Calibri" w:hAnsi="Calibri"/>
          <w:color w:val="1A1F26"/>
          <w:sz w:val="22"/>
        </w:rPr>
        <w:t>• Suppression des références externes (analyses comparatives DUE de tiers)</w:t>
      </w:r>
    </w:p>
    <w:p/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8.2. Signatures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Fonction</w:t>
            </w:r>
          </w:p>
        </w:tc>
        <w:tc>
          <w:tcPr>
            <w:tcW w:type="dxa" w:w="3135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Nom</w:t>
            </w:r>
          </w:p>
        </w:tc>
        <w:tc>
          <w:tcPr>
            <w:tcW w:type="dxa" w:w="3135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 / Signature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2"/>
              </w:rPr>
              <w:t>Gérant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2"/>
              </w:rPr>
              <w:t>Serge Paillon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2"/>
              </w:rPr>
              <w:t>Responsable Sécurité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2"/>
              </w:rPr>
              <w:t>Sam Paillon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2"/>
              </w:rPr>
              <w:t>Consultant HSE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2"/>
              </w:rPr>
              <w:t>David Museur — SECURE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2"/>
              </w:rPr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6B7480"/>
          <w:sz w:val="18"/>
        </w:rPr>
        <w:t>Document confidentiel — Mise à disposition de l'Inspection du Travail, de la médecine du travail, des représentants du personnel et des organes de contrôle (CRAM, assureur RC).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480"/>
        <w:sz w:val="18"/>
      </w:rPr>
      <w:t xml:space="preserve">Azur Park · RD 598A, 83580 Gassin · Confidentiel · </w:t>
    </w:r>
    <w:r>
      <w:rPr>
        <w:rFonts w:ascii="Calibri" w:hAnsi="Calibri"/>
        <w:color w:val="6B7480"/>
        <w:sz w:val="18"/>
      </w:rPr>
      <w:t xml:space="preserve">Page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0A3B7A"/>
      </w:pBdr>
    </w:pPr>
    <w:r/>
    <w:r>
      <w:rPr>
        <w:rFonts w:ascii="Calibri" w:hAnsi="Calibri"/>
        <w:color w:val="6B7480"/>
        <w:sz w:val="18"/>
      </w:rPr>
      <w:t>Azur Park — DUERP 2026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