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0A3B7A"/>
          <w:sz w:val="22"/>
          <w:spacing w:val="60"/>
        </w:rPr>
        <w:t>DUERP — ANNEXE TECHNIQUE</w:t>
      </w:r>
    </w:p>
    <w:p>
      <w:pPr>
        <w:spacing w:after="240"/>
        <w:jc w:val="center"/>
      </w:pPr>
      <w:r>
        <w:rPr>
          <w:rFonts w:ascii="Calibri" w:hAnsi="Calibri"/>
          <w:b/>
          <w:color w:val="1A1F26"/>
          <w:sz w:val="56"/>
        </w:rPr>
        <w:t>Volet Engins</w:t>
      </w:r>
    </w:p>
    <w:p>
      <w:pPr>
        <w:jc w:val="center"/>
      </w:pPr>
      <w:r>
        <w:rPr>
          <w:rFonts w:ascii="Calibri" w:hAnsi="Calibri"/>
          <w:color w:val="6B7480"/>
          <w:sz w:val="28"/>
        </w:rPr>
        <w:t>Unité de Travail — Levage et Manutention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Établissement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Azur Park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Adresse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RD 598A, 83580 Gassin (Var)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Responsable Sécurité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Sam Paillon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Date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29 Avril 2026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UNITÉ DE TRAVAIL : UTILISATION DES ENGINS DE LEVAGE ET DE MANUTENTION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1. Description de l'Unité de Travail</w:t>
      </w:r>
    </w:p>
    <w:p>
      <w:pPr>
        <w:spacing w:after="120"/>
      </w:pPr>
      <w:r>
        <w:rPr>
          <w:rFonts w:ascii="Calibri" w:hAnsi="Calibri"/>
          <w:color w:val="1A1F26"/>
          <w:sz w:val="22"/>
        </w:rPr>
        <w:t>Cette unité de travail concerne l'utilisation des engins motorisés sur le site d'Azur Park pour les opérations de maintenance, de montage/démontage des attractions, et de manutention générale.</w:t>
      </w:r>
    </w:p>
    <w:p>
      <w:pPr>
        <w:spacing w:after="120"/>
      </w:pPr>
      <w:r>
        <w:rPr>
          <w:rFonts w:ascii="Calibri" w:hAnsi="Calibri"/>
          <w:b/>
          <w:color w:val="1A1F26"/>
          <w:sz w:val="22"/>
        </w:rPr>
        <w:t>Parc matériel identifié :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Chariot télescopique MANITOU MT 1740 SLT (Capacité : 4000 kg / Levage : 16,65 m)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Grue auxiliaire sur porteur MAN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Grue auxiliaire sur porteur Renault Premium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Chariot élévateur frontal (Fenwick - Capacité : 1 tonne)</w:t>
      </w:r>
    </w:p>
    <w:p>
      <w:pPr>
        <w:spacing w:after="120"/>
      </w:pPr>
      <w:r>
        <w:rPr>
          <w:rFonts w:ascii="Calibri" w:hAnsi="Calibri"/>
          <w:b/>
          <w:color w:val="1A1F26"/>
          <w:sz w:val="22"/>
        </w:rPr>
        <w:t>Conducteurs autorisés (sous réserve de validité des habilitations) :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Paillon Serge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Paillon Sam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Reynald Lalot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Canache Marian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2. Évaluation des Risques (Matrice G x P)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Danger identifié</w:t>
            </w:r>
          </w:p>
        </w:tc>
        <w:tc>
          <w:tcPr>
            <w:tcW w:type="dxa" w:w="1568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Risque encouru</w:t>
            </w:r>
          </w:p>
        </w:tc>
        <w:tc>
          <w:tcPr>
            <w:tcW w:type="dxa" w:w="1568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Gravité (G)</w:t>
            </w:r>
          </w:p>
        </w:tc>
        <w:tc>
          <w:tcPr>
            <w:tcW w:type="dxa" w:w="1568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Probabilité (P)</w:t>
            </w:r>
          </w:p>
        </w:tc>
        <w:tc>
          <w:tcPr>
            <w:tcW w:type="dxa" w:w="1568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Criticité (C)</w:t>
            </w:r>
          </w:p>
        </w:tc>
        <w:tc>
          <w:tcPr>
            <w:tcW w:type="dxa" w:w="1568"/>
            <w:shd w:val="clear" w:color="auto" w:fill="0A3B7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Mesures de prévention existantes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Circulation des engins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Heurt avec un piéton (salarié ou public)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4 (Grave)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2 (Faible)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8 (Modéré)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Vitesse limitée sur le parc. Utilisation de gyrophares et avertisseurs sonores de recul.</w:t>
            </w:r>
          </w:p>
        </w:tc>
      </w:tr>
      <w:tr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Levage de charges (Manitou/Grues)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Chute de la charge, écrasement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4 (Grave)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 (Faible)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 (Modéré)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Respect des abaques de charge (ex: Manitou max 4000 kg à 500 mm). Utilisation des stabilisateurs hydrauliques.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Stabilité de l'engin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Renversement de l'engin (dévers, sol meuble)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4 (Grave)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1 (Très faible)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4 (Faible)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Correcteur de dévers hydraulique sur le Manitou. Vérification de la nature du sol avant levage.</w:t>
            </w:r>
          </w:p>
        </w:tc>
      </w:tr>
      <w:tr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Utilisation non autorisée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Accident lié à l'incompétence du conducteur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4 (Grave)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2 (Faible)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8 (Modéré)</w:t>
            </w:r>
          </w:p>
        </w:tc>
        <w:tc>
          <w:tcPr>
            <w:tcW w:type="dxa" w:w="1568"/>
            <w:shd w:val="clear" w:color="auto" w:fill="F0F4FA"/>
          </w:tcPr>
          <w:p>
            <w:r>
              <w:rPr>
                <w:rFonts w:ascii="Calibri" w:hAnsi="Calibri"/>
                <w:sz w:val="20"/>
              </w:rPr>
              <w:t>Retrait des clés après utilisation. Liste nominative des conducteurs autorisés.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Défaillance technique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Rupture hydraulique, perte de freinage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4 (Grave)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1 (Très faible)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4 (Faible)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Entretien régulier. Freins hydrauliques multidisques assistés.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3. Plan d'Action et Mesures de Prévention à Mettre en Œuvre</w:t>
      </w:r>
    </w:p>
    <w:p>
      <w:pPr>
        <w:spacing w:after="120"/>
      </w:pPr>
      <w:r>
        <w:rPr>
          <w:rFonts w:ascii="Calibri" w:hAnsi="Calibri"/>
          <w:color w:val="1A1F26"/>
          <w:sz w:val="22"/>
        </w:rPr>
        <w:t>Afin de garantir la conformité réglementaire et la sécurité optimale lors de l'utilisation des engins, les actions suivantes doivent être mises en œuvre :</w:t>
      </w:r>
    </w:p>
    <w:p>
      <w:pPr>
        <w:pStyle w:val="ListBullet"/>
        <w:ind w:left="283"/>
      </w:pPr>
      <w:r>
        <w:rPr>
          <w:rFonts w:ascii="Calibri" w:hAnsi="Calibri"/>
          <w:b/>
          <w:color w:val="1A1F26"/>
          <w:sz w:val="22"/>
        </w:rPr>
        <w:t>Vérification des Habilitations (CACES) :</w:t>
      </w:r>
      <w:r>
        <w:rPr>
          <w:rFonts w:ascii="Calibri" w:hAnsi="Calibri"/>
          <w:color w:val="1A1F26"/>
          <w:sz w:val="22"/>
        </w:rPr>
        <w:t xml:space="preserve"> S'assurer que chaque conducteur possède le CACES correspondant à l'engin utilisé (R482 cat. F pour le Manitou, R490 pour les grues, R489 pour le Fenwick).</w:t>
      </w:r>
    </w:p>
    <w:p>
      <w:pPr>
        <w:pStyle w:val="ListBullet"/>
        <w:ind w:left="283"/>
      </w:pPr>
      <w:r>
        <w:rPr>
          <w:rFonts w:ascii="Calibri" w:hAnsi="Calibri"/>
          <w:b/>
          <w:color w:val="1A1F26"/>
          <w:sz w:val="22"/>
        </w:rPr>
        <w:t>Aptitude Médicale :</w:t>
      </w:r>
      <w:r>
        <w:rPr>
          <w:rFonts w:ascii="Calibri" w:hAnsi="Calibri"/>
          <w:color w:val="1A1F26"/>
          <w:sz w:val="22"/>
        </w:rPr>
        <w:t xml:space="preserve"> Vérifier la validité de l'aptitude médicale délivrée par la médecine du travail pour chaque conducteur.</w:t>
      </w:r>
    </w:p>
    <w:p>
      <w:pPr>
        <w:pStyle w:val="ListBullet"/>
        <w:ind w:left="283"/>
      </w:pPr>
      <w:r>
        <w:rPr>
          <w:rFonts w:ascii="Calibri" w:hAnsi="Calibri"/>
          <w:b/>
          <w:color w:val="1A1F26"/>
          <w:sz w:val="22"/>
        </w:rPr>
        <w:t>Autorisations de Conduite Internes :</w:t>
      </w:r>
      <w:r>
        <w:rPr>
          <w:rFonts w:ascii="Calibri" w:hAnsi="Calibri"/>
          <w:color w:val="1A1F26"/>
          <w:sz w:val="22"/>
        </w:rPr>
        <w:t xml:space="preserve"> Rédiger, faire signer et conserver dans le dossier du personnel les autorisations de conduite nominatives pour les 4 conducteurs identifiés.</w:t>
      </w:r>
    </w:p>
    <w:p>
      <w:pPr>
        <w:pStyle w:val="ListBullet"/>
        <w:ind w:left="283"/>
      </w:pPr>
      <w:r>
        <w:rPr>
          <w:rFonts w:ascii="Calibri" w:hAnsi="Calibri"/>
          <w:b/>
          <w:color w:val="1A1F26"/>
          <w:sz w:val="22"/>
        </w:rPr>
        <w:t>Vérifications Générales Périodiques (VGP) :</w:t>
      </w:r>
      <w:r>
        <w:rPr>
          <w:rFonts w:ascii="Calibri" w:hAnsi="Calibri"/>
          <w:color w:val="1A1F26"/>
          <w:sz w:val="22"/>
        </w:rPr>
        <w:t xml:space="preserve"> S'assurer que tous les engins de levage (Manitou, Grues, Fenwick) font l'objet d'une VGP tous les 6 mois par un organisme agréé, et conserver les rapports dans le registre de sécurité.</w:t>
      </w:r>
    </w:p>
    <w:p>
      <w:pPr>
        <w:pStyle w:val="ListBullet"/>
        <w:ind w:left="283"/>
      </w:pPr>
      <w:r>
        <w:rPr>
          <w:rFonts w:ascii="Calibri" w:hAnsi="Calibri"/>
          <w:b/>
          <w:color w:val="1A1F26"/>
          <w:sz w:val="22"/>
        </w:rPr>
        <w:t>Règles de Circulation :</w:t>
      </w:r>
      <w:r>
        <w:rPr>
          <w:rFonts w:ascii="Calibri" w:hAnsi="Calibri"/>
          <w:color w:val="1A1F26"/>
          <w:sz w:val="22"/>
        </w:rPr>
        <w:t xml:space="preserve"> Définir des règles strictes de circulation sur le parc, notamment l'interdiction de circuler dans les allées ouvertes au public pendant les heures d'ouverture, sauf urgence absolue avec accompagnement piéton.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480"/>
        <w:sz w:val="18"/>
      </w:rPr>
      <w:t xml:space="preserve">Azur Park · RD 598A, 83580 Gassin · Confidentiel · </w:t>
    </w:r>
    <w:r>
      <w:rPr>
        <w:rFonts w:ascii="Calibri" w:hAnsi="Calibri"/>
        <w:color w:val="6B7480"/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A3B7A"/>
      </w:pBdr>
    </w:pPr>
    <w:r/>
    <w:r>
      <w:rPr>
        <w:rFonts w:ascii="Calibri" w:hAnsi="Calibri"/>
        <w:color w:val="6B7480"/>
        <w:sz w:val="18"/>
      </w:rPr>
      <w:t>Azur Park — HSE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