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260000"/>
            <wp:docPr id="1" name="Picture 1"/>
            <wp:cNvGraphicFramePr>
              <a:graphicFrameLocks noChangeAspect="1"/>
            </wp:cNvGraphicFramePr>
            <a:graphic>
              <a:graphicData uri="http://schemas.openxmlformats.org/drawingml/2006/picture">
                <pic:pic>
                  <pic:nvPicPr>
                    <pic:cNvPr id="0" name="logo_azur.png"/>
                    <pic:cNvPicPr/>
                  </pic:nvPicPr>
                  <pic:blipFill>
                    <a:blip r:embed="rId11"/>
                    <a:stretch>
                      <a:fillRect/>
                    </a:stretch>
                  </pic:blipFill>
                  <pic:spPr>
                    <a:xfrm>
                      <a:off x="0" y="0"/>
                      <a:ext cx="1800000" cy="1260000"/>
                    </a:xfrm>
                    <a:prstGeom prst="rect"/>
                  </pic:spPr>
                </pic:pic>
              </a:graphicData>
            </a:graphic>
          </wp:inline>
        </w:drawing>
      </w:r>
    </w:p>
    <w:p/>
    <w:p/>
    <w:p>
      <w:pPr>
        <w:jc w:val="center"/>
      </w:pPr>
      <w:r>
        <w:rPr>
          <w:rFonts w:ascii="Calibri" w:hAnsi="Calibri"/>
          <w:b/>
          <w:color w:val="0A3B7A"/>
          <w:sz w:val="22"/>
          <w:spacing w:val="60"/>
        </w:rPr>
        <w:t>NOTE DE SYNTHÈSE JURIDIQUE</w:t>
      </w:r>
    </w:p>
    <w:p>
      <w:pPr>
        <w:spacing w:after="240"/>
        <w:jc w:val="center"/>
      </w:pPr>
      <w:r>
        <w:rPr>
          <w:rFonts w:ascii="Calibri" w:hAnsi="Calibri"/>
          <w:b/>
          <w:color w:val="1A1F26"/>
          <w:sz w:val="56"/>
        </w:rPr>
        <w:t>Résumé exécutif</w:t>
      </w:r>
    </w:p>
    <w:p>
      <w:pPr>
        <w:jc w:val="center"/>
      </w:pPr>
      <w:r>
        <w:rPr>
          <w:rFonts w:ascii="Calibri" w:hAnsi="Calibri"/>
          <w:color w:val="6B7480"/>
          <w:sz w:val="28"/>
        </w:rPr>
        <w:t>Engins de chantier — Cadre juridique et obligations</w:t>
      </w:r>
    </w:p>
    <w:p/>
    <w:p/>
    <w:p/>
    <w:p/>
    <w:p/>
    <w:p/>
    <w:tbl>
      <w:tblPr>
        <w:tblW w:type="auto" w:w="0"/>
        <w:jc w:val="center"/>
        <w:tblLayout w:type="fixed"/>
        <w:tblLook w:firstColumn="1" w:firstRow="1" w:lastColumn="0" w:lastRow="0" w:noHBand="0" w:noVBand="1" w:val="04A0"/>
      </w:tblPr>
      <w:tblGrid>
        <w:gridCol w:w="4703"/>
        <w:gridCol w:w="4703"/>
      </w:tblGrid>
      <w:tr>
        <w:tc>
          <w:tcPr>
            <w:tcW w:type="dxa" w:w="3969"/>
            <w:shd w:val="clear" w:color="auto" w:fill="F0F4FA"/>
          </w:tcPr>
          <w:p>
            <w:r>
              <w:rPr>
                <w:rFonts w:ascii="Calibri" w:hAnsi="Calibri"/>
                <w:b/>
                <w:color w:val="0D4FA8"/>
                <w:sz w:val="22"/>
              </w:rPr>
              <w:t>Établissement</w:t>
            </w:r>
          </w:p>
        </w:tc>
        <w:tc>
          <w:tcPr>
            <w:tcW w:type="dxa" w:w="3969"/>
          </w:tcPr>
          <w:p>
            <w:r>
              <w:rPr>
                <w:rFonts w:ascii="Calibri" w:hAnsi="Calibri"/>
                <w:sz w:val="22"/>
              </w:rPr>
              <w:t>Azur Park</w:t>
            </w:r>
          </w:p>
        </w:tc>
      </w:tr>
      <w:tr>
        <w:tc>
          <w:tcPr>
            <w:tcW w:type="dxa" w:w="3969"/>
            <w:shd w:val="clear" w:color="auto" w:fill="F0F4FA"/>
          </w:tcPr>
          <w:p>
            <w:r>
              <w:rPr>
                <w:rFonts w:ascii="Calibri" w:hAnsi="Calibri"/>
                <w:b/>
                <w:color w:val="0D4FA8"/>
                <w:sz w:val="22"/>
              </w:rPr>
              <w:t>Adresse</w:t>
            </w:r>
          </w:p>
        </w:tc>
        <w:tc>
          <w:tcPr>
            <w:tcW w:type="dxa" w:w="3969"/>
          </w:tcPr>
          <w:p>
            <w:r>
              <w:rPr>
                <w:rFonts w:ascii="Calibri" w:hAnsi="Calibri"/>
                <w:sz w:val="22"/>
              </w:rPr>
              <w:t>RD 598A, 83580 Gassin (Var)</w:t>
            </w:r>
          </w:p>
        </w:tc>
      </w:tr>
      <w:tr>
        <w:tc>
          <w:tcPr>
            <w:tcW w:type="dxa" w:w="3969"/>
            <w:shd w:val="clear" w:color="auto" w:fill="F0F4FA"/>
          </w:tcPr>
          <w:p>
            <w:r>
              <w:rPr>
                <w:rFonts w:ascii="Calibri" w:hAnsi="Calibri"/>
                <w:b/>
                <w:color w:val="0D4FA8"/>
                <w:sz w:val="22"/>
              </w:rPr>
              <w:t>Responsable Sécurité</w:t>
            </w:r>
          </w:p>
        </w:tc>
        <w:tc>
          <w:tcPr>
            <w:tcW w:type="dxa" w:w="3969"/>
          </w:tcPr>
          <w:p>
            <w:r>
              <w:rPr>
                <w:rFonts w:ascii="Calibri" w:hAnsi="Calibri"/>
                <w:sz w:val="22"/>
              </w:rPr>
              <w:t>Sam Paillon</w:t>
            </w:r>
          </w:p>
        </w:tc>
      </w:tr>
      <w:tr>
        <w:tc>
          <w:tcPr>
            <w:tcW w:type="dxa" w:w="3969"/>
            <w:shd w:val="clear" w:color="auto" w:fill="F0F4FA"/>
          </w:tcPr>
          <w:p>
            <w:r>
              <w:rPr>
                <w:rFonts w:ascii="Calibri" w:hAnsi="Calibri"/>
                <w:b/>
                <w:color w:val="0D4FA8"/>
                <w:sz w:val="22"/>
              </w:rPr>
              <w:t>Date</w:t>
            </w:r>
          </w:p>
        </w:tc>
        <w:tc>
          <w:tcPr>
            <w:tcW w:type="dxa" w:w="3969"/>
          </w:tcPr>
          <w:p>
            <w:r>
              <w:rPr>
                <w:rFonts w:ascii="Calibri" w:hAnsi="Calibri"/>
                <w:sz w:val="22"/>
              </w:rPr>
              <w:t>29 Avril 2026</w:t>
            </w:r>
          </w:p>
        </w:tc>
      </w:tr>
    </w:tbl>
    <w:p>
      <w:r>
        <w:br w:type="page"/>
      </w:r>
    </w:p>
    <w:p>
      <w:pPr>
        <w:spacing w:before="400" w:after="200"/>
        <w:pBdr>
          <w:bottom w:val="single" w:sz="8" w:space="4" w:color="D9A41A"/>
        </w:pBdr>
      </w:pPr>
      <w:r>
        <w:rPr>
          <w:rFonts w:ascii="Calibri" w:hAnsi="Calibri"/>
          <w:b/>
          <w:color w:val="0A3B7A"/>
          <w:sz w:val="40"/>
        </w:rPr>
        <w:t>Résumé exécutif</w:t>
      </w:r>
    </w:p>
    <w:p>
      <w:pPr>
        <w:spacing w:after="120"/>
      </w:pPr>
      <w:r>
        <w:rPr>
          <w:rFonts w:ascii="Calibri" w:hAnsi="Calibri"/>
          <w:color w:val="1A1F26"/>
          <w:sz w:val="22"/>
        </w:rPr>
        <w:t xml:space="preserve">Sur un site privé et clos (parc d’attractions), l’entreprise reste soumise au </w:t>
      </w:r>
      <w:r>
        <w:rPr>
          <w:rFonts w:ascii="Calibri" w:hAnsi="Calibri"/>
          <w:b/>
          <w:color w:val="1A1F26"/>
          <w:sz w:val="22"/>
        </w:rPr>
        <w:t>droit du travail</w:t>
      </w:r>
      <w:r>
        <w:rPr>
          <w:rFonts w:ascii="Calibri" w:hAnsi="Calibri"/>
          <w:color w:val="1A1F26"/>
          <w:sz w:val="22"/>
        </w:rPr>
        <w:t xml:space="preserve"> : chaque conducteur d’engin doit être formé (CACES) et habilité par autorisation interne nominative[[1]](https://www.legifrance.gouv.fr/jorf/id/JORFTEXT000052304307#:~:text=En%20application%20de%20l%27article%20R,d%27une%20autorisation%20de%20conduite)[[2]](https://code.travail.gouv.fr/fiche-ministere-travail/autorisation-de-conduite-appareils-de-levage#:~:text=Les%20engins%20et%20appareils%20de,Pour%20cela). En revanche, l’usage sur voie publique impose le </w:t>
      </w:r>
      <w:r>
        <w:rPr>
          <w:rFonts w:ascii="Calibri" w:hAnsi="Calibri"/>
          <w:b/>
          <w:color w:val="1A1F26"/>
          <w:sz w:val="22"/>
        </w:rPr>
        <w:t>Code de la route</w:t>
      </w:r>
      <w:r>
        <w:rPr>
          <w:rFonts w:ascii="Calibri" w:hAnsi="Calibri"/>
          <w:color w:val="1A1F26"/>
          <w:sz w:val="22"/>
        </w:rPr>
        <w:t xml:space="preserve"> (assurance RC circulation, signalisation, vitesses, permis selon catégorie)[[3]](https://www.preventionbtp.fr/ressources/questions/faut-il-un-permis-de-conduire-pour-tous-les-engins-de-chantier-amenes-a-circuler-sur-le-domaine-public_By8XUPhRXEE3QTpQbthMYX#:~:text=Tous%20les%20engins%20de%20travaux,certain%20nombre%20d%E2%80%99exigences%2C%20parmi%20lesquelles)[[4]](https://www.preventionbtp.fr/ressources/questions/faut-il-un-permis-de-conduire-pour-tous-les-engins-de-chantier-amenes-a-circuler-sur-le-domaine-public_By8XUPhRXEE3QTpQbthMYX#:~:text=En%20effet%2C%20au%20sens%20de,et%20non%20%C3%A0%20la%20personne). En pratique, même sur site privé fermé, l’employeur doit vérifier l’aptitude médicale et la formation du conducteur (interdiction d’affecter un employé inapte[[5]](https://legimonaco.mc/tnc/arrete-ministeriel/1966/01-04-66-009@1966.01.22#:~:text=Il%20est%20interdit%20de%20pr%C3%A9poser,Il%20en%20est%20de%20m%C3%AAme)[[2]](https://code.travail.gouv.fr/fiche-ministere-travail/autorisation-de-conduite-appareils-de-levage#:~:text=Les%20engins%20et%20appareils%20de,Pour%20cela)), et formaliser par écrit l’autorisation de conduite. Contractuellement, on recommandera notamment une clause d’</w:t>
      </w:r>
      <w:r>
        <w:rPr>
          <w:rFonts w:ascii="Calibri" w:hAnsi="Calibri"/>
          <w:b/>
          <w:color w:val="1A1F26"/>
          <w:sz w:val="22"/>
        </w:rPr>
        <w:t>autorisation d’accès</w:t>
      </w:r>
      <w:r>
        <w:rPr>
          <w:rFonts w:ascii="Calibri" w:hAnsi="Calibri"/>
          <w:color w:val="1A1F26"/>
          <w:sz w:val="22"/>
        </w:rPr>
        <w:t xml:space="preserve"> du propriétaire du site, une </w:t>
      </w:r>
      <w:r>
        <w:rPr>
          <w:rFonts w:ascii="Calibri" w:hAnsi="Calibri"/>
          <w:b/>
          <w:color w:val="1A1F26"/>
          <w:sz w:val="22"/>
        </w:rPr>
        <w:t>delegation de pouvoir</w:t>
      </w:r>
      <w:r>
        <w:rPr>
          <w:rFonts w:ascii="Calibri" w:hAnsi="Calibri"/>
          <w:color w:val="1A1F26"/>
          <w:sz w:val="22"/>
        </w:rPr>
        <w:t xml:space="preserve"> sécurité au responsable chantier, et une </w:t>
      </w:r>
      <w:r>
        <w:rPr>
          <w:rFonts w:ascii="Calibri" w:hAnsi="Calibri"/>
          <w:b/>
          <w:color w:val="1A1F26"/>
          <w:sz w:val="22"/>
        </w:rPr>
        <w:t>clause d’assurance/indemnisation</w:t>
      </w:r>
      <w:r>
        <w:rPr>
          <w:rFonts w:ascii="Calibri" w:hAnsi="Calibri"/>
          <w:color w:val="1A1F26"/>
          <w:sz w:val="22"/>
        </w:rPr>
        <w:t xml:space="preserve"> (RC exploitation de l’entreprise couvrant les engins) ainsi qu’une </w:t>
      </w:r>
      <w:r>
        <w:rPr>
          <w:rFonts w:ascii="Calibri" w:hAnsi="Calibri"/>
          <w:b/>
          <w:color w:val="1A1F26"/>
          <w:sz w:val="22"/>
        </w:rPr>
        <w:t>clause de formation</w:t>
      </w:r>
      <w:r>
        <w:rPr>
          <w:rFonts w:ascii="Calibri" w:hAnsi="Calibri"/>
          <w:color w:val="1A1F26"/>
          <w:sz w:val="22"/>
        </w:rPr>
        <w:t xml:space="preserve"> (« conducteurs habilités et apte médicalement »). Les textes français (Code du travail, Code de la route) et la jurisprudence (Cour de cassation) insistent sur la rigueur de l’obligation de sécurité de résultat de l’employeur[[6]](https://www.legifrance.gouv.fr/juri/id/JURITEXT000027255467#:~:text=Attendu%20cependant%20que%20l%27employeur%2C%20tenu,doit%20en%20assurer%20l%27effectivit%C3%A9)[[7]](https://www.legifrance.gouv.fr/juri/id/JURITEXT000027422773#:~:text=la%20technologie%20des%20pelles%20%3B,qu%27elle%20ne%20saurait%20se). En droit monégasque, les règles de sécurité au travail sont similaires (Arrêté min. du 4 janv. 1966 : aptitude médicale préalable, stabilité et vérifications des engins)[[5]](https://legimonaco.mc/tnc/arrete-ministeriel/1966/01-04-66-009@1966.01.22#:~:text=Il%20est%20interdit%20de%20pr%C3%A9poser,Il%20en%20est%20de%20m%C3%AAme), mais sans carte BTP. Enfin, le manquement à ces obligations expose à de lourdes </w:t>
      </w:r>
      <w:r>
        <w:rPr>
          <w:rFonts w:ascii="Calibri" w:hAnsi="Calibri"/>
          <w:b/>
          <w:color w:val="1A1F26"/>
          <w:sz w:val="22"/>
        </w:rPr>
        <w:t>sanctions civiles et pénales</w:t>
      </w:r>
      <w:r>
        <w:rPr>
          <w:rFonts w:ascii="Calibri" w:hAnsi="Calibri"/>
          <w:color w:val="1A1F26"/>
          <w:sz w:val="22"/>
        </w:rPr>
        <w:t xml:space="preserve"> (faute inexcusable, amendes, peine pour blessures involontaires)[[6]](https://www.legifrance.gouv.fr/juri/id/JURITEXT000027255467#:~:text=Attendu%20cependant%20que%20l%27employeur%2C%20tenu,doit%20en%20assurer%20l%27effectivit%C3%A9)[[7]](https://www.legifrance.gouv.fr/juri/id/JURITEXT000027422773#:~:text=la%20technologie%20des%20pelles%20%3B,qu%27elle%20ne%20saurait%20se).</w:t>
      </w:r>
    </w:p>
    <w:p>
      <w:pPr>
        <w:spacing w:before="280" w:after="120"/>
      </w:pPr>
      <w:r>
        <w:rPr>
          <w:rFonts w:ascii="Calibri" w:hAnsi="Calibri"/>
          <w:b/>
          <w:color w:val="0D4FA8"/>
          <w:sz w:val="32"/>
        </w:rPr>
        <w:t>Obligations réglementaires</w:t>
      </w:r>
    </w:p>
    <w:p>
      <w:pPr>
        <w:pStyle w:val="ListBullet"/>
        <w:ind w:left="283"/>
      </w:pPr>
      <w:r>
        <w:rPr>
          <w:rFonts w:ascii="Calibri" w:hAnsi="Calibri"/>
          <w:b/>
          <w:color w:val="1A1F26"/>
          <w:sz w:val="22"/>
        </w:rPr>
        <w:t>Formation et autorisation de conduite (France)</w:t>
      </w:r>
      <w:r>
        <w:rPr>
          <w:rFonts w:ascii="Calibri" w:hAnsi="Calibri"/>
          <w:color w:val="1A1F26"/>
          <w:sz w:val="22"/>
        </w:rPr>
        <w:t xml:space="preserve"> : Tout conducteur d’engin de chantier ou manutention (grue, pelleteuse, chariot, nacelle, etc.) doit bénéficier d’une formation adaptée (certificat CACES) et se voir délivrer par l’employeur une </w:t>
      </w:r>
      <w:r>
        <w:rPr>
          <w:rFonts w:ascii="Calibri" w:hAnsi="Calibri"/>
          <w:i/>
          <w:color w:val="1A1F26"/>
          <w:sz w:val="22"/>
        </w:rPr>
        <w:t>autorisation de conduite nominative</w:t>
      </w:r>
      <w:r>
        <w:rPr>
          <w:rFonts w:ascii="Calibri" w:hAnsi="Calibri"/>
          <w:color w:val="1A1F26"/>
          <w:sz w:val="22"/>
        </w:rPr>
        <w:t>[[1]](https://www.legifrance.gouv.fr/jorf/id/JORFTEXT000052304307#:~:text=En%20application%20de%20l%27article%20R,d%27une%20autorisation%20de%20conduite)[[2]](https://code.travail.gouv.fr/fiche-ministere-travail/autorisation-de-conduite-appareils-de-levage#:~:text=Les%20engins%20et%20appareils%20de,Pour%20cela). L’arrêté du 26 sept. 2025 (article R.4323-55 et suiv.) précise qu’une attestation médicale valide et un contrôle des compétences sont requis[[1]](https://www.legifrance.gouv.fr/jorf/id/JORFTEXT000052304307#:~:text=En%20application%20de%20l%27article%20R,d%27une%20autorisation%20de%20conduite)[[2]](https://code.travail.gouv.fr/fiche-ministere-travail/autorisation-de-conduite-appareils-de-levage#:~:text=Les%20engins%20et%20appareils%20de,Pour%20cela). La simple possession d’un permis de conduire automobile ne dispense pas de cette autorisation interne[[8]](https://www.legifrance.gouv.fr/juri/id/JURITEXT000031455373#:~:text=Et%20attendu%2C%20ensuite%2C%20qu%27ayant%20relev%C3%A9,cette%20autorisation%2C%20%C3%A9tait%20fautif).</w:t>
      </w:r>
    </w:p>
    <w:p>
      <w:pPr>
        <w:pStyle w:val="ListBullet"/>
        <w:ind w:left="283"/>
      </w:pPr>
      <w:r>
        <w:rPr>
          <w:rFonts w:ascii="Calibri" w:hAnsi="Calibri"/>
          <w:b/>
          <w:color w:val="1A1F26"/>
          <w:sz w:val="22"/>
        </w:rPr>
        <w:t>Permis de conduire (Code de la route)</w:t>
      </w:r>
      <w:r>
        <w:rPr>
          <w:rFonts w:ascii="Calibri" w:hAnsi="Calibri"/>
          <w:color w:val="1A1F26"/>
          <w:sz w:val="22"/>
        </w:rPr>
        <w:t xml:space="preserve"> : Pour les engins circulant sur la voie publique (domaine public), la réglementation routière s’applique : immatriculation éventuelle, assurance </w:t>
      </w:r>
      <w:r>
        <w:rPr>
          <w:rFonts w:ascii="Calibri" w:hAnsi="Calibri"/>
          <w:i/>
          <w:color w:val="1A1F26"/>
          <w:sz w:val="22"/>
        </w:rPr>
        <w:t>RC circulation</w:t>
      </w:r>
      <w:r>
        <w:rPr>
          <w:rFonts w:ascii="Calibri" w:hAnsi="Calibri"/>
          <w:color w:val="1A1F26"/>
          <w:sz w:val="22"/>
        </w:rPr>
        <w:t>, panneaux de signalisation, limitation à 25 km/h, etc.[[3]](https://www.preventionbtp.fr/ressources/questions/faut-il-un-permis-de-conduire-pour-tous-les-engins-de-chantier-amenes-a-circuler-sur-le-domaine-public_By8XUPhRXEE3QTpQbthMYX#:~:text=Tous%20les%20engins%20de%20travaux,certain%20nombre%20d%E2%80%99exigences%2C%20parmi%20lesquelles). Néanmoins, la jurisprudence rappelle que le permis s’applique au véhicule (catégorie) et non à la personne[[4]](https://www.preventionbtp.fr/ressources/questions/faut-il-un-permis-de-conduire-pour-tous-les-engins-de-chantier-amenes-a-circuler-sur-le-domaine-public_By8XUPhRXEE3QTpQbthMYX#:~:text=En%20effet%2C%20au%20sens%20de,et%20non%20%C3%A0%20la%20personne): un engin TP de catégorie II (p. ex. pelleteuse) peut être conduit hors du réseau routier par un employé même si son permis B est suspendu[[4]](https://www.preventionbtp.fr/ressources/questions/faut-il-un-permis-de-conduire-pour-tous-les-engins-de-chantier-amenes-a-circuler-sur-le-domaine-public_By8XUPhRXEE3QTpQbthMYX#:~:text=En%20effet%2C%20au%20sens%20de,et%20non%20%C3%A0%20la%20personne). Sur domaine privé fermé, ces obligations routières ne s’appliquent pas formellement (hors éventuels besoins d’assurance).</w:t>
      </w:r>
    </w:p>
    <w:p>
      <w:pPr>
        <w:pStyle w:val="ListBullet"/>
        <w:ind w:left="283"/>
      </w:pPr>
      <w:r>
        <w:rPr>
          <w:rFonts w:ascii="Calibri" w:hAnsi="Calibri"/>
          <w:b/>
          <w:color w:val="1A1F26"/>
          <w:sz w:val="22"/>
        </w:rPr>
        <w:t>Aptitude médicale</w:t>
      </w:r>
      <w:r>
        <w:rPr>
          <w:rFonts w:ascii="Calibri" w:hAnsi="Calibri"/>
          <w:color w:val="1A1F26"/>
          <w:sz w:val="22"/>
        </w:rPr>
        <w:t xml:space="preserve"> : Conformément à l’arrêté monégasque du 4 janv. 1966 (articles 3 et 154-163) et au Code du travail français (suivi renforcé), tout conducteur doit être déclaré apte par la médecine du travail[[5]](https://legimonaco.mc/tnc/arrete-ministeriel/1966/01-04-66-009@1966.01.22#:~:text=Il%20est%20interdit%20de%20pr%C3%A9poser,Il%20en%20est%20de%20m%C3%AAme)[[2]](https://code.travail.gouv.fr/fiche-ministere-travail/autorisation-de-conduite-appareils-de-levage#:~:text=Les%20engins%20et%20appareils%20de,Pour%20cela). L’affectation d’un salarié inapte est interdite[[5]](https://legimonaco.mc/tnc/arrete-ministeriel/1966/01-04-66-009@1966.01.22#:~:text=Il%20est%20interdit%20de%20pr%C3%A9poser,Il%20en%20est%20de%20m%C3%AAme).</w:t>
      </w:r>
    </w:p>
    <w:p>
      <w:pPr>
        <w:pStyle w:val="ListBullet"/>
        <w:ind w:left="283"/>
      </w:pPr>
      <w:r>
        <w:rPr>
          <w:rFonts w:ascii="Calibri" w:hAnsi="Calibri"/>
          <w:b/>
          <w:color w:val="1A1F26"/>
          <w:sz w:val="22"/>
        </w:rPr>
        <w:t>Assurance et responsabilité civile</w:t>
      </w:r>
      <w:r>
        <w:rPr>
          <w:rFonts w:ascii="Calibri" w:hAnsi="Calibri"/>
          <w:color w:val="1A1F26"/>
          <w:sz w:val="22"/>
        </w:rPr>
        <w:t xml:space="preserve"> : L’entreprise doit couvrir les dommages causés aux tiers par ses engins[[9]](https://tpdemain.com/module/lassurance-des-engins-de-chantier/#:~:text=Le%20chef%20d%E2%80%99entreprise%20doit%20couvrir,lui%20appartient%20ou%20qu%E2%80%99il%20loue). Ainsi, sur route l’assurance auto obligatoire s’applique (garantie RC circulation)[[3]](https://www.preventionbtp.fr/ressources/questions/faut-il-un-permis-de-conduire-pour-tous-les-engins-de-chantier-amenes-a-circuler-sur-le-domaine-public_By8XUPhRXEE3QTpQbthMYX#:~:text=Tous%20les%20engins%20de%20travaux,certain%20nombre%20d%E2%80%99exigences%2C%20parmi%20lesquelles), tandis qu’en activité « hors circulation » les engins (propriétaires ou loués) sont couverts par la </w:t>
      </w:r>
      <w:r>
        <w:rPr>
          <w:rFonts w:ascii="Calibri" w:hAnsi="Calibri"/>
          <w:i/>
          <w:color w:val="1A1F26"/>
          <w:sz w:val="22"/>
        </w:rPr>
        <w:t>responsabilité civile d’exploitation</w:t>
      </w:r>
      <w:r>
        <w:rPr>
          <w:rFonts w:ascii="Calibri" w:hAnsi="Calibri"/>
          <w:color w:val="1A1F26"/>
          <w:sz w:val="22"/>
        </w:rPr>
        <w:t xml:space="preserve"> de l’entreprise[[9]](https://tpdemain.com/module/lassurance-des-engins-de-chantier/#:~:text=Le%20chef%20d%E2%80%99entreprise%20doit%20couvrir,lui%20appartient%20ou%20qu%E2%80%99il%20loue). Il est conseillé de souscrire aussi une garantie bris de machine. En tout état de cause, le propriétaire du site peut exiger que l’entreprise fournisse une attestation d’assurance RC exploitation et une renonciation d’action (indemnisation) en cas de dommages causés sur le site.</w:t>
      </w:r>
    </w:p>
    <w:p>
      <w:pPr>
        <w:spacing w:before="280" w:after="120"/>
      </w:pPr>
      <w:r>
        <w:rPr>
          <w:rFonts w:ascii="Calibri" w:hAnsi="Calibri"/>
          <w:b/>
          <w:color w:val="0D4FA8"/>
          <w:sz w:val="32"/>
        </w:rPr>
        <w:t>Analyse juridique appliquée au cas</w:t>
      </w:r>
    </w:p>
    <w:p>
      <w:pPr>
        <w:pStyle w:val="ListBullet"/>
        <w:ind w:left="283"/>
      </w:pPr>
      <w:r>
        <w:rPr>
          <w:rFonts w:ascii="Calibri" w:hAnsi="Calibri"/>
          <w:b/>
          <w:color w:val="1A1F26"/>
          <w:sz w:val="22"/>
        </w:rPr>
        <w:t>Site privé fermé (Monaco)</w:t>
      </w:r>
      <w:r>
        <w:rPr>
          <w:rFonts w:ascii="Calibri" w:hAnsi="Calibri"/>
          <w:color w:val="1A1F26"/>
          <w:sz w:val="22"/>
        </w:rPr>
        <w:t xml:space="preserve"> : Le parc appartient à un tiers et est temporairement fermé au public. Il est donc assimilé à un chantier/domaine privé. La circulation des engins de chantier (pelleteuses, nacelles, camionnettes, etc.) y relève principalement du Code du travail (sécurité au travail) plutôt que du Code de la route. L’entreprise utilisatrice doit donc appliquer les obligations employeur : formation (CACES ou équivalent) et autorisation de conduite internes pour chaque conducteurs (conformément à R.4323-55 et arrêts ministériels)[[1]](https://www.legifrance.gouv.fr/jorf/id/JORFTEXT000052304307#:~:text=En%20application%20de%20l%27article%20R,d%27une%20autorisation%20de%20conduite)[[2]](https://code.travail.gouv.fr/fiche-ministere-travail/autorisation-de-conduite-appareils-de-levage#:~:text=Les%20engins%20et%20appareils%20de,Pour%20cela). Par exemple, la Cour de cassation a jugé qu’un employeur qui ne délivre pas d’autorisation de conduite viole son obligation de sécurité de résultat[[6]](https://www.legifrance.gouv.fr/juri/id/JURITEXT000027255467#:~:text=Attendu%20cependant%20que%20l%27employeur%2C%20tenu,doit%20en%20assurer%20l%27effectivit%C3%A9). On doit vérifier l’aptitude médicale du conducteur et la conformité technique des engins (contrôles préventifs), comme l’exige l’arrêté monégasque de 1966[[5]](https://legimonaco.mc/tnc/arrete-ministeriel/1966/01-04-66-009@1966.01.22#:~:text=Il%20est%20interdit%20de%20pr%C3%A9poser,Il%20en%20est%20de%20m%C3%AAme). Si l’engin devait sortir du site pour se rendre ailleurs, il entrera en domaine public : il faudra alors suivre le Code de la route (permis selon type de véhicule, assurance auto).</w:t>
      </w:r>
    </w:p>
    <w:p>
      <w:pPr>
        <w:pStyle w:val="ListBullet"/>
        <w:ind w:left="283"/>
      </w:pPr>
      <w:r>
        <w:rPr>
          <w:rFonts w:ascii="Calibri" w:hAnsi="Calibri"/>
          <w:b/>
          <w:color w:val="1A1F26"/>
          <w:sz w:val="22"/>
        </w:rPr>
        <w:t>Intervenant étranger sur chantier Monaco</w:t>
      </w:r>
      <w:r>
        <w:rPr>
          <w:rFonts w:ascii="Calibri" w:hAnsi="Calibri"/>
          <w:color w:val="1A1F26"/>
          <w:sz w:val="22"/>
        </w:rPr>
        <w:t xml:space="preserve"> : En Principauté, l’Arrêté ministériel n° 66-009/1966 impose que tout engin soit vérifié avant mise en service et que « la conduite des appareils de levage [soit] confiée à des travailleurs [dont les aptitudes ont été reconnues satisfaisantes par un examen médical préalable] »[[5]](https://legimonaco.mc/tnc/arrete-ministeriel/1966/01-04-66-009@1966.01.22#:~:text=Il%20est%20interdit%20de%20pr%C3%A9poser,Il%20en%20est%20de%20m%C3%AAme). Ainsi, même si Monaco n’a pas de système formel CACES comme la France, l’exigence de qualification (diplômes ou CQP) est élevée pour les entreprises du bâtiment (Ord. 7.135/2018) et les conducteurs doivent être apte. En pratique, on appliquera les mêmes standards qu’en France (certificat d’aptitude, autorisation interne, suivis médicaux) pour des raisons de sécurité. D’un point de vue contractuel, l’entreprise étrangère devra aussi obtenir les autorisations de chantier monégasques usuelles (autorisation de chantier municipale, homologations) avant toute intervention.</w:t>
      </w:r>
    </w:p>
    <w:p>
      <w:pPr>
        <w:pStyle w:val="ListBullet"/>
        <w:ind w:left="283"/>
      </w:pPr>
      <w:r>
        <w:rPr>
          <w:rFonts w:ascii="Calibri" w:hAnsi="Calibri"/>
          <w:b/>
          <w:color w:val="1A1F26"/>
          <w:sz w:val="22"/>
        </w:rPr>
        <w:t xml:space="preserve">Risques </w:t>
      </w:r>
      <w:r>
        <w:rPr>
          <w:rFonts w:ascii="Calibri" w:hAnsi="Calibri"/>
          <w:b/>
          <w:color w:val="1A1F26"/>
          <w:sz w:val="22"/>
        </w:rPr>
        <w:t>&amp;</w:t>
      </w:r>
      <w:r>
        <w:rPr>
          <w:rFonts w:ascii="Calibri" w:hAnsi="Calibri"/>
          <w:b/>
          <w:color w:val="1A1F26"/>
          <w:sz w:val="22"/>
        </w:rPr>
        <w:t xml:space="preserve"> sanctions</w:t>
      </w:r>
      <w:r>
        <w:rPr>
          <w:rFonts w:ascii="Calibri" w:hAnsi="Calibri"/>
          <w:color w:val="1A1F26"/>
          <w:sz w:val="22"/>
        </w:rPr>
        <w:t xml:space="preserve"> : Le non-respect de ces obligations est sanctionné sévèrement. En droit français, c’est une faute pénale et civile : les juges ont condamné des employeurs (amendes pénales, indemnités civiles) pour absence de formation ou d’autorisation, jugée « faute inexcusable » en cas d’accident[[6]](https://www.legifrance.gouv.fr/juri/id/JURITEXT000027255467#:~:text=Attendu%20cependant%20que%20l%27employeur%2C%20tenu,doit%20en%20assurer%20l%27effectivit%C3%A9)[[7]](https://www.legifrance.gouv.fr/juri/id/JURITEXT000027422773#:~:text=la%20technologie%20des%20pelles%20%3B,qu%27elle%20ne%20saurait%20se). Par exemple, la Cour de cassation a confirmé la culpabilité pénale d’une entreprise dont le conducteur sans autorisation a provoqué un accident grave[[10]](https://www.legifrance.gouv.fr/juri/id/JURITEXT000038069802#:~:text=Qu%27il%20est%20apparu%20que%20l%27ouvrier,renversement%2C%20n%27avait%20pas%20fonctionn%C3%A9). En cas d’accident, l’entreprise et ses dirigeants peuvent être condamnés pour blessures involontaires (Code pénal art. 222-19)[[7]](https://www.legifrance.gouv.fr/juri/id/JURITEXT000027422773#:~:text=la%20technologie%20des%20pelles%20%3B,qu%27elle%20ne%20saurait%20se)[[10]](https://www.legifrance.gouv.fr/juri/id/JURITEXT000038069802#:~:text=Qu%27il%20est%20apparu%20que%20l%27ouvrier,renversement%2C%20n%27avait%20pas%20fonctionn%C3%A9). Au civil, l’employeur est responsable de plein droit des dommages subis par l’ouvrier (faute inexcusable) et par autrui (responsabilité extracontractuelle), même sur terrain privé. En Principauté, la responsabilité contractuelle et pénale est également engagée pour manquement aux consignes de sécurité (cf. jurisprudence monégasque sur les chocs/vibrations d’engins).</w:t>
      </w:r>
    </w:p>
    <w:p>
      <w:pPr>
        <w:spacing w:before="280" w:after="120"/>
      </w:pPr>
      <w:r>
        <w:rPr>
          <w:rFonts w:ascii="Calibri" w:hAnsi="Calibri"/>
          <w:b/>
          <w:color w:val="0D4FA8"/>
          <w:sz w:val="32"/>
        </w:rPr>
        <w:t>Recommandations pratiques et formulations types</w:t>
      </w:r>
    </w:p>
    <w:p>
      <w:pPr>
        <w:pStyle w:val="ListBullet"/>
        <w:ind w:left="283"/>
      </w:pPr>
      <w:r>
        <w:rPr>
          <w:rFonts w:ascii="Calibri" w:hAnsi="Calibri"/>
          <w:b/>
          <w:color w:val="1A1F26"/>
          <w:sz w:val="22"/>
        </w:rPr>
        <w:t>Autorisation interne de conduite</w:t>
      </w:r>
      <w:r>
        <w:rPr>
          <w:rFonts w:ascii="Calibri" w:hAnsi="Calibri"/>
          <w:color w:val="1A1F26"/>
          <w:sz w:val="22"/>
        </w:rPr>
        <w:t xml:space="preserve"> : L’employeur doit formaliser une autorisation nominative pour chaque conducteur habilité. </w:t>
      </w:r>
      <w:r>
        <w:rPr>
          <w:rFonts w:ascii="Calibri" w:hAnsi="Calibri"/>
          <w:b/>
          <w:color w:val="1A1F26"/>
          <w:sz w:val="22"/>
        </w:rPr>
        <w:t>Exemple</w:t>
      </w:r>
      <w:r>
        <w:rPr>
          <w:rFonts w:ascii="Calibri" w:hAnsi="Calibri"/>
          <w:color w:val="1A1F26"/>
          <w:sz w:val="22"/>
        </w:rPr>
        <w:t xml:space="preserve"> : </w:t>
      </w:r>
      <w:r>
        <w:rPr>
          <w:rFonts w:ascii="Calibri" w:hAnsi="Calibri"/>
          <w:i/>
          <w:color w:val="1A1F26"/>
          <w:sz w:val="22"/>
        </w:rPr>
        <w:t>« La société X habilite Monsieur Y à conduire les engins de chantier (pelleteuse, chariot élévateur, nacelle) nécessaires à l’exécution des travaux. M. Y atteste détenir la formation CACES R482 (ancien R372) et une aptitude médicale en cours de validité</w:t>
      </w:r>
      <w:r>
        <w:rPr>
          <w:rFonts w:ascii="Calibri" w:hAnsi="Calibri"/>
          <w:color w:val="1A1F26"/>
          <w:sz w:val="22"/>
        </w:rPr>
        <w:t>[</w:t>
      </w:r>
      <w:r>
        <w:rPr>
          <w:rFonts w:ascii="Calibri" w:hAnsi="Calibri"/>
          <w:i/>
          <w:color w:val="1A1F26"/>
          <w:sz w:val="22"/>
        </w:rPr>
        <w:t>[1]</w:t>
      </w:r>
      <w:r>
        <w:rPr>
          <w:rFonts w:ascii="Calibri" w:hAnsi="Calibri"/>
          <w:color w:val="1A1F26"/>
          <w:sz w:val="22"/>
        </w:rPr>
        <w:t>](https://www.legifrance.gouv.fr/jorf/id/JORFTEXT000052304307#:~:text=En%20application%20de%20l%27article%20R,d%27une%20autorisation%20de%20conduite)[</w:t>
      </w:r>
      <w:r>
        <w:rPr>
          <w:rFonts w:ascii="Calibri" w:hAnsi="Calibri"/>
          <w:i/>
          <w:color w:val="1A1F26"/>
          <w:sz w:val="22"/>
        </w:rPr>
        <w:t>[2]</w:t>
      </w:r>
      <w:r>
        <w:rPr>
          <w:rFonts w:ascii="Calibri" w:hAnsi="Calibri"/>
          <w:color w:val="1A1F26"/>
          <w:sz w:val="22"/>
        </w:rPr>
        <w:t>](https://code.travail.gouv.fr/fiche-ministere-travail/autorisation-de-conduite-appareils-de-levage#:~:text=Les%20engins%20et%20appareils%20de,Pour%20cela)</w:t>
      </w:r>
      <w:r>
        <w:rPr>
          <w:rFonts w:ascii="Calibri" w:hAnsi="Calibri"/>
          <w:i/>
          <w:color w:val="1A1F26"/>
          <w:sz w:val="22"/>
        </w:rPr>
        <w:t>. Cette autorisation est valable pour toute la durée des travaux sur le site [dates] et peut être retirée en cas de non-respect des règles de sécurité. »</w:t>
      </w:r>
    </w:p>
    <w:p>
      <w:pPr>
        <w:pStyle w:val="ListBullet"/>
        <w:ind w:left="283"/>
      </w:pPr>
      <w:r>
        <w:rPr>
          <w:rFonts w:ascii="Calibri" w:hAnsi="Calibri"/>
          <w:b/>
          <w:color w:val="1A1F26"/>
          <w:sz w:val="22"/>
        </w:rPr>
        <w:t>Clause d’assurance et d’indemnisation</w:t>
      </w:r>
      <w:r>
        <w:rPr>
          <w:rFonts w:ascii="Calibri" w:hAnsi="Calibri"/>
          <w:color w:val="1A1F26"/>
          <w:sz w:val="22"/>
        </w:rPr>
        <w:t xml:space="preserve"> : Inscrire dans le contrat que l’entreprise détient une police d’assurance </w:t>
      </w:r>
      <w:r>
        <w:rPr>
          <w:rFonts w:ascii="Calibri" w:hAnsi="Calibri"/>
          <w:i/>
          <w:color w:val="1A1F26"/>
          <w:sz w:val="22"/>
        </w:rPr>
        <w:t>RC Exploitation/chantier</w:t>
      </w:r>
      <w:r>
        <w:rPr>
          <w:rFonts w:ascii="Calibri" w:hAnsi="Calibri"/>
          <w:color w:val="1A1F26"/>
          <w:sz w:val="22"/>
        </w:rPr>
        <w:t xml:space="preserve">, couvrant les dommages causés par ses engins et ses salariés. </w:t>
      </w:r>
      <w:r>
        <w:rPr>
          <w:rFonts w:ascii="Calibri" w:hAnsi="Calibri"/>
          <w:b/>
          <w:color w:val="1A1F26"/>
          <w:sz w:val="22"/>
        </w:rPr>
        <w:t>Exemple</w:t>
      </w:r>
      <w:r>
        <w:rPr>
          <w:rFonts w:ascii="Calibri" w:hAnsi="Calibri"/>
          <w:color w:val="1A1F26"/>
          <w:sz w:val="22"/>
        </w:rPr>
        <w:t xml:space="preserve"> : </w:t>
      </w:r>
      <w:r>
        <w:rPr>
          <w:rFonts w:ascii="Calibri" w:hAnsi="Calibri"/>
          <w:i/>
          <w:color w:val="1A1F26"/>
          <w:sz w:val="22"/>
        </w:rPr>
        <w:t>« L’Entreprise déclare avoir souscrit une assurance Responsabilité Civile Professionnelle couvrant les dommages causés sur le site du parc par ses équipements et ses employés</w:t>
      </w:r>
      <w:r>
        <w:rPr>
          <w:rFonts w:ascii="Calibri" w:hAnsi="Calibri"/>
          <w:color w:val="1A1F26"/>
          <w:sz w:val="22"/>
        </w:rPr>
        <w:t>[</w:t>
      </w:r>
      <w:r>
        <w:rPr>
          <w:rFonts w:ascii="Calibri" w:hAnsi="Calibri"/>
          <w:i/>
          <w:color w:val="1A1F26"/>
          <w:sz w:val="22"/>
        </w:rPr>
        <w:t>[9]</w:t>
      </w:r>
      <w:r>
        <w:rPr>
          <w:rFonts w:ascii="Calibri" w:hAnsi="Calibri"/>
          <w:color w:val="1A1F26"/>
          <w:sz w:val="22"/>
        </w:rPr>
        <w:t>](https://tpdemain.com/module/lassurance-des-engins-de-chantier/#:~:text=Le%20chef%20d%E2%80%99entreprise%20doit%20couvrir,lui%20appartient%20ou%20qu%E2%80%99il%20loue)</w:t>
      </w:r>
      <w:r>
        <w:rPr>
          <w:rFonts w:ascii="Calibri" w:hAnsi="Calibri"/>
          <w:i/>
          <w:color w:val="1A1F26"/>
          <w:sz w:val="22"/>
        </w:rPr>
        <w:t>. Elle s’engage à maintenir cette assurance pendant toute la durée d’intervention et à fournir les attestations sur demande. En outre, l’Entreprise s’engage à indemniser le Propriétaire pour tout préjudice résultant de l’utilisation de ses engins sur le site. »</w:t>
      </w:r>
    </w:p>
    <w:p>
      <w:pPr>
        <w:pStyle w:val="ListBullet"/>
        <w:ind w:left="283"/>
      </w:pPr>
      <w:r>
        <w:rPr>
          <w:rFonts w:ascii="Calibri" w:hAnsi="Calibri"/>
          <w:b/>
          <w:color w:val="1A1F26"/>
          <w:sz w:val="22"/>
        </w:rPr>
        <w:t>Autorisation écrite du propriétaire du site</w:t>
      </w:r>
      <w:r>
        <w:rPr>
          <w:rFonts w:ascii="Calibri" w:hAnsi="Calibri"/>
          <w:color w:val="1A1F26"/>
          <w:sz w:val="22"/>
        </w:rPr>
        <w:t xml:space="preserve"> : Obtenir du propriétaire du parc une autorisation d’accès/chantier précisant les conditions (durée, zones accessibles, heures, etc.). </w:t>
      </w:r>
      <w:r>
        <w:rPr>
          <w:rFonts w:ascii="Calibri" w:hAnsi="Calibri"/>
          <w:b/>
          <w:color w:val="1A1F26"/>
          <w:sz w:val="22"/>
        </w:rPr>
        <w:t>Exemple</w:t>
      </w:r>
      <w:r>
        <w:rPr>
          <w:rFonts w:ascii="Calibri" w:hAnsi="Calibri"/>
          <w:color w:val="1A1F26"/>
          <w:sz w:val="22"/>
        </w:rPr>
        <w:t xml:space="preserve"> : </w:t>
      </w:r>
      <w:r>
        <w:rPr>
          <w:rFonts w:ascii="Calibri" w:hAnsi="Calibri"/>
          <w:i/>
          <w:color w:val="1A1F26"/>
          <w:sz w:val="22"/>
        </w:rPr>
        <w:t>« Le Propriétaire du parc autorise l’Entreprise X à pénétrer sur le site fermé [description] aux dates suivantes [période], dans le but d’y effectuer [travaux]. Cette autorisation inclut l’utilisation de ses véhicules et engins professionnels, sous réserve du respect des consignes de sécurité du site. »</w:t>
      </w:r>
    </w:p>
    <w:p>
      <w:pPr>
        <w:pStyle w:val="ListBullet"/>
        <w:ind w:left="283"/>
      </w:pPr>
      <w:r>
        <w:rPr>
          <w:rFonts w:ascii="Calibri" w:hAnsi="Calibri"/>
          <w:b/>
          <w:color w:val="1A1F26"/>
          <w:sz w:val="22"/>
        </w:rPr>
        <w:t>Délégation de pouvoirs / responsable sécurité</w:t>
      </w:r>
      <w:r>
        <w:rPr>
          <w:rFonts w:ascii="Calibri" w:hAnsi="Calibri"/>
          <w:color w:val="1A1F26"/>
          <w:sz w:val="22"/>
        </w:rPr>
        <w:t xml:space="preserve"> : Nommer un responsable interne (chef de chantier) en charge de la sécurité. </w:t>
      </w:r>
      <w:r>
        <w:rPr>
          <w:rFonts w:ascii="Calibri" w:hAnsi="Calibri"/>
          <w:b/>
          <w:color w:val="1A1F26"/>
          <w:sz w:val="22"/>
        </w:rPr>
        <w:t>Exemple</w:t>
      </w:r>
      <w:r>
        <w:rPr>
          <w:rFonts w:ascii="Calibri" w:hAnsi="Calibri"/>
          <w:color w:val="1A1F26"/>
          <w:sz w:val="22"/>
        </w:rPr>
        <w:t xml:space="preserve"> : </w:t>
      </w:r>
      <w:r>
        <w:rPr>
          <w:rFonts w:ascii="Calibri" w:hAnsi="Calibri"/>
          <w:i/>
          <w:color w:val="1A1F26"/>
          <w:sz w:val="22"/>
        </w:rPr>
        <w:t>« M. Z, Chef de chantier, est chargé de la supervision des consignes de sécurité, de la vérification des habilitations des conducteurs et du suivi des contrôles techniques des engins sur le site. »</w:t>
      </w:r>
    </w:p>
    <w:p>
      <w:pPr>
        <w:spacing w:after="120"/>
      </w:pPr>
      <w:r>
        <w:rPr>
          <w:rFonts w:ascii="Calibri" w:hAnsi="Calibri"/>
          <w:b/>
          <w:color w:val="1A1F26"/>
          <w:sz w:val="22"/>
        </w:rPr>
        <w:t>Tableau comparatif – Documents/clauses recommandés :</w:t>
      </w:r>
    </w:p>
    <w:tbl>
      <w:tblPr>
        <w:tblW w:type="auto" w:w="0"/>
        <w:tblLayout w:type="autofit"/>
        <w:tblLook w:firstColumn="1" w:firstRow="1" w:lastColumn="0" w:lastRow="0" w:noHBand="0" w:noVBand="1" w:val="04A0"/>
      </w:tblPr>
      <w:tblGrid>
        <w:gridCol w:w="3135"/>
        <w:gridCol w:w="3135"/>
        <w:gridCol w:w="3135"/>
      </w:tblGrid>
      <w:tr>
        <w:tc>
          <w:tcPr>
            <w:tcW w:type="dxa" w:w="3135"/>
            <w:shd w:val="clear" w:color="auto" w:fill="0A3B7A"/>
          </w:tcPr>
          <w:p>
            <w:r>
              <w:rPr>
                <w:rFonts w:ascii="Calibri" w:hAnsi="Calibri"/>
                <w:b/>
                <w:color w:val="FFFFFF"/>
                <w:sz w:val="20"/>
              </w:rPr>
              <w:t>Document / Clause</w:t>
            </w:r>
          </w:p>
        </w:tc>
        <w:tc>
          <w:tcPr>
            <w:tcW w:type="dxa" w:w="3135"/>
            <w:shd w:val="clear" w:color="auto" w:fill="0A3B7A"/>
          </w:tcPr>
          <w:p>
            <w:r>
              <w:rPr>
                <w:rFonts w:ascii="Calibri" w:hAnsi="Calibri"/>
                <w:b/>
                <w:color w:val="FFFFFF"/>
                <w:sz w:val="20"/>
              </w:rPr>
              <w:t>Objet / Contenu principal</w:t>
            </w:r>
          </w:p>
        </w:tc>
        <w:tc>
          <w:tcPr>
            <w:tcW w:type="dxa" w:w="3135"/>
            <w:shd w:val="clear" w:color="auto" w:fill="0A3B7A"/>
          </w:tcPr>
          <w:p>
            <w:r>
              <w:rPr>
                <w:rFonts w:ascii="Calibri" w:hAnsi="Calibri"/>
                <w:b/>
                <w:color w:val="FFFFFF"/>
                <w:sz w:val="20"/>
              </w:rPr>
              <w:t>Exemple de libellé synthétique</w:t>
            </w:r>
          </w:p>
        </w:tc>
      </w:tr>
      <w:tr>
        <w:tc>
          <w:tcPr>
            <w:tcW w:type="dxa" w:w="3135"/>
          </w:tcPr>
          <w:p>
            <w:r>
              <w:rPr>
                <w:rFonts w:ascii="Calibri" w:hAnsi="Calibri"/>
                <w:sz w:val="20"/>
              </w:rPr>
              <w:t>Autorisation de conduite interne</w:t>
            </w:r>
          </w:p>
        </w:tc>
        <w:tc>
          <w:tcPr>
            <w:tcW w:type="dxa" w:w="3135"/>
          </w:tcPr>
          <w:p>
            <w:r>
              <w:rPr>
                <w:rFonts w:ascii="Calibri" w:hAnsi="Calibri"/>
                <w:sz w:val="20"/>
              </w:rPr>
              <w:t>Mentionner les engins autorisés, formation et aptitude du conducteur[[1]](https://www.legifrance.gouv.fr/jorf/id/JORFTEXT000052304307#:~:text=En%20application%20de%20l%27article%20R,d%27une%20autorisation%20de%20conduite)[[2]](https://code.travail.gouv.fr/fiche-ministere-travail/autorisation-de-conduite-appareils-de-levage#:~:text=Les%20engins%20et%20appareils%20de,Pour%20cela)</w:t>
            </w:r>
          </w:p>
        </w:tc>
        <w:tc>
          <w:tcPr>
            <w:tcW w:type="dxa" w:w="3135"/>
          </w:tcPr>
          <w:p>
            <w:r>
              <w:rPr>
                <w:rFonts w:ascii="Calibri" w:hAnsi="Calibri"/>
                <w:sz w:val="20"/>
              </w:rPr>
              <w:t>*« Autorise M. X à conduire les engins [liste], titulaire du CACES R482 et déclaré apte médicalement. »*</w:t>
            </w:r>
          </w:p>
        </w:tc>
      </w:tr>
      <w:tr>
        <w:tc>
          <w:tcPr>
            <w:tcW w:type="dxa" w:w="3135"/>
            <w:shd w:val="clear" w:color="auto" w:fill="F0F4FA"/>
          </w:tcPr>
          <w:p>
            <w:r>
              <w:rPr>
                <w:rFonts w:ascii="Calibri" w:hAnsi="Calibri"/>
                <w:sz w:val="20"/>
              </w:rPr>
              <w:t>Attestation d’assurance (RC exploita.)</w:t>
            </w:r>
          </w:p>
        </w:tc>
        <w:tc>
          <w:tcPr>
            <w:tcW w:type="dxa" w:w="3135"/>
            <w:shd w:val="clear" w:color="auto" w:fill="F0F4FA"/>
          </w:tcPr>
          <w:p>
            <w:r>
              <w:rPr>
                <w:rFonts w:ascii="Calibri" w:hAnsi="Calibri"/>
                <w:sz w:val="20"/>
              </w:rPr>
              <w:t>Confirmer souscription RC couvrant engins et chantiers[[9]](https://tpdemain.com/module/lassurance-des-engins-de-chantier/#:~:text=Le%20chef%20d%E2%80%99entreprise%20doit%20couvrir,lui%20appartient%20ou%20qu%E2%80%99il%20loue)</w:t>
            </w:r>
          </w:p>
        </w:tc>
        <w:tc>
          <w:tcPr>
            <w:tcW w:type="dxa" w:w="3135"/>
            <w:shd w:val="clear" w:color="auto" w:fill="F0F4FA"/>
          </w:tcPr>
          <w:p>
            <w:r>
              <w:rPr>
                <w:rFonts w:ascii="Calibri" w:hAnsi="Calibri"/>
                <w:sz w:val="20"/>
              </w:rPr>
              <w:t>*« Attestation RC Exploitation engins – garanties en vigueur… »*</w:t>
            </w:r>
          </w:p>
        </w:tc>
      </w:tr>
      <w:tr>
        <w:tc>
          <w:tcPr>
            <w:tcW w:type="dxa" w:w="3135"/>
          </w:tcPr>
          <w:p>
            <w:r>
              <w:rPr>
                <w:rFonts w:ascii="Calibri" w:hAnsi="Calibri"/>
                <w:sz w:val="20"/>
              </w:rPr>
              <w:t>Décharge/indemnisation du tiers</w:t>
            </w:r>
          </w:p>
        </w:tc>
        <w:tc>
          <w:tcPr>
            <w:tcW w:type="dxa" w:w="3135"/>
          </w:tcPr>
          <w:p>
            <w:r>
              <w:rPr>
                <w:rFonts w:ascii="Calibri" w:hAnsi="Calibri"/>
                <w:sz w:val="20"/>
              </w:rPr>
              <w:t>Indemniser propriétaire du site pour tout dommage</w:t>
            </w:r>
          </w:p>
        </w:tc>
        <w:tc>
          <w:tcPr>
            <w:tcW w:type="dxa" w:w="3135"/>
          </w:tcPr>
          <w:p>
            <w:r>
              <w:rPr>
                <w:rFonts w:ascii="Calibri" w:hAnsi="Calibri"/>
                <w:sz w:val="20"/>
              </w:rPr>
              <w:t>*« L’entreprise s’engage à garantir et indemniser le Propriétaire contre tous dommages causés par ses engins. »*</w:t>
            </w:r>
          </w:p>
        </w:tc>
      </w:tr>
      <w:tr>
        <w:tc>
          <w:tcPr>
            <w:tcW w:type="dxa" w:w="3135"/>
            <w:shd w:val="clear" w:color="auto" w:fill="F0F4FA"/>
          </w:tcPr>
          <w:p>
            <w:r>
              <w:rPr>
                <w:rFonts w:ascii="Calibri" w:hAnsi="Calibri"/>
                <w:sz w:val="20"/>
              </w:rPr>
              <w:t>Autorisation d’accès du site</w:t>
            </w:r>
          </w:p>
        </w:tc>
        <w:tc>
          <w:tcPr>
            <w:tcW w:type="dxa" w:w="3135"/>
            <w:shd w:val="clear" w:color="auto" w:fill="F0F4FA"/>
          </w:tcPr>
          <w:p>
            <w:r>
              <w:rPr>
                <w:rFonts w:ascii="Calibri" w:hAnsi="Calibri"/>
                <w:sz w:val="20"/>
              </w:rPr>
              <w:t>Accord officiel du propriétaire pour entrer et opérer</w:t>
            </w:r>
          </w:p>
        </w:tc>
        <w:tc>
          <w:tcPr>
            <w:tcW w:type="dxa" w:w="3135"/>
            <w:shd w:val="clear" w:color="auto" w:fill="F0F4FA"/>
          </w:tcPr>
          <w:p>
            <w:r>
              <w:rPr>
                <w:rFonts w:ascii="Calibri" w:hAnsi="Calibri"/>
                <w:sz w:val="20"/>
              </w:rPr>
              <w:t>*« Le Propriétaire autorise l’Entreprise X à circuler et opérer sur le site du parc fermé du [dates], sous sa seule responsabilité. »*</w:t>
            </w:r>
          </w:p>
        </w:tc>
      </w:tr>
      <w:tr>
        <w:tc>
          <w:tcPr>
            <w:tcW w:type="dxa" w:w="3135"/>
          </w:tcPr>
          <w:p>
            <w:r>
              <w:rPr>
                <w:rFonts w:ascii="Calibri" w:hAnsi="Calibri"/>
                <w:sz w:val="20"/>
              </w:rPr>
              <w:t>Délégation de pouvoir sécurité</w:t>
            </w:r>
          </w:p>
        </w:tc>
        <w:tc>
          <w:tcPr>
            <w:tcW w:type="dxa" w:w="3135"/>
          </w:tcPr>
          <w:p>
            <w:r>
              <w:rPr>
                <w:rFonts w:ascii="Calibri" w:hAnsi="Calibri"/>
                <w:sz w:val="20"/>
              </w:rPr>
              <w:t>Nommer un responsable (chef de chantier)</w:t>
            </w:r>
          </w:p>
        </w:tc>
        <w:tc>
          <w:tcPr>
            <w:tcW w:type="dxa" w:w="3135"/>
          </w:tcPr>
          <w:p>
            <w:r>
              <w:rPr>
                <w:rFonts w:ascii="Calibri" w:hAnsi="Calibri"/>
                <w:sz w:val="20"/>
              </w:rPr>
              <w:t>*« M. Y est désigné Responsable sécurité, chargé de veiller au respect des consignes de sécurité sur le site. »*</w:t>
            </w:r>
          </w:p>
        </w:tc>
      </w:tr>
      <w:tr>
        <w:tc>
          <w:tcPr>
            <w:tcW w:type="dxa" w:w="3135"/>
            <w:shd w:val="clear" w:color="auto" w:fill="F0F4FA"/>
          </w:tcPr>
          <w:p>
            <w:r>
              <w:rPr>
                <w:rFonts w:ascii="Calibri" w:hAnsi="Calibri"/>
                <w:sz w:val="20"/>
              </w:rPr>
              <w:t>Vérification technique des engins</w:t>
            </w:r>
          </w:p>
        </w:tc>
        <w:tc>
          <w:tcPr>
            <w:tcW w:type="dxa" w:w="3135"/>
            <w:shd w:val="clear" w:color="auto" w:fill="F0F4FA"/>
          </w:tcPr>
          <w:p>
            <w:r>
              <w:rPr>
                <w:rFonts w:ascii="Calibri" w:hAnsi="Calibri"/>
                <w:sz w:val="20"/>
              </w:rPr>
              <w:t>Planifier contrôles et maintenances (ex. CT périodique)</w:t>
            </w:r>
          </w:p>
        </w:tc>
        <w:tc>
          <w:tcPr>
            <w:tcW w:type="dxa" w:w="3135"/>
            <w:shd w:val="clear" w:color="auto" w:fill="F0F4FA"/>
          </w:tcPr>
          <w:p>
            <w:r>
              <w:rPr>
                <w:rFonts w:ascii="Calibri" w:hAnsi="Calibri"/>
                <w:sz w:val="20"/>
              </w:rPr>
              <w:t>*« Tous les engins utilisés seront révisés et maintenus en bon état de fonctionnement. »*</w:t>
            </w:r>
          </w:p>
        </w:tc>
      </w:tr>
    </w:tbl>
    <w:p>
      <w:pPr>
        <w:spacing w:after="120"/>
      </w:pPr>
      <w:r>
        <w:rPr>
          <w:rFonts w:ascii="Calibri" w:hAnsi="Calibri"/>
          <w:color w:val="1A1F26"/>
          <w:sz w:val="22"/>
        </w:rPr>
        <w:t>flowchart LR</w:t>
      </w:r>
    </w:p>
    <w:p>
      <w:pPr>
        <w:spacing w:after="120"/>
      </w:pPr>
      <w:r>
        <w:rPr>
          <w:rFonts w:ascii="Calibri" w:hAnsi="Calibri"/>
          <w:color w:val="1A1F26"/>
          <w:sz w:val="22"/>
        </w:rPr>
        <w:t xml:space="preserve">    A[Entreprise utilisatrice] --&gt;|forme et habilite| B(Conducteurs d’engins)</w:t>
      </w:r>
    </w:p>
    <w:p>
      <w:pPr>
        <w:spacing w:after="120"/>
      </w:pPr>
      <w:r>
        <w:rPr>
          <w:rFonts w:ascii="Calibri" w:hAnsi="Calibri"/>
          <w:color w:val="1A1F26"/>
          <w:sz w:val="22"/>
        </w:rPr>
        <w:t xml:space="preserve">    B --&gt;|conduisent| C(Engins sur site privé)</w:t>
      </w:r>
    </w:p>
    <w:p>
      <w:pPr>
        <w:spacing w:after="120"/>
      </w:pPr>
      <w:r>
        <w:rPr>
          <w:rFonts w:ascii="Calibri" w:hAnsi="Calibri"/>
          <w:color w:val="1A1F26"/>
          <w:sz w:val="22"/>
        </w:rPr>
        <w:t xml:space="preserve">    A --&gt; D[Police RC Exploitation]</w:t>
      </w:r>
    </w:p>
    <w:p>
      <w:pPr>
        <w:spacing w:after="120"/>
      </w:pPr>
      <w:r>
        <w:rPr>
          <w:rFonts w:ascii="Calibri" w:hAnsi="Calibri"/>
          <w:color w:val="1A1F26"/>
          <w:sz w:val="22"/>
        </w:rPr>
        <w:t xml:space="preserve">    D --&gt; C</w:t>
      </w:r>
    </w:p>
    <w:p>
      <w:pPr>
        <w:spacing w:after="120"/>
      </w:pPr>
      <w:r>
        <w:rPr>
          <w:rFonts w:ascii="Calibri" w:hAnsi="Calibri"/>
          <w:color w:val="1A1F26"/>
          <w:sz w:val="22"/>
        </w:rPr>
        <w:t xml:space="preserve">    C --&gt;|risques et dommages| E{Tiers/Propriétaire}</w:t>
      </w:r>
    </w:p>
    <w:p>
      <w:pPr>
        <w:spacing w:after="120"/>
      </w:pPr>
      <w:r>
        <w:rPr>
          <w:rFonts w:ascii="Calibri" w:hAnsi="Calibri"/>
          <w:color w:val="1A1F26"/>
          <w:sz w:val="22"/>
        </w:rPr>
        <w:t xml:space="preserve">    E --&gt;|RC\nauto| D</w:t>
      </w:r>
    </w:p>
    <w:p>
      <w:pPr>
        <w:spacing w:after="120"/>
      </w:pPr>
      <w:r>
        <w:rPr>
          <w:rFonts w:ascii="Calibri" w:hAnsi="Calibri"/>
          <w:color w:val="1A1F26"/>
          <w:sz w:val="22"/>
        </w:rPr>
        <w:t xml:space="preserve">    E --&gt;|RC exploita. (sinistres chantier)| D</w:t>
      </w:r>
    </w:p>
    <w:p>
      <w:pPr>
        <w:spacing w:after="120"/>
      </w:pPr>
      <w:r>
        <w:rPr>
          <w:rFonts w:ascii="Calibri" w:hAnsi="Calibri"/>
          <w:color w:val="1A1F26"/>
          <w:sz w:val="22"/>
        </w:rPr>
        <w:t xml:space="preserve">    A -.-&gt; F(Responsable chantier/délégation)</w:t>
      </w:r>
    </w:p>
    <w:p>
      <w:pPr>
        <w:spacing w:after="120"/>
      </w:pPr>
      <w:r>
        <w:rPr>
          <w:rFonts w:ascii="Calibri" w:hAnsi="Calibri"/>
          <w:color w:val="1A1F26"/>
          <w:sz w:val="22"/>
        </w:rPr>
        <w:t xml:space="preserve">    F -.-&gt; B</w:t>
      </w:r>
    </w:p>
    <w:p>
      <w:pPr>
        <w:spacing w:after="120"/>
      </w:pPr>
      <w:r>
        <w:rPr>
          <w:rFonts w:ascii="Calibri" w:hAnsi="Calibri"/>
          <w:i/>
          <w:color w:val="1A1F26"/>
          <w:sz w:val="22"/>
        </w:rPr>
        <w:t>Schéma : flux de responsabilité et obligations (l’entreprise forme/habilite les conducteurs et couvre les risques par assurance, le responsable de chantier veille à la sécurité des opérations).</w:t>
      </w:r>
    </w:p>
    <w:p>
      <w:pPr>
        <w:spacing w:before="280" w:after="120"/>
      </w:pPr>
      <w:r>
        <w:rPr>
          <w:rFonts w:ascii="Calibri" w:hAnsi="Calibri"/>
          <w:b/>
          <w:color w:val="0D4FA8"/>
          <w:sz w:val="32"/>
        </w:rPr>
        <w:t>Différences France – Monaco</w:t>
      </w:r>
    </w:p>
    <w:p>
      <w:pPr>
        <w:spacing w:after="120"/>
      </w:pPr>
      <w:r>
        <w:rPr>
          <w:rFonts w:ascii="Calibri" w:hAnsi="Calibri"/>
          <w:color w:val="1A1F26"/>
          <w:sz w:val="22"/>
        </w:rPr>
        <w:t xml:space="preserve">En </w:t>
      </w:r>
      <w:r>
        <w:rPr>
          <w:rFonts w:ascii="Calibri" w:hAnsi="Calibri"/>
          <w:b/>
          <w:color w:val="1A1F26"/>
          <w:sz w:val="22"/>
        </w:rPr>
        <w:t>France</w:t>
      </w:r>
      <w:r>
        <w:rPr>
          <w:rFonts w:ascii="Calibri" w:hAnsi="Calibri"/>
          <w:color w:val="1A1F26"/>
          <w:sz w:val="22"/>
        </w:rPr>
        <w:t xml:space="preserve">, les obligations de formation et d’habilitation sont codifiées (Code du travail, Code de la route), avec un système CACES bien établi et des sanctions jurisprudentielles fréquentes. En </w:t>
      </w:r>
      <w:r>
        <w:rPr>
          <w:rFonts w:ascii="Calibri" w:hAnsi="Calibri"/>
          <w:b/>
          <w:color w:val="1A1F26"/>
          <w:sz w:val="22"/>
        </w:rPr>
        <w:t>Monaco</w:t>
      </w:r>
      <w:r>
        <w:rPr>
          <w:rFonts w:ascii="Calibri" w:hAnsi="Calibri"/>
          <w:color w:val="1A1F26"/>
          <w:sz w:val="22"/>
        </w:rPr>
        <w:t>, l’esprit est similaire mais avec quelques particularités :</w:t>
      </w:r>
    </w:p>
    <w:p>
      <w:pPr>
        <w:pStyle w:val="ListBullet"/>
        <w:ind w:left="283"/>
      </w:pPr>
      <w:r>
        <w:rPr>
          <w:rFonts w:ascii="Calibri" w:hAnsi="Calibri"/>
          <w:b/>
          <w:color w:val="1A1F26"/>
          <w:sz w:val="22"/>
        </w:rPr>
        <w:t>Formation et certification</w:t>
      </w:r>
      <w:r>
        <w:rPr>
          <w:rFonts w:ascii="Calibri" w:hAnsi="Calibri"/>
          <w:color w:val="1A1F26"/>
          <w:sz w:val="22"/>
        </w:rPr>
        <w:t xml:space="preserve"> : Monaco n’a pas de CACES officiel, mais l’Ord. 7.135/2018 impose des diplômes ou certificats équivalents pour les dirigeants d’entreprises BTP. Les conducteurs doivent être qualifiés (CAP, Brevet pro ou expérience, cf. Ord. monégasque) et aptes. L’Arrêté min. 1966 exige un examen médical préalable[[5]](https://legimonaco.mc/tnc/arrete-ministeriel/1966/01-04-66-009@1966.01.22#:~:text=Il%20est%20interdit%20de%20pr%C3%A9poser,Il%20en%20est%20de%20m%C3%AAme). En pratique, on recommandera que l’entreprise applique les mêmes normes (CACES ou formation équivalente) pour satisfaire l’employeur monégasque et les assureurs.</w:t>
      </w:r>
    </w:p>
    <w:p>
      <w:pPr>
        <w:pStyle w:val="ListBullet"/>
        <w:ind w:left="283"/>
      </w:pPr>
      <w:r>
        <w:rPr>
          <w:rFonts w:ascii="Calibri" w:hAnsi="Calibri"/>
          <w:b/>
          <w:color w:val="1A1F26"/>
          <w:sz w:val="22"/>
        </w:rPr>
        <w:t>Code de la route</w:t>
      </w:r>
      <w:r>
        <w:rPr>
          <w:rFonts w:ascii="Calibri" w:hAnsi="Calibri"/>
          <w:color w:val="1A1F26"/>
          <w:sz w:val="22"/>
        </w:rPr>
        <w:t xml:space="preserve"> : Monaco a son propre Code de la route (adapté du français). Pour circuler sur voirie monégasque, un permis monégasque (équivalent permis français) est nécessaire pour les véhicules concernés. Si les engins ne quittent pas le site privé, cette distinction est sans effet.</w:t>
      </w:r>
    </w:p>
    <w:p>
      <w:pPr>
        <w:pStyle w:val="ListBullet"/>
        <w:ind w:left="283"/>
      </w:pPr>
      <w:r>
        <w:rPr>
          <w:rFonts w:ascii="Calibri" w:hAnsi="Calibri"/>
          <w:b/>
          <w:color w:val="1A1F26"/>
          <w:sz w:val="22"/>
        </w:rPr>
        <w:t>Assurances</w:t>
      </w:r>
      <w:r>
        <w:rPr>
          <w:rFonts w:ascii="Calibri" w:hAnsi="Calibri"/>
          <w:color w:val="1A1F26"/>
          <w:sz w:val="22"/>
        </w:rPr>
        <w:t xml:space="preserve"> : Les principes d’assurance (RC auto obligatoire sur routes, RC exploitation pour les activités) s’appliquent dans les deux pays. La Principauté exigera une assurance RC professionnelle couvrant l’activité. L’assurance « tous risques chantier » n’est pas légale obligatoire en droit monégasque (comme en France), mais peut être recommandée.</w:t>
      </w:r>
    </w:p>
    <w:p>
      <w:pPr>
        <w:pStyle w:val="ListBullet"/>
        <w:ind w:left="283"/>
      </w:pPr>
      <w:r>
        <w:rPr>
          <w:rFonts w:ascii="Calibri" w:hAnsi="Calibri"/>
          <w:b/>
          <w:color w:val="1A1F26"/>
          <w:sz w:val="22"/>
        </w:rPr>
        <w:t>Juridictions</w:t>
      </w:r>
      <w:r>
        <w:rPr>
          <w:rFonts w:ascii="Calibri" w:hAnsi="Calibri"/>
          <w:color w:val="1A1F26"/>
          <w:sz w:val="22"/>
        </w:rPr>
        <w:t xml:space="preserve"> : En cas de litige, les tribunaux monégasques peuvent appliquer la loi locale (par ex. arrêts d’interdiction de travaux dangereux, exigences de sécurité spécifiques). La jurisprudence française n’est pas automatiquement applicable, mais les principes de responsabilité y sont très similaires (faute de l’employeur, obligation de moyens renforcée).</w:t>
      </w:r>
    </w:p>
    <w:p>
      <w:pPr>
        <w:spacing w:before="280" w:after="120"/>
      </w:pPr>
      <w:r>
        <w:rPr>
          <w:rFonts w:ascii="Calibri" w:hAnsi="Calibri"/>
          <w:b/>
          <w:color w:val="0D4FA8"/>
          <w:sz w:val="32"/>
        </w:rPr>
        <w:t>Risques et sanctions en cas de non-conformité</w:t>
      </w:r>
    </w:p>
    <w:p>
      <w:pPr>
        <w:pStyle w:val="ListBullet"/>
        <w:ind w:left="283"/>
      </w:pPr>
      <w:r>
        <w:rPr>
          <w:rFonts w:ascii="Calibri" w:hAnsi="Calibri"/>
          <w:b/>
          <w:color w:val="1A1F26"/>
          <w:sz w:val="22"/>
        </w:rPr>
        <w:t>Volet pénal</w:t>
      </w:r>
      <w:r>
        <w:rPr>
          <w:rFonts w:ascii="Calibri" w:hAnsi="Calibri"/>
          <w:color w:val="1A1F26"/>
          <w:sz w:val="22"/>
        </w:rPr>
        <w:t xml:space="preserve"> : En France, le non-respect manifeste des consignes de sécurité peut constituer un délit d’ </w:t>
      </w:r>
      <w:r>
        <w:rPr>
          <w:rFonts w:ascii="Calibri" w:hAnsi="Calibri"/>
          <w:i/>
          <w:color w:val="1A1F26"/>
          <w:sz w:val="22"/>
        </w:rPr>
        <w:t>involontaire</w:t>
      </w:r>
      <w:r>
        <w:rPr>
          <w:rFonts w:ascii="Calibri" w:hAnsi="Calibri"/>
          <w:color w:val="1A1F26"/>
          <w:sz w:val="22"/>
        </w:rPr>
        <w:t xml:space="preserve"> (Code pén. art. 222-19). Les arrêts cités ont condamné pénalement des employeurs pour blessures involontaires (avec amendes et stages) lorsque les salariés n’étaient ni formés ni habilités[[7]](https://www.legifrance.gouv.fr/juri/id/JURITEXT000027422773#:~:text=la%20technologie%20des%20pelles%20%3B,qu%27elle%20ne%20saurait%20se)[[10]](https://www.legifrance.gouv.fr/juri/id/JURITEXT000038069802#:~:text=Qu%27il%20est%20apparu%20que%20l%27ouvrier,renversement%2C%20n%27avait%20pas%20fonctionn%C3%A9). En Monaco, les infractions à la réglementation du travail et aux normes de sécurité peuvent aussi entraîner des poursuites pénales similaires.</w:t>
      </w:r>
    </w:p>
    <w:p>
      <w:pPr>
        <w:pStyle w:val="ListBullet"/>
        <w:ind w:left="283"/>
      </w:pPr>
      <w:r>
        <w:rPr>
          <w:rFonts w:ascii="Calibri" w:hAnsi="Calibri"/>
          <w:b/>
          <w:color w:val="1A1F26"/>
          <w:sz w:val="22"/>
        </w:rPr>
        <w:t>Volet civil</w:t>
      </w:r>
      <w:r>
        <w:rPr>
          <w:rFonts w:ascii="Calibri" w:hAnsi="Calibri"/>
          <w:color w:val="1A1F26"/>
          <w:sz w:val="22"/>
        </w:rPr>
        <w:t xml:space="preserve"> : L’employeur est civilement responsable « de plein droit » des accidents du travail (faute inexcusable) et des dommages causés à des tiers par ses engins. Un accident dû à un conducteur non formé/habilité sera donc à l’initiative de l’entreprise (indemnisation intégrale).</w:t>
      </w:r>
    </w:p>
    <w:p>
      <w:pPr>
        <w:pStyle w:val="ListBullet"/>
        <w:ind w:left="283"/>
      </w:pPr>
      <w:r>
        <w:rPr>
          <w:rFonts w:ascii="Calibri" w:hAnsi="Calibri"/>
          <w:b/>
          <w:color w:val="1A1F26"/>
          <w:sz w:val="22"/>
        </w:rPr>
        <w:t>Amendes administratives</w:t>
      </w:r>
      <w:r>
        <w:rPr>
          <w:rFonts w:ascii="Calibri" w:hAnsi="Calibri"/>
          <w:color w:val="1A1F26"/>
          <w:sz w:val="22"/>
        </w:rPr>
        <w:t xml:space="preserve"> : En France, l’inspection du travail peut imposer des injonctions, des amendes en cas de manquement à la formation ou absence de document unique. En cas de contrôle sur chantier, l’entreprise pourrait être sanctionnée pour défaut d’autorisation de travail ou d’habilitation. En Monaco, l’inspection du travail peut également constater les infractions et demander remédiation (les arrêts montrent des avertissements sans réponse).</w:t>
      </w:r>
    </w:p>
    <w:p>
      <w:pPr>
        <w:spacing w:before="280" w:after="120"/>
      </w:pPr>
      <w:r>
        <w:rPr>
          <w:rFonts w:ascii="Calibri" w:hAnsi="Calibri"/>
          <w:b/>
          <w:color w:val="0D4FA8"/>
          <w:sz w:val="32"/>
        </w:rPr>
        <w:t>Sources principales</w:t>
      </w:r>
    </w:p>
    <w:p>
      <w:pPr>
        <w:pStyle w:val="ListBullet"/>
        <w:ind w:left="283"/>
      </w:pPr>
      <w:r>
        <w:rPr>
          <w:rFonts w:ascii="Calibri" w:hAnsi="Calibri"/>
          <w:b/>
          <w:color w:val="1A1F26"/>
          <w:sz w:val="22"/>
        </w:rPr>
        <w:t xml:space="preserve">Codes </w:t>
      </w:r>
      <w:r>
        <w:rPr>
          <w:rFonts w:ascii="Calibri" w:hAnsi="Calibri"/>
          <w:b/>
          <w:color w:val="1A1F26"/>
          <w:sz w:val="22"/>
        </w:rPr>
        <w:t>&amp;</w:t>
      </w:r>
      <w:r>
        <w:rPr>
          <w:rFonts w:ascii="Calibri" w:hAnsi="Calibri"/>
          <w:b/>
          <w:color w:val="1A1F26"/>
          <w:sz w:val="22"/>
        </w:rPr>
        <w:t xml:space="preserve"> textes officiels</w:t>
      </w:r>
      <w:r>
        <w:rPr>
          <w:rFonts w:ascii="Calibri" w:hAnsi="Calibri"/>
          <w:color w:val="1A1F26"/>
          <w:sz w:val="22"/>
        </w:rPr>
        <w:t xml:space="preserve"> (France/Monaco) : Code du travail (articles R.4323-55 et suivants), arrêté ministériel du 26/09/2025[[1]](https://www.legifrance.gouv.fr/jorf/id/JORFTEXT000052304307#:~:text=En%20application%20de%20l%27article%20R,d%27une%20autorisation%20de%20conduite) (formation CACES, attestation médicale), Art. R.311-1 C. route[[4]](https://www.preventionbtp.fr/ressources/questions/faut-il-un-permis-de-conduire-pour-tous-les-engins-de-chantier-amenes-a-circuler-sur-le-domaine-public_By8XUPhRXEE3QTpQbthMYX#:~:text=En%20effet%2C%20au%20sens%20de,et%20non%20%C3%A0%20la%20personne), Arrêté min. Monaco 4/01/1966[[5]](https://legimonaco.mc/tnc/arrete-ministeriel/1966/01-04-66-009@1966.01.22#:~:text=Il%20est%20interdit%20de%20pr%C3%A9poser,Il%20en%20est%20de%20m%C3%AAme) (sécurité chantier), Ord. 7.135/2018 Monaco (qualifications du BTP).</w:t>
      </w:r>
    </w:p>
    <w:p>
      <w:pPr>
        <w:pStyle w:val="ListBullet"/>
        <w:ind w:left="283"/>
      </w:pPr>
      <w:r>
        <w:rPr>
          <w:rFonts w:ascii="Calibri" w:hAnsi="Calibri"/>
          <w:b/>
          <w:color w:val="1A1F26"/>
          <w:sz w:val="22"/>
        </w:rPr>
        <w:t>Jurisprudence française</w:t>
      </w:r>
      <w:r>
        <w:rPr>
          <w:rFonts w:ascii="Calibri" w:hAnsi="Calibri"/>
          <w:color w:val="1A1F26"/>
          <w:sz w:val="22"/>
        </w:rPr>
        <w:t xml:space="preserve"> : Cass. Soc. 27 mars 2013 (n°11‑28750) – employeur sanctionné pour absence d’autorisation de conduite[[6]](https://www.legifrance.gouv.fr/juri/id/JURITEXT000027255467#:~:text=Attendu%20cependant%20que%20l%27employeur%2C%20tenu,doit%20en%20assurer%20l%27effectivit%C3%A9). Cass. Soc. 5 nov. 2015 – validité de l’obligation d’autorisation même si permis B détenu[[8]](https://www.legifrance.gouv.fr/juri/id/JURITEXT000031455373#:~:text=Et%20attendu%2C%20ensuite%2C%20qu%27ayant%20relev%C3%A9,cette%20autorisation%2C%20%C3%A9tait%20fautif). Cass. Crim. 3 avril 2013 – condamnation pour défaut de formation/autorisation d’un conducteur (blessures)[[7]](https://www.legifrance.gouv.fr/juri/id/JURITEXT000027422773#:~:text=la%20technologie%20des%20pelles%20%3B,qu%27elle%20ne%20saurait%20se). Cass. Crim. 8 janv. 2019 – engagement de la responsabilité d’Eiffage pour employeur d’un manitou sans autorisation appropriée[[10]](https://www.legifrance.gouv.fr/juri/id/JURITEXT000038069802#:~:text=Qu%27il%20est%20apparu%20que%20l%27ouvrier,renversement%2C%20n%27avait%20pas%20fonctionn%C3%A9).</w:t>
      </w:r>
    </w:p>
    <w:p>
      <w:pPr>
        <w:pStyle w:val="ListBullet"/>
        <w:ind w:left="283"/>
      </w:pPr>
      <w:r>
        <w:rPr>
          <w:rFonts w:ascii="Calibri" w:hAnsi="Calibri"/>
          <w:b/>
          <w:color w:val="1A1F26"/>
          <w:sz w:val="22"/>
        </w:rPr>
        <w:t>Guides et doctrine</w:t>
      </w:r>
      <w:r>
        <w:rPr>
          <w:rFonts w:ascii="Calibri" w:hAnsi="Calibri"/>
          <w:color w:val="1A1F26"/>
          <w:sz w:val="22"/>
        </w:rPr>
        <w:t xml:space="preserve"> : FAQ PréventionBTP (site OPPBTP) sur circulation d’engins TP (exigences routières, permis)[[3]](https://www.preventionbtp.fr/ressources/questions/faut-il-un-permis-de-conduire-pour-tous-les-engins-de-chantier-amenes-a-circuler-sur-le-domaine-public_By8XUPhRXEE3QTpQbthMYX#:~:text=Tous%20les%20engins%20de%20travaux,certain%20nombre%20d%E2%80%99exigences%2C%20parmi%20lesquelles)[[4]](https://www.preventionbtp.fr/ressources/questions/faut-il-un-permis-de-conduire-pour-tous-les-engins-de-chantier-amenes-a-circuler-sur-le-domaine-public_By8XUPhRXEE3QTpQbthMYX#:~:text=En%20effet%2C%20au%20sens%20de,et%20non%20%C3%A0%20la%20personne). Fiche Code du Travail Num. sur autorisation de conduite (habilitations)[[2]](https://code.travail.gouv.fr/fiche-ministere-travail/autorisation-de-conduite-appareils-de-levage#:~:text=Les%20engins%20et%20appareils%20de,Pour%20cela). Article TPdemain sur assurance des engins de chantier[[9]](https://tpdemain.com/module/lassurance-des-engins-de-chantier/#:~:text=Le%20chef%20d%E2%80%99entreprise%20doit%20couvrir,lui%20appartient%20ou%20qu%E2%80%99il%20loue). Articles de formateurs BTP sur habilitation (éd. Tissot, AlterSécurité) récapitulant l’obligation employeur.</w:t>
      </w:r>
    </w:p>
    <w:p>
      <w:pPr>
        <w:pStyle w:val="ListBullet"/>
        <w:ind w:left="283"/>
      </w:pPr>
      <w:r>
        <w:rPr>
          <w:rFonts w:ascii="Calibri" w:hAnsi="Calibri"/>
          <w:b/>
          <w:color w:val="1A1F26"/>
          <w:sz w:val="22"/>
        </w:rPr>
        <w:t>Exemples de clauses</w:t>
      </w:r>
      <w:r>
        <w:rPr>
          <w:rFonts w:ascii="Calibri" w:hAnsi="Calibri"/>
          <w:color w:val="1A1F26"/>
          <w:sz w:val="22"/>
        </w:rPr>
        <w:t xml:space="preserve"> : Modèles type dans guides de gestion de chantier (INRS, Fédérations professionnelles) et conditions générales de sous-traitance BTP (sites juridiques) peuvent compléter les formulations ci-dessus.</w:t>
      </w:r>
    </w:p>
    <w:p>
      <w:pPr>
        <w:pStyle w:val="ListBullet"/>
        <w:ind w:left="283"/>
      </w:pPr>
      <w:r>
        <w:rPr>
          <w:rFonts w:ascii="Calibri" w:hAnsi="Calibri"/>
          <w:b/>
          <w:color w:val="1A1F26"/>
          <w:sz w:val="22"/>
        </w:rPr>
        <w:t>Monaco</w:t>
      </w:r>
      <w:r>
        <w:rPr>
          <w:rFonts w:ascii="Calibri" w:hAnsi="Calibri"/>
          <w:color w:val="1A1F26"/>
          <w:sz w:val="22"/>
        </w:rPr>
        <w:t xml:space="preserve"> : Site officiel « MonEntreprise.gouv.mc » (procédures d’autorisation de chantier), LegiMonaco (Arrêté 4/1/1966, Ord. 6.987/2018) fournissent le cadre local.</w:t>
      </w:r>
    </w:p>
    <w:p>
      <w:pPr>
        <w:spacing w:after="120"/>
      </w:pPr>
      <w:r>
        <w:rPr>
          <w:rFonts w:ascii="Calibri" w:hAnsi="Calibri"/>
          <w:color w:val="1A1F26"/>
          <w:sz w:val="22"/>
        </w:rPr>
        <w:t>[[1]](https://www.legifrance.gouv.fr/jorf/id/JORFTEXT000052304307#:~:text=En%20application%20de%20l%27article%20R,d%27une%20autorisation%20de%20conduite) Arrêté du 26 septembre 2025 relatif à la formation à la conduite des équipements de travail mobiles automoteurs et des équipements de levage de charges ou de personnes - Légifrance</w:t>
      </w:r>
    </w:p>
    <w:p>
      <w:pPr>
        <w:spacing w:after="120"/>
      </w:pPr>
      <w:r>
        <w:rPr>
          <w:rFonts w:ascii="Calibri" w:hAnsi="Calibri"/>
          <w:color w:val="1A1F26"/>
          <w:sz w:val="22"/>
        </w:rPr>
        <w:t>[https://www.legifrance.gouv.fr/jorf/id/JORFTEXT000052304307](https://www.legifrance.gouv.fr/jorf/id/JORFTEXT000052304307)</w:t>
      </w:r>
    </w:p>
    <w:p>
      <w:pPr>
        <w:spacing w:after="120"/>
      </w:pPr>
      <w:r>
        <w:rPr>
          <w:rFonts w:ascii="Calibri" w:hAnsi="Calibri"/>
          <w:color w:val="1A1F26"/>
          <w:sz w:val="22"/>
        </w:rPr>
        <w:t>[[2]](https://code.travail.gouv.fr/fiche-ministere-travail/autorisation-de-conduite-appareils-de-levage#:~:text=Les%20engins%20et%20appareils%20de,Pour%20cela) L'autorisation de conduite des appareils de levage - Code du travail numérique</w:t>
      </w:r>
    </w:p>
    <w:p>
      <w:pPr>
        <w:spacing w:after="120"/>
      </w:pPr>
      <w:r>
        <w:rPr>
          <w:rFonts w:ascii="Calibri" w:hAnsi="Calibri"/>
          <w:color w:val="1A1F26"/>
          <w:sz w:val="22"/>
        </w:rPr>
        <w:t>[https://code.travail.gouv.fr/fiche-ministere-travail/autorisation-de-conduite-appareils-de-levage](https://code.travail.gouv.fr/fiche-ministere-travail/autorisation-de-conduite-appareils-de-levage)</w:t>
      </w:r>
    </w:p>
    <w:p>
      <w:pPr>
        <w:spacing w:after="120"/>
      </w:pPr>
      <w:r>
        <w:rPr>
          <w:rFonts w:ascii="Calibri" w:hAnsi="Calibri"/>
          <w:color w:val="1A1F26"/>
          <w:sz w:val="22"/>
        </w:rPr>
        <w:t>[[3]](https://www.preventionbtp.fr/ressources/questions/faut-il-un-permis-de-conduire-pour-tous-les-engins-de-chantier-amenes-a-circuler-sur-le-domaine-public_By8XUPhRXEE3QTpQbthMYX#:~:text=Tous%20les%20engins%20de%20travaux,certain%20nombre%20d%E2%80%99exigences%2C%20parmi%20lesquelles) [[4]](https://www.preventionbtp.fr/ressources/questions/faut-il-un-permis-de-conduire-pour-tous-les-engins-de-chantier-amenes-a-circuler-sur-le-domaine-public_By8XUPhRXEE3QTpQbthMYX#:~:text=En%20effet%2C%20au%20sens%20de,et%20non%20%C3%A0%20la%20personne) Faut-il un permis de conduire pour tous les engins de chantier amenés à circuler sur le domaine public ? | Prévention BTP</w:t>
      </w:r>
    </w:p>
    <w:p>
      <w:pPr>
        <w:spacing w:after="120"/>
      </w:pPr>
      <w:r>
        <w:rPr>
          <w:rFonts w:ascii="Calibri" w:hAnsi="Calibri"/>
          <w:color w:val="1A1F26"/>
          <w:sz w:val="22"/>
        </w:rPr>
        <w:t>[https://www.preventionbtp.fr/ressources/questions/faut-il-un-permis-de-conduire-pour-tous-les-engins-de-chantier-amenes-a-circuler-sur-le-domaine-public_By8XUPhRXEE3QTpQbthMYX](https://www.preventionbtp.fr/ressources/questions/faut-il-un-permis-de-conduire-pour-tous-les-engins-de-chantier-amenes-a-circuler-sur-le-domaine-public_By8XUPhRXEE3QTpQbthMYX)</w:t>
      </w:r>
    </w:p>
    <w:p>
      <w:pPr>
        <w:spacing w:after="120"/>
      </w:pPr>
      <w:r>
        <w:rPr>
          <w:rFonts w:ascii="Calibri" w:hAnsi="Calibri"/>
          <w:color w:val="1A1F26"/>
          <w:sz w:val="22"/>
        </w:rPr>
        <w:t>[[5]](https://legimonaco.mc/tnc/arrete-ministeriel/1966/01-04-66-009@1966.01.22#:~:text=Il%20est%20interdit%20de%20pr%C3%A9poser,Il%20en%20est%20de%20m%C3%AAme) Arrêté ministériel n° 66-009 du 4 janvier 1966 portant réglementation des mesures particulières de protection et de salubrité applicables aux établissements dont le personnel exécute des travaux du bâtiment, des travaux publics et tous autres travaux concernant les immeubles [Legimonaco]</w:t>
      </w:r>
    </w:p>
    <w:p>
      <w:pPr>
        <w:spacing w:after="120"/>
      </w:pPr>
      <w:r>
        <w:rPr>
          <w:rFonts w:ascii="Calibri" w:hAnsi="Calibri"/>
          <w:color w:val="1A1F26"/>
          <w:sz w:val="22"/>
        </w:rPr>
        <w:t>[https://legimonaco.mc/tnc/arrete-ministeriel/1966/01-04-66-009@1966.01.22](https://legimonaco.mc/tnc/arrete-ministeriel/1966/01-04-66-009@1966.01.22)</w:t>
      </w:r>
    </w:p>
    <w:p>
      <w:pPr>
        <w:spacing w:after="120"/>
      </w:pPr>
      <w:r>
        <w:rPr>
          <w:rFonts w:ascii="Calibri" w:hAnsi="Calibri"/>
          <w:color w:val="1A1F26"/>
          <w:sz w:val="22"/>
        </w:rPr>
        <w:t>[[6]](https://www.legifrance.gouv.fr/juri/id/JURITEXT000027255467#:~:text=Attendu%20cependant%20que%20l%27employeur%2C%20tenu,doit%20en%20assurer%20l%27effectivit%C3%A9) Cour de cassation, civile, Chambre sociale, 27 mars 2013, 11-28.750, Inédit - Légifrance</w:t>
      </w:r>
    </w:p>
    <w:p>
      <w:pPr>
        <w:spacing w:after="120"/>
      </w:pPr>
      <w:r>
        <w:rPr>
          <w:rFonts w:ascii="Calibri" w:hAnsi="Calibri"/>
          <w:color w:val="1A1F26"/>
          <w:sz w:val="22"/>
        </w:rPr>
        <w:t>[https://www.legifrance.gouv.fr/juri/id/JURITEXT000027255467](https://www.legifrance.gouv.fr/juri/id/JURITEXT000027255467)</w:t>
      </w:r>
    </w:p>
    <w:p>
      <w:pPr>
        <w:spacing w:after="120"/>
      </w:pPr>
      <w:r>
        <w:rPr>
          <w:rFonts w:ascii="Calibri" w:hAnsi="Calibri"/>
          <w:color w:val="1A1F26"/>
          <w:sz w:val="22"/>
        </w:rPr>
        <w:t>[[7]](https://www.legifrance.gouv.fr/juri/id/JURITEXT000027422773#:~:text=la%20technologie%20des%20pelles%20%3B,qu%27elle%20ne%20saurait%20se) Cour de cassation, criminelle, Chambre criminelle, 3 avril 2013, 12-82.527, Inédit - Légifrance</w:t>
      </w:r>
    </w:p>
    <w:p>
      <w:pPr>
        <w:spacing w:after="120"/>
      </w:pPr>
      <w:r>
        <w:rPr>
          <w:rFonts w:ascii="Calibri" w:hAnsi="Calibri"/>
          <w:color w:val="1A1F26"/>
          <w:sz w:val="22"/>
        </w:rPr>
        <w:t>[https://www.legifrance.gouv.fr/juri/id/JURITEXT000027422773](https://www.legifrance.gouv.fr/juri/id/JURITEXT000027422773)</w:t>
      </w:r>
    </w:p>
    <w:p>
      <w:pPr>
        <w:spacing w:after="120"/>
      </w:pPr>
      <w:r>
        <w:rPr>
          <w:rFonts w:ascii="Calibri" w:hAnsi="Calibri"/>
          <w:color w:val="1A1F26"/>
          <w:sz w:val="22"/>
        </w:rPr>
        <w:t>[[8]](https://www.legifrance.gouv.fr/juri/id/JURITEXT000031455373#:~:text=Et%20attendu%2C%20ensuite%2C%20qu%27ayant%20relev%C3%A9,cette%20autorisation%2C%20%C3%A9tait%20fautif) Cour de cassation, civile, Chambre sociale, 5 novembre 2015, 14-15.066, Inédit - Légifrance</w:t>
      </w:r>
    </w:p>
    <w:p>
      <w:pPr>
        <w:spacing w:after="120"/>
      </w:pPr>
      <w:r>
        <w:rPr>
          <w:rFonts w:ascii="Calibri" w:hAnsi="Calibri"/>
          <w:color w:val="1A1F26"/>
          <w:sz w:val="22"/>
        </w:rPr>
        <w:t>[https://www.legifrance.gouv.fr/juri/id/JURITEXT000031455373](https://www.legifrance.gouv.fr/juri/id/JURITEXT000031455373)</w:t>
      </w:r>
    </w:p>
    <w:p>
      <w:pPr>
        <w:spacing w:after="120"/>
      </w:pPr>
      <w:r>
        <w:rPr>
          <w:rFonts w:ascii="Calibri" w:hAnsi="Calibri"/>
          <w:color w:val="1A1F26"/>
          <w:sz w:val="22"/>
        </w:rPr>
        <w:t>[[9]](https://tpdemain.com/module/lassurance-des-engins-de-chantier/#:~:text=Le%20chef%20d%E2%80%99entreprise%20doit%20couvrir,lui%20appartient%20ou%20qu%E2%80%99il%20loue) L’assurance des engins de chantier</w:t>
      </w:r>
    </w:p>
    <w:p>
      <w:pPr>
        <w:spacing w:after="120"/>
      </w:pPr>
      <w:r>
        <w:rPr>
          <w:rFonts w:ascii="Calibri" w:hAnsi="Calibri"/>
          <w:color w:val="1A1F26"/>
          <w:sz w:val="22"/>
        </w:rPr>
        <w:t>[https://tpdemain.com/module/lassurance-des-engins-de-chantier/](https://tpdemain.com/module/lassurance-des-engins-de-chantier/)</w:t>
      </w:r>
    </w:p>
    <w:p>
      <w:pPr>
        <w:spacing w:after="120"/>
      </w:pPr>
      <w:r>
        <w:rPr>
          <w:rFonts w:ascii="Calibri" w:hAnsi="Calibri"/>
          <w:color w:val="1A1F26"/>
          <w:sz w:val="22"/>
        </w:rPr>
        <w:t>[[10]](https://www.legifrance.gouv.fr/juri/id/JURITEXT000038069802#:~:text=Qu%27il%20est%20apparu%20que%20l%27ouvrier,renversement%2C%20n%27avait%20pas%20fonctionn%C3%A9) Cour de cassation, criminelle, Chambre criminelle, 8 janvier 2019, 17-86.430, Inédit - Légifrance</w:t>
      </w:r>
    </w:p>
    <w:p>
      <w:pPr>
        <w:spacing w:after="120"/>
      </w:pPr>
      <w:r>
        <w:rPr>
          <w:rFonts w:ascii="Calibri" w:hAnsi="Calibri"/>
          <w:color w:val="1A1F26"/>
          <w:sz w:val="22"/>
        </w:rPr>
        <w:t>[https://www.legifrance.gouv.fr/juri/id/JURITEXT000038069802](https://www.legifrance.gouv.fr/juri/id/JURITEXT000038069802)</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480"/>
        <w:sz w:val="18"/>
      </w:rPr>
      <w:t xml:space="preserve">Azur Park · RD 598A, 83580 Gassin · Confidentiel · </w:t>
    </w:r>
    <w:r>
      <w:rPr>
        <w:rFonts w:ascii="Calibri" w:hAnsi="Calibri"/>
        <w:color w:val="6B7480"/>
        <w:sz w:val="18"/>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A3B7A"/>
      </w:pBdr>
    </w:pPr>
    <w:r/>
    <w:r>
      <w:rPr>
        <w:rFonts w:ascii="Calibri" w:hAnsi="Calibri"/>
        <w:color w:val="6B7480"/>
        <w:sz w:val="18"/>
      </w:rPr>
      <w:t>Azur Park — HSE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